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가혹한 형태의 아동노동금지 협약(ILO 협약 제182호)</w:t>
      </w:r>
    </w:p>
    <w:p>
      <w:pPr>
        <w:ind w:left="0" w:firstLine="0" w:hanging="0"/>
        <w:jc w:val="center"/>
      </w:pPr>
      <w:r>
        <w:rPr>
          <w:rFonts w:ascii="Times New Roman" w:hAnsi="굴림체" w:cs="굴림체" w:eastAsia="굴림체"/>
          <w:sz w:val="24"/>
        </w:rPr>
        <w:t>Worst Forms of Child Labour Convention, 1999 (ILO No. 182)</w:t>
      </w:r>
    </w:p>
    <w:p>
      <w:pPr>
        <w:ind w:left="0" w:firstLine="0" w:hanging="0"/>
        <w:jc w:val="center"/>
      </w:pPr>
      <w:r>
        <w:rPr>
          <w:rFonts w:ascii="Times New Roman" w:hAnsi="굴림체" w:cs="굴림체" w:eastAsia="굴림체"/>
          <w:sz w:val="20"/>
        </w:rPr>
        <w:t>adopted 1999. 6. 17. / enforced 2000. 11. 19.</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ILO C182</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Worst Forms of Child Labour Convention, 1999 (No. 182)</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Each Member which ratifies this Convention shall take immediate and effective measures to secure the prohibition and elimination of the worst forms of child labour as a matter of urgency.</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For the purposes of this Convention, the term "child" shall apply to all persons under the age of 18.</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For the purposes of this Convention, the term " the worst forms of child labour" comprises:</w:t>
      </w:r>
    </w:p>
    <w:p>
      <w:pPr>
        <w:ind w:left="0" w:firstLine="0" w:hanging="0"/>
        <w:jc w:val="left"/>
      </w:pPr>
      <w:r>
        <w:rPr>
          <w:rFonts w:ascii="Times New Roman" w:hAnsi="굴림체" w:cs="굴림체" w:eastAsia="굴림체"/>
          <w:sz w:val="24"/>
        </w:rPr>
        <w:t xml:space="preserve">  (a) All forms of slavery or practices similar to slavery, such as the sale and trafficking of children, debt bondage and serfdom and forced or compulsory labour, including forced or compulsory recruitment of children for use in armed conflict;</w:t>
      </w:r>
    </w:p>
    <w:p>
      <w:pPr>
        <w:ind w:left="0" w:firstLine="0" w:hanging="0"/>
        <w:jc w:val="left"/>
      </w:pPr>
      <w:r>
        <w:rPr>
          <w:rFonts w:ascii="Times New Roman" w:hAnsi="굴림체" w:cs="굴림체" w:eastAsia="굴림체"/>
          <w:sz w:val="24"/>
        </w:rPr>
        <w:t xml:space="preserve">  (b) The use, procuring or offering of a child for prostitution, for the production of pornography or for pornographic performances;</w:t>
      </w:r>
    </w:p>
    <w:p>
      <w:pPr>
        <w:ind w:left="0" w:firstLine="0" w:hanging="0"/>
        <w:jc w:val="left"/>
      </w:pPr>
      <w:r>
        <w:rPr>
          <w:rFonts w:ascii="Times New Roman" w:hAnsi="굴림체" w:cs="굴림체" w:eastAsia="굴림체"/>
          <w:sz w:val="24"/>
        </w:rPr>
        <w:t xml:space="preserve">  (c) The use, procuring or offering of a child for illicit activities, in particular for the production and trafficking of drugs as defined in the relevant international treaties;</w:t>
      </w:r>
    </w:p>
    <w:p>
      <w:pPr>
        <w:ind w:left="0" w:firstLine="0" w:hanging="0"/>
        <w:jc w:val="left"/>
      </w:pPr>
      <w:r>
        <w:rPr>
          <w:rFonts w:ascii="Times New Roman" w:hAnsi="굴림체" w:cs="굴림체" w:eastAsia="굴림체"/>
          <w:sz w:val="24"/>
        </w:rPr>
        <w:t xml:space="preserve">  (d) Work which, by its nature or the circumstances in which it is carried out, is likely to harm the health, safety or morals of children.</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1. The types of work referred to under Article 3(d) shall be determined by national laws or regulations or by the competent authority, after consultation with the organizations of employers and workers concerned, taking into consideration relevant international standards, in particular Paragraphs 3 and 4 of the Worst Forms of Child Labour Recommendation, 1999.</w:t>
      </w:r>
    </w:p>
    <w:p>
      <w:pPr>
        <w:ind w:left="0" w:firstLine="0" w:hanging="0"/>
        <w:jc w:val="left"/>
      </w:pPr>
      <w:r>
        <w:rPr>
          <w:rFonts w:ascii="Times New Roman" w:hAnsi="굴림체" w:cs="굴림체" w:eastAsia="굴림체"/>
          <w:sz w:val="24"/>
        </w:rPr>
        <w:t>2. The competent authority, after consultation with the organizations of employers and workers concerned, shall identify where the types of work so determined exist.</w:t>
      </w:r>
    </w:p>
    <w:p>
      <w:pPr>
        <w:ind w:left="0" w:firstLine="0" w:hanging="0"/>
        <w:jc w:val="left"/>
      </w:pPr>
      <w:r>
        <w:rPr>
          <w:rFonts w:ascii="Times New Roman" w:hAnsi="굴림체" w:cs="굴림체" w:eastAsia="굴림체"/>
          <w:sz w:val="24"/>
        </w:rPr>
        <w:t>3. The list of the types of work determined under paragraph 1 of this Article shall be periodically examined and revised as necessary, in consultation with the organizations of employers and workers concerned.</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Each Member shall, after consultation with employers' and workers' organizations, establish or designate appropriate mechanisms to monitor the implementation of the provisions giving effect to this Convention.</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1. Each Member shall design and implement programmes of action to eliminate as a priority the worst forms of child labour.</w:t>
      </w:r>
    </w:p>
    <w:p>
      <w:pPr>
        <w:ind w:left="0" w:firstLine="0" w:hanging="0"/>
        <w:jc w:val="left"/>
      </w:pPr>
      <w:r>
        <w:rPr>
          <w:rFonts w:ascii="Times New Roman" w:hAnsi="굴림체" w:cs="굴림체" w:eastAsia="굴림체"/>
          <w:sz w:val="24"/>
        </w:rPr>
        <w:t>2. Such programmes of action shall be designed and implemented in consultation with relevant government institutions and employers' and workers' organizations, taking into consideration the views of other concerned groups as appropriate.</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1. Each Member shall take all necessary measures to ensure the effective implementation and enforcement of the provisions giving effect to this Convention including the provision and application of penal sanctions or, as appropriate, other sanctions.</w:t>
      </w:r>
    </w:p>
    <w:p>
      <w:pPr>
        <w:ind w:left="0" w:firstLine="0" w:hanging="0"/>
        <w:jc w:val="left"/>
      </w:pPr>
      <w:r>
        <w:rPr>
          <w:rFonts w:ascii="Times New Roman" w:hAnsi="굴림체" w:cs="굴림체" w:eastAsia="굴림체"/>
          <w:sz w:val="24"/>
        </w:rPr>
        <w:t>2. Each Member shall, taking into account the importance of education in eliminating child labour, take effective and time-bound measures to:</w:t>
      </w:r>
    </w:p>
    <w:p>
      <w:pPr>
        <w:ind w:left="0" w:firstLine="0" w:hanging="0"/>
        <w:jc w:val="left"/>
      </w:pPr>
      <w:r>
        <w:rPr>
          <w:rFonts w:ascii="Times New Roman" w:hAnsi="굴림체" w:cs="굴림체" w:eastAsia="굴림체"/>
          <w:sz w:val="24"/>
        </w:rPr>
        <w:t xml:space="preserve">  (a) Prevent the engagement of children in the worst forms of child labour;</w:t>
      </w:r>
    </w:p>
    <w:p>
      <w:pPr>
        <w:ind w:left="0" w:firstLine="0" w:hanging="0"/>
        <w:jc w:val="left"/>
      </w:pPr>
      <w:r>
        <w:rPr>
          <w:rFonts w:ascii="Times New Roman" w:hAnsi="굴림체" w:cs="굴림체" w:eastAsia="굴림체"/>
          <w:sz w:val="24"/>
        </w:rPr>
        <w:t xml:space="preserve">  (b) Provide the necessary and appropriate direct assistance for the removal of children from the worst forms of child labour and for their rehabilitation and social integration;</w:t>
      </w:r>
    </w:p>
    <w:p>
      <w:pPr>
        <w:ind w:left="0" w:firstLine="0" w:hanging="0"/>
        <w:jc w:val="left"/>
      </w:pPr>
      <w:r>
        <w:rPr>
          <w:rFonts w:ascii="Times New Roman" w:hAnsi="굴림체" w:cs="굴림체" w:eastAsia="굴림체"/>
          <w:sz w:val="24"/>
        </w:rPr>
        <w:t xml:space="preserve">  (c) Ensure access to free basic education, and, wherever possible and appropriate, vocational training, for all children removed from the worst forms of child labour;</w:t>
      </w:r>
    </w:p>
    <w:p>
      <w:pPr>
        <w:ind w:left="0" w:firstLine="0" w:hanging="0"/>
        <w:jc w:val="left"/>
      </w:pPr>
      <w:r>
        <w:rPr>
          <w:rFonts w:ascii="Times New Roman" w:hAnsi="굴림체" w:cs="굴림체" w:eastAsia="굴림체"/>
          <w:sz w:val="24"/>
        </w:rPr>
        <w:t xml:space="preserve">  (d) Identify and reach out to children at special risk; and</w:t>
      </w:r>
    </w:p>
    <w:p>
      <w:pPr>
        <w:ind w:left="0" w:firstLine="0" w:hanging="0"/>
        <w:jc w:val="left"/>
      </w:pPr>
      <w:r>
        <w:rPr>
          <w:rFonts w:ascii="Times New Roman" w:hAnsi="굴림체" w:cs="굴림체" w:eastAsia="굴림체"/>
          <w:sz w:val="24"/>
        </w:rPr>
        <w:t xml:space="preserve">  (e) Take account of the special situation of girls.</w:t>
      </w:r>
    </w:p>
    <w:p>
      <w:pPr>
        <w:ind w:left="0" w:firstLine="0" w:hanging="0"/>
        <w:jc w:val="left"/>
      </w:pPr>
      <w:r>
        <w:rPr>
          <w:rFonts w:ascii="Times New Roman" w:hAnsi="굴림체" w:cs="굴림체" w:eastAsia="굴림체"/>
          <w:sz w:val="24"/>
        </w:rPr>
        <w:t>3. Each Member shall designate the competent authority responsible for the implementation of the provisions giving effect to this Convention.</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Members shall take appropriate steps to assist one another in giving effect to the provisions of this Convention through enhanced international cooperation and/or assistance including support for social and economic development, poverty eradication programmes and universal education.</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The formal ratifications of this Convention shall be communicated to the Director-General of the International Labour Office for registration.</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1. This Convention shall be binding only upon those Members of the International Labour Organization whose ratifications have been registered with the Director-General of the International Labour Office.</w:t>
      </w:r>
    </w:p>
    <w:p>
      <w:pPr>
        <w:ind w:left="0" w:firstLine="0" w:hanging="0"/>
        <w:jc w:val="left"/>
      </w:pPr>
      <w:r>
        <w:rPr>
          <w:rFonts w:ascii="Times New Roman" w:hAnsi="굴림체" w:cs="굴림체" w:eastAsia="굴림체"/>
          <w:sz w:val="24"/>
        </w:rPr>
        <w:t>2. It shall come into force 12 months after the date on which the ratifications of two Members have been registered with the Director-General.</w:t>
      </w:r>
    </w:p>
    <w:p>
      <w:pPr>
        <w:ind w:left="0" w:firstLine="0" w:hanging="0"/>
        <w:jc w:val="left"/>
      </w:pPr>
      <w:r>
        <w:rPr>
          <w:rFonts w:ascii="Times New Roman" w:hAnsi="굴림체" w:cs="굴림체" w:eastAsia="굴림체"/>
          <w:sz w:val="24"/>
        </w:rPr>
        <w:t>3. Thereafter, this Convention shall come into force for any Member 12 months after the date on which its ratification has been registered.</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1. A Member which has ratified this Convention may denounce it after the expiration of ten years from the date on which the Convention first comes into force, by an act communicated to the Director- General of the International Labour Office for registration. Such denunciation shall not take effect until one year after the date on which it is registered.</w:t>
      </w:r>
    </w:p>
    <w:p>
      <w:pPr>
        <w:ind w:left="0" w:firstLine="0" w:hanging="0"/>
        <w:jc w:val="left"/>
      </w:pPr>
      <w:r>
        <w:rPr>
          <w:rFonts w:ascii="Times New Roman" w:hAnsi="굴림체" w:cs="굴림체" w:eastAsia="굴림체"/>
          <w:sz w:val="24"/>
        </w:rPr>
        <w:t>2. Each Member which has ratified this Convention and which does not, within the year following the expiration of the period of ten years mentioned in the preceding paragraph, exercise the right of denunciation provided for in this Article, will be bound for another period of ten years and, thereafter, may denounce this Convention at the expiration of each period of ten years under the terms provided for in this Article.</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1. The Director-General of the International Labour Office shall notify all Members of the International Labour Organization of the registration of all ratifications and acts of denunciation communicated by the Members of the Organization.</w:t>
      </w:r>
    </w:p>
    <w:p>
      <w:pPr>
        <w:ind w:left="0" w:firstLine="0" w:hanging="0"/>
        <w:jc w:val="left"/>
      </w:pPr>
      <w:r>
        <w:rPr>
          <w:rFonts w:ascii="Times New Roman" w:hAnsi="굴림체" w:cs="굴림체" w:eastAsia="굴림체"/>
          <w:sz w:val="24"/>
        </w:rPr>
        <w:t>2. When notifying the Members of the Organization of the registration of the second ratification, the Director-General shall draw the attention of the Members of the Organization to the date upon which the Convention shall come into force.</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The Director-General of the International Labour Office shall communicate to the Secretary-General of the United Nations, for registration in accordance with article 102 of the Charter of the United Nations, full particulars of all ratifications and acts of denunciation registered by the Director-General in accordance with the provisions of the preceding Articles.</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At such times as it may consider necessary, the Governing Body of the International Labour Office shall present to the General Conference a report on the working of this Convention and shall examine the desirability of placing on the agenda of the Conference the question of its revision in whole or in part.</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1. Should the Conference adopt a new Convention revising this Convention in whole or in part, then, unless the new Convention otherwise provides:</w:t>
      </w:r>
    </w:p>
    <w:p>
      <w:pPr>
        <w:ind w:left="0" w:firstLine="0" w:hanging="0"/>
        <w:jc w:val="left"/>
      </w:pPr>
      <w:r>
        <w:rPr>
          <w:rFonts w:ascii="Times New Roman" w:hAnsi="굴림체" w:cs="굴림체" w:eastAsia="굴림체"/>
          <w:sz w:val="24"/>
        </w:rPr>
        <w:t xml:space="preserve">  (a) The ratification by a Member of the new revising Convention shall ipso jure involve the immediate denunciation of this Convention, notwithstanding the provisions of Article 11 above, if and when the new revising Convention shall have come into force;</w:t>
      </w:r>
    </w:p>
    <w:p>
      <w:pPr>
        <w:ind w:left="0" w:firstLine="0" w:hanging="0"/>
        <w:jc w:val="left"/>
      </w:pPr>
      <w:r>
        <w:rPr>
          <w:rFonts w:ascii="Times New Roman" w:hAnsi="굴림체" w:cs="굴림체" w:eastAsia="굴림체"/>
          <w:sz w:val="24"/>
        </w:rPr>
        <w:t xml:space="preserve">  (b) As from the date when the new revising Convention comes into force, this Convention shall cease to be open to ratification by the Members.</w:t>
      </w:r>
    </w:p>
    <w:p>
      <w:pPr>
        <w:ind w:left="0" w:firstLine="0" w:hanging="0"/>
        <w:jc w:val="left"/>
      </w:pPr>
      <w:r>
        <w:rPr>
          <w:rFonts w:ascii="Times New Roman" w:hAnsi="굴림체" w:cs="굴림체" w:eastAsia="굴림체"/>
          <w:sz w:val="24"/>
        </w:rPr>
        <w:t>2.This Convention shall in any case remain in force in its actual form and content for those Members which have ratified it but have not ratified the revising Convention.</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The English and French versions of the text of this Convention are equally authoritative.</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