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제20호 (1992): 제7조 (고문 또는 잔혹한, 비인도적인 또는 굴욕적인 처우 또는 처벌의 금지)</w:t>
      </w:r>
    </w:p>
    <w:p>
      <w:pPr>
        <w:ind w:left="0" w:firstLine="0" w:hanging="0"/>
        <w:jc w:val="center"/>
      </w:pPr>
      <w:r>
        <w:rPr>
          <w:rFonts w:ascii="Times New Roman" w:hAnsi="굴림체" w:cs="굴림체" w:eastAsia="굴림체"/>
          <w:sz w:val="24"/>
        </w:rPr>
        <w:t>CCPR GC No. 20 (1992): Article 7 (Prohibition of torture, or other cruel, inhuman or degrading treatment or punishment)</w:t>
      </w:r>
    </w:p>
    <w:p>
      <w:pPr>
        <w:ind w:left="0" w:firstLine="0" w:hanging="0"/>
        <w:jc w:val="center"/>
      </w:pPr>
      <w:r>
        <w:rPr>
          <w:rFonts w:ascii="Times New Roman" w:hAnsi="굴림체" w:cs="굴림체" w:eastAsia="굴림체"/>
          <w:sz w:val="24"/>
        </w:rPr>
        <w:t xml:space="preserve">채택일 1992. 4. 3. / </w:t>
      </w:r>
    </w:p>
    <w:p>
      <w:pPr>
        <w:ind w:left="0" w:firstLine="0" w:hanging="0"/>
        <w:jc w:val="right"/>
      </w:pPr>
      <w:r>
        <w:rPr>
          <w:rFonts w:ascii="Times New Roman" w:hAnsi="굴림체" w:cs="굴림체" w:eastAsia="굴림체"/>
          <w:sz w:val="24"/>
        </w:rPr>
        <w:t>A/47/40(SUPP)</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20 (1992): Article 7 (Prohibition of torture, or other cruel, inhuman or degrading treatment or punishment)</w:t>
      </w:r>
    </w:p>
    <w:p>
      <w:pPr>
        <w:ind w:left="0" w:firstLine="0" w:hanging="0"/>
        <w:jc w:val="left"/>
      </w:pPr>
      <w:r>
        <w:rPr>
          <w:rFonts w:ascii="Times New Roman" w:hAnsi="굴림체" w:cs="굴림체" w:eastAsia="굴림체"/>
          <w:sz w:val="24"/>
        </w:rPr>
        <w:t>1. This general comment replaces general comment No. 7 (the sixteenth session, 1982) reflecting and further developing it.</w:t>
      </w:r>
    </w:p>
    <w:p>
      <w:pPr>
        <w:ind w:left="0" w:firstLine="0" w:hanging="0"/>
        <w:jc w:val="left"/>
      </w:pPr>
      <w:r>
        <w:rPr>
          <w:rFonts w:ascii="Times New Roman" w:hAnsi="굴림체" w:cs="굴림체" w:eastAsia="굴림체"/>
          <w:sz w:val="24"/>
        </w:rPr>
        <w:t>2. The aim of the provisions of article 7 of the International Covenant on Civil and Political Rights is to protect both the dignity and the physical and mental integrity of the individual. It is the duty of the State party to afford everyone protection through legislative and other measures as may be necessary against the acts prohibited by article 7, whether inflicted by people acting in their official capacity, outside their official capacity or in a private capacity. The prohibition in article 7 is complemented by the positive requirements of article 10, paragraph 1, of the Covenant, which stipulates that “All persons deprived of their liberty shall be treated with humanity and with respect for the inherent dignity of the human person.”</w:t>
      </w:r>
    </w:p>
    <w:p>
      <w:pPr>
        <w:ind w:left="0" w:firstLine="0" w:hanging="0"/>
        <w:jc w:val="left"/>
      </w:pPr>
      <w:r>
        <w:rPr>
          <w:rFonts w:ascii="Times New Roman" w:hAnsi="굴림체" w:cs="굴림체" w:eastAsia="굴림체"/>
          <w:sz w:val="24"/>
        </w:rPr>
        <w:t>3. The text of article 7 allows of no limitation. The Committee also reaffirms that, even in situations of public emergency such as those referred to in article 4 of the Covenant, no derogation from the provision of article 7 is allowed and its provisions must remain in force. The Committee likewise observes that no justification or extenuating circumstances may be invoked to excuse a violation of article 7 for any reasons, including those based on an order from a superior officer or public authority.</w:t>
      </w:r>
    </w:p>
    <w:p>
      <w:pPr>
        <w:ind w:left="0" w:firstLine="0" w:hanging="0"/>
        <w:jc w:val="left"/>
      </w:pPr>
      <w:r>
        <w:rPr>
          <w:rFonts w:ascii="Times New Roman" w:hAnsi="굴림체" w:cs="굴림체" w:eastAsia="굴림체"/>
          <w:sz w:val="24"/>
        </w:rPr>
        <w:t>4. The Covenant does not contain any definition of the concepts covered by article 7, nor does the Committee consider it necessary to draw up a list of prohibited acts or to establish sharp distinctions between the different kinds of punishment or treatment; the distinctions depend on the nature, purpose and severity of the treatment applied.</w:t>
      </w:r>
    </w:p>
    <w:p>
      <w:pPr>
        <w:ind w:left="0" w:firstLine="0" w:hanging="0"/>
        <w:jc w:val="left"/>
      </w:pPr>
      <w:r>
        <w:rPr>
          <w:rFonts w:ascii="Times New Roman" w:hAnsi="굴림체" w:cs="굴림체" w:eastAsia="굴림체"/>
          <w:sz w:val="24"/>
        </w:rPr>
        <w:t>5. The prohibition in article 7 relates not only to acts that cause physical pain but also to acts that cause mental suffering to the victim. In the Committee’s view, moreover, the prohibition must extend to corporal punishment, including excessive chastisement ordered as punishment for a crime or as an educative or disciplinary measure. It is appropriate to emphasize in this regard that article 7 protects, in particular, children, pupils and patients in teaching and medical institutions.</w:t>
      </w:r>
    </w:p>
    <w:p>
      <w:pPr>
        <w:ind w:left="0" w:firstLine="0" w:hanging="0"/>
        <w:jc w:val="left"/>
      </w:pPr>
      <w:r>
        <w:rPr>
          <w:rFonts w:ascii="Times New Roman" w:hAnsi="굴림체" w:cs="굴림체" w:eastAsia="굴림체"/>
          <w:sz w:val="24"/>
        </w:rPr>
        <w:t>6. The Committee notes that prolonged solitary confinement of the detained or imprisoned person may amount to acts prohibited by article 7. As the Committee has stated in its general comment No. 6 (16), article 6 of the Covenant refers generally to abolition of the death penalty in terms that strongly suggest that abolition is desirable. Moreover, when the death penalty is applied by a State party for the most serious crimes, it must not only be strictly limited in accordance with article 6 but it must be carried out in such a way as to cause the least possible physical and mental suffering.</w:t>
      </w:r>
    </w:p>
    <w:p>
      <w:pPr>
        <w:ind w:left="0" w:firstLine="0" w:hanging="0"/>
        <w:jc w:val="left"/>
      </w:pPr>
      <w:r>
        <w:rPr>
          <w:rFonts w:ascii="Times New Roman" w:hAnsi="굴림체" w:cs="굴림체" w:eastAsia="굴림체"/>
          <w:sz w:val="24"/>
        </w:rPr>
        <w:t>7. Article 7 expressly prohibits medical or scientific experimentation without the free consent of the person concerned. The Committee notes that the reports of States parties generally contain little information on this point. More attention should be given to the need and means to ensure observance of this provision. The Committee also observes that special protection in regard to such experiments is necessary in the case of persons not capable of giving valid consent, and in particular those under any form of detention or imprisonment. Such persons should not be subjected to any medical or scientific experimentation that may be detrimental to their health.</w:t>
      </w:r>
    </w:p>
    <w:p>
      <w:pPr>
        <w:ind w:left="0" w:firstLine="0" w:hanging="0"/>
        <w:jc w:val="left"/>
      </w:pPr>
      <w:r>
        <w:rPr>
          <w:rFonts w:ascii="Times New Roman" w:hAnsi="굴림체" w:cs="굴림체" w:eastAsia="굴림체"/>
          <w:sz w:val="24"/>
        </w:rPr>
        <w:t>8. The Committee notes that it is not sufficient for the implementation of article 7 to prohibit such treatment or punishment or to make it a crime. States parties should inform the Committee of the legislative, administrative, judicial and other measures they take to prevent and punish acts of torture and cruel, inhuman and degrading treatment in any territory under their jurisdiction.</w:t>
      </w:r>
    </w:p>
    <w:p>
      <w:pPr>
        <w:ind w:left="0" w:firstLine="0" w:hanging="0"/>
        <w:jc w:val="left"/>
      </w:pPr>
      <w:r>
        <w:rPr>
          <w:rFonts w:ascii="Times New Roman" w:hAnsi="굴림체" w:cs="굴림체" w:eastAsia="굴림체"/>
          <w:sz w:val="24"/>
        </w:rPr>
        <w:t>9. In the view of the Committee, States parties must not expose individuals to the danger of torture or cruel, inhuman or degrading treatment or punishment upon return to another country by way of their extradition, expulsion or refoulement. States parties should indicate in their reports what measures they have adopted to that end.</w:t>
      </w:r>
    </w:p>
    <w:p>
      <w:pPr>
        <w:ind w:left="0" w:firstLine="0" w:hanging="0"/>
        <w:jc w:val="left"/>
      </w:pPr>
      <w:r>
        <w:rPr>
          <w:rFonts w:ascii="Times New Roman" w:hAnsi="굴림체" w:cs="굴림체" w:eastAsia="굴림체"/>
          <w:sz w:val="24"/>
        </w:rPr>
        <w:t>10. The Committee should be informed how States parties disseminate, to the population at large, relevant information concerning the ban on torture and the treatment prohibited by article 7. Enforcement personnel, medical personnel, police officers and any other persons involved in the custody or treatment of any individual subjected to any form of arrest, detention or imprisonment must receive appropriate instruction and training. States parties should inform the Committee of the instruction and training given and the way in which the prohibition of article 7 forms an integral part of the operational rules and ethical standards to be followed by such persons.</w:t>
      </w:r>
    </w:p>
    <w:p>
      <w:pPr>
        <w:ind w:left="0" w:firstLine="0" w:hanging="0"/>
        <w:jc w:val="left"/>
      </w:pPr>
      <w:r>
        <w:rPr>
          <w:rFonts w:ascii="Times New Roman" w:hAnsi="굴림체" w:cs="굴림체" w:eastAsia="굴림체"/>
          <w:sz w:val="24"/>
        </w:rPr>
        <w:t>11. In addition to describing steps to provide the general protection against acts prohibited under article 7 to which anyone is entitled, the State party should provide detailed information on safeguards for the special protection of particularly vulnerable persons. It should be noted that keeping under systematic review interrogation rules, instructions, methods and practices as well as arrangements for the custody and treatment of persons subjected to any form of arrest, detention or imprisonment is an effective means of preventing cases of torture and illtreatment. To guarantee the effective protection of detained persons, provisions should be made for detainees to be held in places officially recognized as places of detention and for their names and places of detention, as well as for the names of persons responsible for their detention, to be kept in registers readily available and accessible to those concerned, including relatives and friends. To the same effect, the time and place of all interrogations should be recorded, together with the names of all those present and this information should also be available for purposes of judicial or administrative proceedings. Provisions should also be made against incommunicado detention. In that connection, States parties should ensure that any places of detention be free from any equipment liable to be used for inflicting torture or illtreatment. The protection of the detainee also requires that prompt and regular access be given to doctors and lawyers and, under appropriate supervision when the investigation so requires, to family members.</w:t>
      </w:r>
    </w:p>
    <w:p>
      <w:pPr>
        <w:ind w:left="0" w:firstLine="0" w:hanging="0"/>
        <w:jc w:val="left"/>
      </w:pPr>
      <w:r>
        <w:rPr>
          <w:rFonts w:ascii="Times New Roman" w:hAnsi="굴림체" w:cs="굴림체" w:eastAsia="굴림체"/>
          <w:sz w:val="24"/>
        </w:rPr>
        <w:t>12. It is important for the discouragement of violations under article 7 that the law must prohibit the use of admissibility in judicial proceedings of statements or confessions obtained through torture or other prohibited treatment.</w:t>
      </w:r>
    </w:p>
    <w:p>
      <w:pPr>
        <w:ind w:left="0" w:firstLine="0" w:hanging="0"/>
        <w:jc w:val="left"/>
      </w:pPr>
      <w:r>
        <w:rPr>
          <w:rFonts w:ascii="Times New Roman" w:hAnsi="굴림체" w:cs="굴림체" w:eastAsia="굴림체"/>
          <w:sz w:val="24"/>
        </w:rPr>
        <w:t>13. States parties should indicate when presenting their reports the provisions of their criminal law which penalize torture and cruel, inhuman and degrading treatment or punishment, specifying the penalties applicable to such acts, whether committed by public officials or other persons acting on behalf of the State, or by private persons. Those who violate article 7, whether by encouraging, ordering, tolerating or perpetrating prohibited acts, must be held responsible. Consequently, those who have refused to obey orders must not be punished or subjected to any adverse treatment.</w:t>
      </w:r>
    </w:p>
    <w:p>
      <w:pPr>
        <w:ind w:left="0" w:firstLine="0" w:hanging="0"/>
        <w:jc w:val="left"/>
      </w:pPr>
      <w:r>
        <w:rPr>
          <w:rFonts w:ascii="Times New Roman" w:hAnsi="굴림체" w:cs="굴림체" w:eastAsia="굴림체"/>
          <w:sz w:val="24"/>
        </w:rPr>
        <w:t>14. Article 7 should be read in conjunction with article 2, paragraph 3, of the Covenant. In their reports, States parties should indicate how their legal system effectively guarantees the immediate termination of all the acts prohibited by article 7 as well as appropriate redress. The right to lodge complaints against maltreatment prohibited by article 7 must be recognized in the domestic law. Complaints must be investigated promptly and impartially by competent authorities so as to make the remedy effective. The reports of States parties should provide specific information on the remedies available to victims of maltreatment and the procedure that complainants must follow, and statistics on the number of complaints and how they have been dealt with.</w:t>
      </w:r>
    </w:p>
    <w:p>
      <w:pPr>
        <w:ind w:left="0" w:firstLine="0" w:hanging="0"/>
        <w:jc w:val="left"/>
      </w:pPr>
      <w:r>
        <w:rPr>
          <w:rFonts w:ascii="Times New Roman" w:hAnsi="굴림체" w:cs="굴림체" w:eastAsia="굴림체"/>
          <w:sz w:val="24"/>
        </w:rPr>
        <w:t>15. The Committee has noted that some States have granted amnesty in respect of acts of torture. Amnesties are generally incompatible with the duty of States to investigate such acts; to guarantee freedom from such acts within their jurisdiction; and to ensure that they do not occur in the future. States may not deprive individuals of the right to an effective remedy, including compensation and such full rehabilitation as may be possible.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