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일반권고 제15호(1993): 협약 제4조</w:t>
      </w:r>
    </w:p>
    <w:p>
      <w:pPr>
        <w:ind w:left="0" w:firstLine="0" w:hanging="0"/>
        <w:jc w:val="center"/>
      </w:pPr>
      <w:r>
        <w:rPr>
          <w:rFonts w:ascii="Times New Roman" w:hAnsi="굴림체" w:cs="굴림체" w:eastAsia="굴림체"/>
          <w:sz w:val="24"/>
        </w:rPr>
        <w:t>CERD GR No. 15(1993): Article 4 of the Convention</w:t>
      </w:r>
    </w:p>
    <w:p>
      <w:pPr>
        <w:ind w:left="0" w:firstLine="0" w:hanging="0"/>
        <w:jc w:val="center"/>
      </w:pPr>
      <w:r>
        <w:rPr>
          <w:rFonts w:ascii="Times New Roman" w:hAnsi="굴림체" w:cs="굴림체" w:eastAsia="굴림체"/>
          <w:sz w:val="24"/>
        </w:rPr>
        <w:t>배포일 1993. 9. 15.</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A/48/18</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recommendation 15 (1993) on article 4 of the Convention</w:t>
      </w:r>
    </w:p>
    <w:p>
      <w:pPr>
        <w:ind w:left="0" w:firstLine="0" w:hanging="0"/>
        <w:jc w:val="left"/>
      </w:pPr>
      <w:r>
        <w:rPr>
          <w:rFonts w:ascii="Times New Roman" w:hAnsi="굴림체" w:cs="굴림체" w:eastAsia="굴림체"/>
          <w:sz w:val="24"/>
        </w:rPr>
        <w:t>1. When the International Convention on the Elimination of All Forms of Racial Discrimination was being adopted, article 4 was regarded as central to the struggle against racial discrimination. At that time, there was a widespread fear of the revival of authoritarian ideologies. The proscription of the dissemination of ideas of racial superiority, and of organized activity likely to incite persons to racial violence, was properly regarded as crucial. Since that time, the Committee has received evidence of organized violence based on ethnic origin and the political exploitation of ethnic difference. As a result, implementation of article 4 is now of increased importance.</w:t>
      </w:r>
    </w:p>
    <w:p>
      <w:pPr>
        <w:ind w:left="0" w:firstLine="0" w:hanging="0"/>
        <w:jc w:val="left"/>
      </w:pPr>
      <w:r>
        <w:rPr>
          <w:rFonts w:ascii="Times New Roman" w:hAnsi="굴림체" w:cs="굴림체" w:eastAsia="굴림체"/>
          <w:sz w:val="24"/>
        </w:rPr>
        <w:t>2. The Committee recalls its general recommendation VII in which it explained that the provisions of article 4 are of a mandatory character. To satisfy these obligations, States parties have not only to enact appropriate legislation but also to ensure that it is effectively enforced. Because threats and acts of racial violence easily lead to other such acts and generate an atmosphere of hostility, only immediate intervention can meet the obligations of effective response.</w:t>
      </w:r>
    </w:p>
    <w:p>
      <w:pPr>
        <w:ind w:left="0" w:firstLine="0" w:hanging="0"/>
        <w:jc w:val="left"/>
      </w:pPr>
      <w:r>
        <w:rPr>
          <w:rFonts w:ascii="Times New Roman" w:hAnsi="굴림체" w:cs="굴림체" w:eastAsia="굴림체"/>
          <w:sz w:val="24"/>
        </w:rPr>
        <w:t>3. Article 4 (a) requires States parties to penalize four categories of misconduct: (i) dissemination of ideas based upon racial superiority or hatred; (ii) incitement to racial hatred; (iii) acts of violence against any race or group of persons of another colour or ethnic origin; and (iv) incitement to such acts.</w:t>
      </w:r>
    </w:p>
    <w:p>
      <w:pPr>
        <w:ind w:left="0" w:firstLine="0" w:hanging="0"/>
        <w:jc w:val="left"/>
      </w:pPr>
      <w:r>
        <w:rPr>
          <w:rFonts w:ascii="Times New Roman" w:hAnsi="굴림체" w:cs="굴림체" w:eastAsia="굴림체"/>
          <w:sz w:val="24"/>
        </w:rPr>
        <w:t>4. In the opinion of the Committee, the prohibition of the dissemination of all ideas based upon racial superiority or hatred is compatible with the right to freedom of opinion and expression. This right is embodied in article 19 of the Universal Declaration of Human Rights and is recalled in article 5 (d) (viii) of the International Convention on the Elimination of All Forms of Racial Discrimination. Its relevance to article 4 is noted in the article itself. The citizen’s exercise of this right carries special duties and responsibilities, specified in article 29, paragraph 2, of the Universal Declaration, among which the obligation not to disseminate racist ideas is of particular importance. The Committee wishes, furthermore, to draw to the attention of States parties article 20 of the International Covenant on Civil and Political Rights, according to which any advocacy of national, racial or religious hatred that constitutes incitement to discrimination, hostility or violence shall be prohibited by law.</w:t>
      </w:r>
    </w:p>
    <w:p>
      <w:pPr>
        <w:ind w:left="0" w:firstLine="0" w:hanging="0"/>
        <w:jc w:val="left"/>
      </w:pPr>
      <w:r>
        <w:rPr>
          <w:rFonts w:ascii="Times New Roman" w:hAnsi="굴림체" w:cs="굴림체" w:eastAsia="굴림체"/>
          <w:sz w:val="24"/>
        </w:rPr>
        <w:t>5. Article 4 (a) also penalizes the financing of racist activities, which the Committee takes to include all the activities mentioned in paragraph 3 above, that is to say, activities deriving from ethnic as well as racial differences. The Committee calls upon States parties to investigate whether their national law and its implementation meet this requirement.</w:t>
      </w:r>
    </w:p>
    <w:p>
      <w:pPr>
        <w:ind w:left="0" w:firstLine="0" w:hanging="0"/>
        <w:jc w:val="left"/>
      </w:pPr>
      <w:r>
        <w:rPr>
          <w:rFonts w:ascii="Times New Roman" w:hAnsi="굴림체" w:cs="굴림체" w:eastAsia="굴림체"/>
          <w:sz w:val="24"/>
        </w:rPr>
        <w:t>6. Some States have maintained that in their legal order it is inappropriate to declare illegal an organization before its members have promoted or incited racial discrimination. The Committee is of the opinion that article 4 (b) places a greater burden upon such States to be vigilant in proceeding against such organizations at the earliest moment. These organizations, as well as organized and other propaganda activities, have to be declared illegal and prohibited. Participation in these organizations is, of itself, to be punished.</w:t>
      </w:r>
    </w:p>
    <w:p>
      <w:pPr>
        <w:ind w:left="0" w:firstLine="0" w:hanging="0"/>
        <w:jc w:val="left"/>
      </w:pPr>
      <w:r>
        <w:rPr>
          <w:rFonts w:ascii="Times New Roman" w:hAnsi="굴림체" w:cs="굴림체" w:eastAsia="굴림체"/>
          <w:sz w:val="24"/>
        </w:rPr>
        <w:t>7. Article 4 (c) of the Convention outlines the obligations of public authorities. Public authorities at all administrative levels, including municipalities, are bound by this paragraph. The Committee holds that States parties must ensure that they observe these obligations and report on this.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