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사회권위원회 일반논평 제04호(1991): 적절한 주거에 대한 권리 (규약 제11조 1항)</w:t>
      </w:r>
    </w:p>
    <w:p>
      <w:pPr>
        <w:ind w:left="0" w:firstLine="0" w:hanging="0"/>
        <w:jc w:val="center"/>
      </w:pPr>
      <w:r>
        <w:rPr>
          <w:rFonts w:ascii="Times New Roman" w:hAnsi="굴림체" w:cs="굴림체" w:eastAsia="굴림체"/>
          <w:sz w:val="24"/>
        </w:rPr>
        <w:t>CESCR GC No. 04(1991): The right to adequate housing (art. 11 (1) of the Covenant)</w:t>
      </w:r>
    </w:p>
    <w:p>
      <w:pPr>
        <w:ind w:left="0" w:firstLine="0" w:hanging="0"/>
        <w:jc w:val="center"/>
      </w:pPr>
      <w:r>
        <w:rPr>
          <w:rFonts w:ascii="Times New Roman" w:hAnsi="굴림체" w:cs="굴림체" w:eastAsia="굴림체"/>
          <w:sz w:val="24"/>
        </w:rPr>
        <w:t>배포일 1991. 12. 13.</w:t>
      </w:r>
    </w:p>
    <w:p>
      <w:pPr>
        <w:ind w:left="0" w:firstLine="0" w:hanging="0"/>
        <w:jc w:val="right"/>
      </w:pPr>
      <w:r>
        <w:rPr>
          <w:rFonts w:ascii="Times New Roman" w:hAnsi="굴림체" w:cs="굴림체" w:eastAsia="굴림체"/>
          <w:sz w:val="24"/>
        </w:rPr>
        <w:t>E/1992/23(Annexes III)</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4: The right to adequate housing (art. 11 (1) of the Covenant)</w:t>
      </w:r>
    </w:p>
    <w:p>
      <w:pPr>
        <w:ind w:left="0" w:firstLine="0" w:hanging="0"/>
        <w:jc w:val="left"/>
      </w:pPr>
      <w:r>
        <w:rPr>
          <w:rFonts w:ascii="Times New Roman" w:hAnsi="굴림체" w:cs="굴림체" w:eastAsia="굴림체"/>
          <w:sz w:val="24"/>
        </w:rPr>
        <w:t>1. Pursuant to article 11 (1) of the Covenant, States parties “recognize the right of everyone to an adequate standard of living for himself and his family, including adequate food, clothing and housing, and to the continuous improvement of living conditions”. The human right to adequate housing, which is thus derived from the right to an adequate standard of living, is of central importance for the enjoyment of all economic, social and cultural rights.</w:t>
      </w:r>
    </w:p>
    <w:p>
      <w:pPr>
        <w:ind w:left="0" w:firstLine="0" w:hanging="0"/>
        <w:jc w:val="left"/>
      </w:pPr>
      <w:r>
        <w:rPr>
          <w:rFonts w:ascii="Times New Roman" w:hAnsi="굴림체" w:cs="굴림체" w:eastAsia="굴림체"/>
          <w:sz w:val="24"/>
        </w:rPr>
        <w:t>2. The Committee has been able to accumulate a large amount of information pertaining to this right. Since 1979, the Committee and its predecessors have examined 75 reports dealing with the right to adequate housing. The Committee has also devoted a day of general discussion to the issue at each of its third (see E/1989/22, para. 312) and fourth sessions (E/1990/23, paras. 281285). In addition, the Committee has taken careful note of information generated by the International Year of Shelter for the Homeless (1987) including the Global Strategy for Shelter to the Year 2000 adopted by the General Assembly in its resolution 42/191 of 11 December 1987. *1 ) The Committee has also reviewed relevant reports and other documentation of the Commission on Human Rights and the Sub-Commission on Prevention of Discrimination and Protection of Minorities. *2 )</w:t>
      </w:r>
    </w:p>
    <w:p>
      <w:pPr>
        <w:ind w:left="0" w:firstLine="0" w:hanging="0"/>
        <w:jc w:val="left"/>
      </w:pPr>
      <w:r>
        <w:rPr>
          <w:rFonts w:ascii="Times New Roman" w:hAnsi="굴림체" w:cs="굴림체" w:eastAsia="굴림체"/>
          <w:sz w:val="24"/>
        </w:rPr>
        <w:t>3. Although a wide variety of international instruments address the different dimensions of the right to adequate housing *3 ) article 11 (1) of the Covenant is the most comprehensive and perhaps the most important of the relevant provisions.</w:t>
      </w:r>
    </w:p>
    <w:p>
      <w:pPr>
        <w:ind w:left="0" w:firstLine="0" w:hanging="0"/>
        <w:jc w:val="left"/>
      </w:pPr>
      <w:r>
        <w:rPr>
          <w:rFonts w:ascii="Times New Roman" w:hAnsi="굴림체" w:cs="굴림체" w:eastAsia="굴림체"/>
          <w:sz w:val="24"/>
        </w:rPr>
        <w:t>4. Despite the fact that the international community has frequently reaffirmed the importance of full respect for the right to adequate housing, there remains a disturbingly large gap between the standards set in article 11 (1) of the Covenant and the situation prevailing in many parts of the world. While the problems are often particularly acute in some developing countries which confront major resource and other constraints, the Committee observes that significant problems of homelessness and inadequate housing also exist in some of the most economically developed societies. The United Nations estimates that there are over 100 million persons homeless worldwide and over 1 billion inadequately housed. *4 ) There is no indication that this number is decreasing. It seems clear that no State party is free of significant problems of one kind or another in relation to the right to housing.</w:t>
      </w:r>
    </w:p>
    <w:p>
      <w:pPr>
        <w:ind w:left="0" w:firstLine="0" w:hanging="0"/>
        <w:jc w:val="left"/>
      </w:pPr>
      <w:r>
        <w:rPr>
          <w:rFonts w:ascii="Times New Roman" w:hAnsi="굴림체" w:cs="굴림체" w:eastAsia="굴림체"/>
          <w:sz w:val="24"/>
        </w:rPr>
        <w:t>5. In some instances, the reports of States parties examined by the Committee have acknowledged and described difficulties in ensuring the right to adequate housing. For the most part, however, the information provided has been insufficient to enable the Committee to obtain an adequate picture of the situation prevailing in the State concerned. This general comment thus aims to identify some of the principal issues which the Committee considers to be important in relation to this right.</w:t>
      </w:r>
    </w:p>
    <w:p>
      <w:pPr>
        <w:ind w:left="0" w:firstLine="0" w:hanging="0"/>
        <w:jc w:val="left"/>
      </w:pPr>
      <w:r>
        <w:rPr>
          <w:rFonts w:ascii="Times New Roman" w:hAnsi="굴림체" w:cs="굴림체" w:eastAsia="굴림체"/>
          <w:sz w:val="24"/>
        </w:rPr>
        <w:t>6. The right to adequate housing applies to everyone. While the reference to “himself and his family” reflects assumptions as to gender roles and economic activity patterns commonly accepted in 1966 when the Covenant was adopted, the phrase cannot be read today as implying any limitations upon the applicability of the right to individuals or to femaleheaded households or other such groups. Thus, the concept of “family” must be understood in a wide sense. Further, individuals, as well as families, are entitled to adequate housing regardless of age, economic status, group or other affiliation or status and other such factors. In particular, enjoyment of this right must, in accordance with article 2 (2) of the Covenant, not be subject to any form of discrimination.</w:t>
      </w:r>
    </w:p>
    <w:p>
      <w:pPr>
        <w:ind w:left="0" w:firstLine="0" w:hanging="0"/>
        <w:jc w:val="left"/>
      </w:pPr>
      <w:r>
        <w:rPr>
          <w:rFonts w:ascii="Times New Roman" w:hAnsi="굴림체" w:cs="굴림체" w:eastAsia="굴림체"/>
          <w:sz w:val="24"/>
        </w:rPr>
        <w:t>7. In the Committee’s view, the right to housing should not be interpreted in a narrow or restrictive sense which equates it with, for example, the shelter provided by merely having a roof over one’s head or views shelter exclusively as a commodity. Rather it should be seen as the right to live somewhere in security, peace and dignity. This is appropriate for at least two reasons. In the first place, the right to housing is integrally linked to other human rights and to the fundamental principles upon which the Covenant is premised. This “the inherent dignity of the human person” from which the rights in the Covenant are said to derive requires that the term “housing” be interpreted so as to take account of a variety of other considerations, most importantly that the right to housing should be ensured to all persons irrespective of income or access to economic resources. Secondly, the reference in article 11 (1) must be read as referring not just to housing but to adequate housing. As both the Commission on Human Settlements and the Global Strategy for Shelter to the Year 2000 have stated: “Adequate shelter means ... adequate privacy, adequate space, adequate security, adequate lighting and ventilation, adequate basic infrastructure and adequate location with regard to work and basic facilities all at a reasonable cost”.</w:t>
      </w:r>
    </w:p>
    <w:p>
      <w:pPr>
        <w:ind w:left="0" w:firstLine="0" w:hanging="0"/>
        <w:jc w:val="left"/>
      </w:pPr>
      <w:r>
        <w:rPr>
          <w:rFonts w:ascii="Times New Roman" w:hAnsi="굴림체" w:cs="굴림체" w:eastAsia="굴림체"/>
          <w:sz w:val="24"/>
        </w:rPr>
        <w:t>8. Thus the concept of adequacy is particularly significant in relation to the right to housing since it serves to underline a number of factors which must be taken into account in determining whether particular forms of shelter can be considered to constitute “adequate housing” for the purposes of the Covenant. While adequacy is determined in part by social, economic, cultural, climatic, ecological and other factors, the Committee believes that it is nevertheless possible to identify certain aspects of the right that must be taken into account for this purpose in any particular context. They include the following:</w:t>
      </w:r>
    </w:p>
    <w:p>
      <w:pPr>
        <w:ind w:left="0" w:firstLine="0" w:hanging="0"/>
        <w:jc w:val="left"/>
      </w:pPr>
      <w:r>
        <w:rPr>
          <w:rFonts w:ascii="Times New Roman" w:hAnsi="굴림체" w:cs="굴림체" w:eastAsia="굴림체"/>
          <w:sz w:val="24"/>
        </w:rPr>
        <w:t xml:space="preserve">	(a) Legal security of tenure. Tenure takes a variety of forms, including rental (public and private) accommodation, cooperative housing, lease, owneroccupation, emergency housing and informal settlements, including occupation of land or property. Notwithstanding the type of tenure, all persons should possess a degree of security of tenure which guarantees legal protection against forced eviction, harassment and other threats. States parties should consequently take immediate measures aimed at conferring legal security of tenure upon those persons and households currently lacking such protection, in genuine consultation with affected persons and groups;</w:t>
      </w:r>
    </w:p>
    <w:p>
      <w:pPr>
        <w:ind w:left="0" w:firstLine="0" w:hanging="0"/>
        <w:jc w:val="left"/>
      </w:pPr>
      <w:r>
        <w:rPr>
          <w:rFonts w:ascii="Times New Roman" w:hAnsi="굴림체" w:cs="굴림체" w:eastAsia="굴림체"/>
          <w:sz w:val="24"/>
        </w:rPr>
        <w:t xml:space="preserve">	(b) Availability of services, materials, facilities and infrastructure. An adequate house must contain certain facilities essential for health, security, comfort and nutrition. All beneficiaries of the right to adequate housing should have sustainable access to natural and common resources, safe drinking water, energy for cooking, heating and lighting, sanitation and washing facilities, means of food storage, refuse disposal, site drainage and emergency services;</w:t>
      </w:r>
    </w:p>
    <w:p>
      <w:pPr>
        <w:ind w:left="0" w:firstLine="0" w:hanging="0"/>
        <w:jc w:val="left"/>
      </w:pPr>
      <w:r>
        <w:rPr>
          <w:rFonts w:ascii="Times New Roman" w:hAnsi="굴림체" w:cs="굴림체" w:eastAsia="굴림체"/>
          <w:sz w:val="24"/>
        </w:rPr>
        <w:t xml:space="preserve">	(c) Affordability. Personal or household financial costs associated with housing should be at such a level that the attainment and satisfaction of other basic needs are not threatened or compromised. Steps should be taken by States parties to ensure that the percentage of housingrelated costs is, in general, commensurate with income levels. States parties should establish housing subsidies for those unable to obtain affordable housing, as well as forms and levels of housing finance which adequately reflect housing needs. In accordance with the principle of affordability, tenants should be protected by appropriate means against unreasonable rent levels or rent increases. In societies where natural materials constitute the chief sources of building materials for housing, steps should be taken by States parties to ensure the availability of such materials;</w:t>
      </w:r>
    </w:p>
    <w:p>
      <w:pPr>
        <w:ind w:left="0" w:firstLine="0" w:hanging="0"/>
        <w:jc w:val="left"/>
      </w:pPr>
      <w:r>
        <w:rPr>
          <w:rFonts w:ascii="Times New Roman" w:hAnsi="굴림체" w:cs="굴림체" w:eastAsia="굴림체"/>
          <w:sz w:val="24"/>
        </w:rPr>
        <w:t xml:space="preserve">	(d) Habitability. Adequate housing must be habitable, in terms of providing the inhabitants with adequate space and protecting them from cold, damp, heat, rain, wind or other threats to health, structural hazards, and disease vectors. The physical safety of occupants must be guaranteed as well. The Committee encourages States parties to comprehensively apply the Health Principles of Housing *5 ) prepared by WHO which view housing as the environmental factor most frequently associated with conditions for disease in epidemiological analyses; i.e. inadequate and deficient housing and living conditions are invariably associated with higher mortality and morbidity rates;</w:t>
      </w:r>
    </w:p>
    <w:p>
      <w:pPr>
        <w:ind w:left="0" w:firstLine="0" w:hanging="0"/>
        <w:jc w:val="left"/>
      </w:pPr>
      <w:r>
        <w:rPr>
          <w:rFonts w:ascii="Times New Roman" w:hAnsi="굴림체" w:cs="굴림체" w:eastAsia="굴림체"/>
          <w:sz w:val="24"/>
        </w:rPr>
        <w:t xml:space="preserve">	(e) Accessibility. Adequate housing must be accessible to those entitled to it. Disadvantaged groups must be accorded full and sustainable access to adequate housing resources. Thus, such disadvantaged groups as the elderly, children, the physically disabled, the terminally ill, HIVpositive individuals, persons with persistent medical problems, the mentally ill, victims of natural disasters, people living in disasterprone areas and other groups should be ensured some degree of priority consideration in the housing sphere. Both housing law and policy should take fully into account the special housing needs of these groups. Within many States parties increasing access to land by landless or impoverished segments of the society should constitute a central policy goal. Discernible governmental obligations need to be developed aiming to substantiate the right of all to a secure place to live in peace and dignity, including access to land as an entitlement;</w:t>
      </w:r>
    </w:p>
    <w:p>
      <w:pPr>
        <w:ind w:left="0" w:firstLine="0" w:hanging="0"/>
        <w:jc w:val="left"/>
      </w:pPr>
      <w:r>
        <w:rPr>
          <w:rFonts w:ascii="Times New Roman" w:hAnsi="굴림체" w:cs="굴림체" w:eastAsia="굴림체"/>
          <w:sz w:val="24"/>
        </w:rPr>
        <w:t xml:space="preserve">	(f) Location. Adequate housing must be in a location which allows access to employment options, healthcare services, schools, childcare centres and other social facilities. This is true both in large cities and in rural areas where the temporal and financial costs of getting to and from the place of work can place excessive demands upon the budgets of poor households. Similarly, housing should not be built on polluted sites nor in immediate proximity to pollution sources that threaten the right to health of the inhabitants;</w:t>
      </w:r>
    </w:p>
    <w:p>
      <w:pPr>
        <w:ind w:left="0" w:firstLine="0" w:hanging="0"/>
        <w:jc w:val="left"/>
      </w:pPr>
      <w:r>
        <w:rPr>
          <w:rFonts w:ascii="Times New Roman" w:hAnsi="굴림체" w:cs="굴림체" w:eastAsia="굴림체"/>
          <w:sz w:val="24"/>
        </w:rPr>
        <w:t xml:space="preserve">	(g) Cultural adequacy. The way housing is constructed, the building materials used and the policies supporting these must appropriately enable the expression of cultural identity and diversity of housing. Activities geared towards development or modernization in the housing sphere should ensure that the cultural dimensions of housing are not sacrificed, and that, inter alia, modern technological facilities, as appropriate are also ensured.</w:t>
      </w:r>
    </w:p>
    <w:p>
      <w:pPr>
        <w:ind w:left="0" w:firstLine="0" w:hanging="0"/>
        <w:jc w:val="left"/>
      </w:pPr>
      <w:r>
        <w:rPr>
          <w:rFonts w:ascii="Times New Roman" w:hAnsi="굴림체" w:cs="굴림체" w:eastAsia="굴림체"/>
          <w:sz w:val="24"/>
        </w:rPr>
        <w:t>9. As noted above, the right to adequate housing cannot be viewed in isolation from other human rights contained in the two International Covenants and other applicable international instruments. Reference has already been made in this regard to the concept of human dignity and the principle of nondiscrimination. In addition, the full enjoyment of other rights such as the right to freedom of expression, the right to freedom of association (such as for tenants and other communitybased groups), the right to freedom of residence and the right to participate in public decisionmaking is indispensable if the right to adequate housing is to be realized and maintained by all groups in society. Similarly, the right not to be subjected to arbitrary or unlawful interference with one’s privacy, family, home or correspondence constitutes a very important dimension in defining the right to adequate housing.</w:t>
      </w:r>
    </w:p>
    <w:p>
      <w:pPr>
        <w:ind w:left="0" w:firstLine="0" w:hanging="0"/>
        <w:jc w:val="left"/>
      </w:pPr>
      <w:r>
        <w:rPr>
          <w:rFonts w:ascii="Times New Roman" w:hAnsi="굴림체" w:cs="굴림체" w:eastAsia="굴림체"/>
          <w:sz w:val="24"/>
        </w:rPr>
        <w:t>10. Regardless of the state of development of any country, there are certain steps which must be taken immediately. As recognized in the Global Strategy for Shelter and in other international analyses, many of the measures required to promote the right to housing would only require the abstention by the Government from certain practices and a commitment to facilitating “selfhelp” by affected groups. To the extent that any such steps are considered to be beyond the maximum resources available to a State party, it is appropriate that a request be made as soon as possible for international cooperation in accordance with articles 11 (1), 22 and 23 of the Covenant, and that the Committee be informed thereof.</w:t>
      </w:r>
    </w:p>
    <w:p>
      <w:pPr>
        <w:ind w:left="0" w:firstLine="0" w:hanging="0"/>
        <w:jc w:val="left"/>
      </w:pPr>
      <w:r>
        <w:rPr>
          <w:rFonts w:ascii="Times New Roman" w:hAnsi="굴림체" w:cs="굴림체" w:eastAsia="굴림체"/>
          <w:sz w:val="24"/>
        </w:rPr>
        <w:t>11. States parties must give due priority to those social groups living in unfavourable conditions by giving them particular consideration. Policies and legislation should correspondingly not be designed to benefit already advantaged social groups at the expense of others. The Committee is aware that external factors can affect the right to a continuous improvement of living conditions, and that in many States parties overall living conditions declined during the 1980s. However, as noted by the Committee in its general comment No. 2 (1990) (E/1990/23, annex III), despite externally caused problems, the obligations under the Covenant continue to apply and are perhaps even more pertinent during times of economic contraction. It would thus appear to the Committee that a general decline in living and housing conditions, directly attributable to policy and legislative decisions by States parties, and in the absence of accompanying compensatory measures, would be inconsistent with the obligations under the Covenant.</w:t>
      </w:r>
    </w:p>
    <w:p>
      <w:pPr>
        <w:ind w:left="0" w:firstLine="0" w:hanging="0"/>
        <w:jc w:val="left"/>
      </w:pPr>
      <w:r>
        <w:rPr>
          <w:rFonts w:ascii="Times New Roman" w:hAnsi="굴림체" w:cs="굴림체" w:eastAsia="굴림체"/>
          <w:sz w:val="24"/>
        </w:rPr>
        <w:t>12. While the most appropriate means of achieving the full realization of the right to adequate housing will inevitably vary significantly from one State party to another, the Covenant clearly requires that each State party take whatever steps are necessary for that purpose. This will almost invariably require the adoption of a national housing strategy which, as stated in paragraph 32 of the Global Strategy for Shelter, “defines the objectives for the development of shelter conditions, identifies the resources available to meet these goals and the most costeffective way of using them and sets out the responsibilities and time frame for the implementation of the necessary measures”. Both for reasons of relevance and effectiveness, as well as in order to ensure respect for other human rights, such a strategy should reflect extensive genuine consultation with, and participation by, all of those affected, including the homeless, the inadequately housed and their representatives. Furthermore, steps should be taken to ensure coordination between ministries and regional and local authorities in order to reconcile related policies (economics, agriculture, environment, energy, etc.) with the obligations under article 11 of the Covenant.</w:t>
      </w:r>
    </w:p>
    <w:p>
      <w:pPr>
        <w:ind w:left="0" w:firstLine="0" w:hanging="0"/>
        <w:jc w:val="left"/>
      </w:pPr>
      <w:r>
        <w:rPr>
          <w:rFonts w:ascii="Times New Roman" w:hAnsi="굴림체" w:cs="굴림체" w:eastAsia="굴림체"/>
          <w:sz w:val="24"/>
        </w:rPr>
        <w:t>13. Effective monitoring of the situation with respect to housing is another obligation of immediate effect. For a State party to satisfy its obligations under article 11 (1) it must demonstrate, inter alia, that it has taken whatever steps are necessary, either alone or on the basis of international cooperation, to ascertain the full extent of homelessness and inadequate housing within its jurisdiction. In this regard, the revised general guidelines regarding the form and contents of reports adopted by the Committee (E/C.12/1991/1) emphasize the need to “provide detailed information about those groups within ... society that are vulnerable and disadvantaged with regard to housing”. They include, in particular, homeless persons and families, those inadequately housed and without ready access to basic amenities, those living in “illegal” settlements, those subject to forced evictions and lowincome groups.</w:t>
      </w:r>
    </w:p>
    <w:p>
      <w:pPr>
        <w:ind w:left="0" w:firstLine="0" w:hanging="0"/>
        <w:jc w:val="left"/>
      </w:pPr>
      <w:r>
        <w:rPr>
          <w:rFonts w:ascii="Times New Roman" w:hAnsi="굴림체" w:cs="굴림체" w:eastAsia="굴림체"/>
          <w:sz w:val="24"/>
        </w:rPr>
        <w:t>14. Measures designed to satisfy a State party’s obligations in respect of the right to adequate housing may reflect whatever mix of public and private sector measures considered appropriate. While in some States public financing of housing might most usefully be spent on direct construction of new housing, in most cases, experience has shown the inability of Governments to fully satisfy housing deficits with publicly built housing. The promotion by States parties of “enabling strategies”, combined with a full commitment to obligations under the right to adequate housing, should thus be encouraged. In essence, the obligation is to demonstrate that, in aggregate, the measures being taken are sufficient to realize the right for every individual in the shortest possible time in accordance with the maximum of available resources.</w:t>
      </w:r>
    </w:p>
    <w:p>
      <w:pPr>
        <w:ind w:left="0" w:firstLine="0" w:hanging="0"/>
        <w:jc w:val="left"/>
      </w:pPr>
      <w:r>
        <w:rPr>
          <w:rFonts w:ascii="Times New Roman" w:hAnsi="굴림체" w:cs="굴림체" w:eastAsia="굴림체"/>
          <w:sz w:val="24"/>
        </w:rPr>
        <w:t>15. Many of the measures that will be required will involve resource allocations and policy initiatives of a general kind. Nevertheless, the role of formal legislative and administrative measures should not be underestimated in this context. The Global Strategy for Shelter (paras. 667) has drawn attention to the types of measures that might be taken in this regard and to their importance.</w:t>
      </w:r>
    </w:p>
    <w:p>
      <w:pPr>
        <w:ind w:left="0" w:firstLine="0" w:hanging="0"/>
        <w:jc w:val="left"/>
      </w:pPr>
      <w:r>
        <w:rPr>
          <w:rFonts w:ascii="Times New Roman" w:hAnsi="굴림체" w:cs="굴림체" w:eastAsia="굴림체"/>
          <w:sz w:val="24"/>
        </w:rPr>
        <w:t>16. In some States, the right to adequate housing is constitutionally entrenched. In such cases the Committee is particularly interested in learning of the legal and practical significance of such an approach. Details of specific cases and of other ways in which entrenchment has proved helpful should thus be provided.</w:t>
      </w:r>
    </w:p>
    <w:p>
      <w:pPr>
        <w:ind w:left="0" w:firstLine="0" w:hanging="0"/>
        <w:jc w:val="left"/>
      </w:pPr>
      <w:r>
        <w:rPr>
          <w:rFonts w:ascii="Times New Roman" w:hAnsi="굴림체" w:cs="굴림체" w:eastAsia="굴림체"/>
          <w:sz w:val="24"/>
        </w:rPr>
        <w:t>17. The Committee views many component elements of the right to adequate housing as being at least consistent with the provision of domestic legal remedies. Depending on the legal system, such areas might include, but are not limited to: (a) legal appeals aimed at preventing planned evictions or demolitions through the issuance of courtordered injunctions; (b) legal procedures seeking compensation following an illegal eviction; (c) complaints against illegal actions carried out or supported by landlords (whether public or private) in relation to rent levels, dwelling maintenance, and racial or other forms of discrimination; (d) allegations of any form of discrimination in the allocation and availability of access to housing; and (e) complaints against landlords concerning unhealthy or inadequate housing conditions. In some legal systems it would also be appropriate to explore the possibility of facilitating class action suits in situations involving significantly increased levels of homelessness.</w:t>
      </w:r>
    </w:p>
    <w:p>
      <w:pPr>
        <w:ind w:left="0" w:firstLine="0" w:hanging="0"/>
        <w:jc w:val="left"/>
      </w:pPr>
      <w:r>
        <w:rPr>
          <w:rFonts w:ascii="Times New Roman" w:hAnsi="굴림체" w:cs="굴림체" w:eastAsia="굴림체"/>
          <w:sz w:val="24"/>
        </w:rPr>
        <w:t>18. In this regard, the Committee considers that instances of forced eviction are prima facie incompatible with the requirements of the Covenant and can only be justified in the most exceptional circumstances, and in accordance with the relevant principles of international law.</w:t>
      </w:r>
    </w:p>
    <w:p>
      <w:pPr>
        <w:ind w:left="0" w:firstLine="0" w:hanging="0"/>
        <w:jc w:val="left"/>
      </w:pPr>
      <w:r>
        <w:rPr>
          <w:rFonts w:ascii="Times New Roman" w:hAnsi="굴림체" w:cs="굴림체" w:eastAsia="굴림체"/>
          <w:sz w:val="24"/>
        </w:rPr>
        <w:t>19. Finally, article 11 (1) concludes with the obligation of States parties to recognize “the essential importance of international cooperation based on free consent”. Traditionally, less than 5 per cent of all international assistance has been directed towards housing or human settlements, and often the manner by which such funding is provided does little to address the housing needs of disadvantaged groups. States parties, both recipients and providers, should ensure that a substantial proportion of financing is devoted to creating conditions leading to a higher number of persons being adequately housed. International financial institutions promoting measures of structural adjustment should ensure that such measures do not compromise the enjoyment of the right to adequate housing. States parties should, when contemplating international financial cooperation, seek to indicate areas relevant to the right to adequate housing where external financing would have the most effect. Such requests should take full account of the needs and views of the affected groups.</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Official Records of the General Assembly, Forty third Session, Supplement No. 8, addendum (A/43/8/Add.1).</w:t>
      </w:r>
    </w:p>
    <w:p>
      <w:pPr>
        <w:ind w:left="0" w:firstLine="0" w:hanging="0"/>
        <w:jc w:val="left"/>
      </w:pPr>
      <w:r>
        <w:rPr>
          <w:rFonts w:ascii="Times New Roman" w:hAnsi="굴림체" w:cs="굴림체" w:eastAsia="굴림체"/>
          <w:sz w:val="24"/>
        </w:rPr>
        <w:t>2) Commission on Human Rights resolutions 1986/36 and 1987/22; reports by Mr. Danilo Türk, Special Rapporteur of the Sub Commission (E/CN.4/Sub.2/1990/19, paras. 108 120; E/CN.4/Sub.2/1991/17, paras. 137 139); see also Sub Commission resolution 1991/26.</w:t>
      </w:r>
    </w:p>
    <w:p>
      <w:pPr>
        <w:ind w:left="0" w:firstLine="0" w:hanging="0"/>
        <w:jc w:val="left"/>
      </w:pPr>
      <w:r>
        <w:rPr>
          <w:rFonts w:ascii="Times New Roman" w:hAnsi="굴림체" w:cs="굴림체" w:eastAsia="굴림체"/>
          <w:sz w:val="24"/>
        </w:rPr>
        <w:t>3) See, for example, article 25 (1) of the Universal Declaration of Human Rights, article 5 (e) (iii) of the International Convention on the Elimination of All Forms of Racial Discrimination, article 14 (2) of the Convention on the Elimination of All Forms of Discrimination against Women, article 27 (3) of the Convention on the Rights of the Child, article 10 of the Declaration on Social Progress and Development, section III (8) of the Vancouver Declaration on Human Settlements, 1976 (Report of Habitat: United Nations Conference on Human Settlements (United Nations publication, Sales No. E.76.IV.7 and corrigendum, chap. I), article 8 (1) of the Declaration on the Right to Development and the ILO Recommendation Concerning Workers’ Housing, 1961 (No. 115)).</w:t>
      </w:r>
    </w:p>
    <w:p>
      <w:pPr>
        <w:ind w:left="0" w:firstLine="0" w:hanging="0"/>
        <w:jc w:val="left"/>
      </w:pPr>
      <w:r>
        <w:rPr>
          <w:rFonts w:ascii="Times New Roman" w:hAnsi="굴림체" w:cs="굴림체" w:eastAsia="굴림체"/>
          <w:sz w:val="24"/>
        </w:rPr>
        <w:t>4) See note 1.</w:t>
      </w:r>
    </w:p>
    <w:p>
      <w:pPr>
        <w:ind w:left="0" w:firstLine="0" w:hanging="0"/>
        <w:jc w:val="left"/>
      </w:pPr>
      <w:r>
        <w:rPr>
          <w:rFonts w:ascii="Times New Roman" w:hAnsi="굴림체" w:cs="굴림체" w:eastAsia="굴림체"/>
          <w:sz w:val="24"/>
        </w:rPr>
        <w:t>5) Geneva, World Health Organization, 1990.</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