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제02호(1990): 국제적인 기술적 지원 조치 (규약 제22조)</w:t>
      </w:r>
    </w:p>
    <w:p>
      <w:pPr>
        <w:ind w:left="0" w:firstLine="0" w:hanging="0"/>
        <w:jc w:val="center"/>
      </w:pPr>
      <w:r>
        <w:rPr>
          <w:rFonts w:ascii="Times New Roman" w:hAnsi="굴림체" w:cs="굴림체" w:eastAsia="굴림체"/>
          <w:sz w:val="24"/>
        </w:rPr>
        <w:t>CESCR GC No. 02(1990): International technical assistance measures(art. 22 of the Covenant)</w:t>
      </w:r>
    </w:p>
    <w:p>
      <w:pPr>
        <w:ind w:left="0" w:firstLine="0" w:hanging="0"/>
        <w:jc w:val="center"/>
      </w:pPr>
      <w:r>
        <w:rPr>
          <w:rFonts w:ascii="Times New Roman" w:hAnsi="굴림체" w:cs="굴림체" w:eastAsia="굴림체"/>
          <w:sz w:val="24"/>
        </w:rPr>
        <w:t xml:space="preserve">채택일 1990. 2. 2. /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E/1990/23(Annexes III)</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 International technical assistance measures(art. 22 of the Covenant)</w:t>
      </w:r>
    </w:p>
    <w:p>
      <w:pPr>
        <w:ind w:left="0" w:firstLine="0" w:hanging="0"/>
        <w:jc w:val="left"/>
      </w:pPr>
      <w:r>
        <w:rPr>
          <w:rFonts w:ascii="Times New Roman" w:hAnsi="굴림체" w:cs="굴림체" w:eastAsia="굴림체"/>
          <w:sz w:val="24"/>
        </w:rPr>
        <w:t>1. Article 22 of the Covenant establishes a mechanism by which the Economic and Social Council may bring to the attention of relevant United Nations bodies any matters arising out of reports submitted under the Covenant “which may assist such bodies in deciding, each within its field of competence, on the advisability of international measures likely to contribute to the effective progressive implementation of the ... Covenant”. While the primary responsibility under article 22 is vested in the Council, it is clearly appropriate for the Committee on Economic, Social and Cultural Rights to play an active role in advising and assisting the Council in this regard.</w:t>
      </w:r>
    </w:p>
    <w:p>
      <w:pPr>
        <w:ind w:left="0" w:firstLine="0" w:hanging="0"/>
        <w:jc w:val="left"/>
      </w:pPr>
      <w:r>
        <w:rPr>
          <w:rFonts w:ascii="Times New Roman" w:hAnsi="굴림체" w:cs="굴림체" w:eastAsia="굴림체"/>
          <w:sz w:val="24"/>
        </w:rPr>
        <w:t>2. Recommendations in accordance with article 22 may be made to any “organs of the United Nations, their subsidiary organs and specialized agencies concerned with furnishing technical assistance”. The Committee considers that this provision should be interpreted so as to include virtually all United Nations organs and agencies involved in any aspect of international development cooperation. It would therefore be appropriate for recommendations in accordance with article 22 to be addressed, inter alia, to the SecretaryGeneral, subsidiary organs of the Council such as the Commission on Human Rights, the Commission on Social Development and the Commission on the Status of Women, other bodies such as UNDP, UNICEF and CDP, agencies such as the World Bank and IMF, and any of the other specialized agencies such as ILO, FAO, UNESCO and WHO.</w:t>
      </w:r>
    </w:p>
    <w:p>
      <w:pPr>
        <w:ind w:left="0" w:firstLine="0" w:hanging="0"/>
        <w:jc w:val="left"/>
      </w:pPr>
      <w:r>
        <w:rPr>
          <w:rFonts w:ascii="Times New Roman" w:hAnsi="굴림체" w:cs="굴림체" w:eastAsia="굴림체"/>
          <w:sz w:val="24"/>
        </w:rPr>
        <w:t>3. Article 22 could lead either to recommendations of a general policy nature or to more narrowly focused recommendations relating to a specific situation. In the former context, the principal role of the Committee would seem to be to encourage greater attention to efforts to promote economic, social and cultural rights within the framework of international development cooperation activities undertaken by, or with the assistance of, the United Nations and its agencies. In this regard the Committee notes that the Commission on Human Rights, in its resolution 1989/13 of 2 March 1989, invited it “to give consideration to means by which the various United Nations agencies working in the field of development could best integrate measures designed to promote full respect for economic, social and cultural rights in their activities”.</w:t>
      </w:r>
    </w:p>
    <w:p>
      <w:pPr>
        <w:ind w:left="0" w:firstLine="0" w:hanging="0"/>
        <w:jc w:val="left"/>
      </w:pPr>
      <w:r>
        <w:rPr>
          <w:rFonts w:ascii="Times New Roman" w:hAnsi="굴림체" w:cs="굴림체" w:eastAsia="굴림체"/>
          <w:sz w:val="24"/>
        </w:rPr>
        <w:t>4. As a preliminary practical matter, the Committee notes that its own endeavours would be assisted, and the relevant agencies would also be better informed, if they were to take a greater interest in the work of the Committee. While recognizing that such an interest can be demonstrated in a variety of ways, the Committee observes that attendance by representatives of the appropriate United Nations bodies at its first four sessions has, with the notable exceptions of ILO, UNESCO and WHO, been very low. Similarly, pertinent materials and written information had been received from only a very limited number of agencies. The Committee considers that a deeper understanding of the relevance of economic, social and cultural rights in the context of international development cooperation activities would be considerably facilitated through greater interaction between the Committee and the appropriate agencies. At the very least, the day of general discussion on a specific issue, which the Committee undertakes at each of its sessions, provides an ideal context in which a potentially productive exchange of views can be undertaken.</w:t>
      </w:r>
    </w:p>
    <w:p>
      <w:pPr>
        <w:ind w:left="0" w:firstLine="0" w:hanging="0"/>
        <w:jc w:val="left"/>
      </w:pPr>
      <w:r>
        <w:rPr>
          <w:rFonts w:ascii="Times New Roman" w:hAnsi="굴림체" w:cs="굴림체" w:eastAsia="굴림체"/>
          <w:sz w:val="24"/>
        </w:rPr>
        <w:t>5. On the broader issues of the promotion of respect for human rights in the context of development activities, the Committee has so far seen only rather limited evidence of specific efforts by United Nations bodies. It notes with satisfaction in this regard the initiative taken jointly by the Centre for Human Rights and UNDP in writing to United Nations Resident Representatives and other fieldbased officials, inviting their “suggestions and advice, in particular with respect to possible forms of cooperation in ongoing projects [identified] as having a human rights dimension or in new ones in response to a specific Government’s request”. The Committee has also been informed of longstanding efforts undertaken by ILO to link its own human rights and other international labour standards to its technical cooperation activities.</w:t>
      </w:r>
    </w:p>
    <w:p>
      <w:pPr>
        <w:ind w:left="0" w:firstLine="0" w:hanging="0"/>
        <w:jc w:val="left"/>
      </w:pPr>
      <w:r>
        <w:rPr>
          <w:rFonts w:ascii="Times New Roman" w:hAnsi="굴림체" w:cs="굴림체" w:eastAsia="굴림체"/>
          <w:sz w:val="24"/>
        </w:rPr>
        <w:t>6. With respect to such activities, two general principles are important. The first is that the two sets of human rights are indivisible and interdependent. This means that efforts to promote one set of rights should also take full account of the other. United Nations agencies involved in the promotion of economic, social and cultural rights should do their utmost to ensure that their activities are fully consistent with the enjoyment of civil and political rights. In negative terms this means that the international agencies should scrupulously avoid involvement in projects which, for example, involve the use of forced labour in contravention of international standards, or promote or reinforce discrimination against individuals or groups contrary to the provisions of the Covenant, or involve largescale evictions or displacement of persons without the provision of all appropriate protection and compensation. In positive terms, it means that, wherever possible, the agencies should act as advocates of projects and approaches which contribute not only to economic growth or other broadly defined objectives, but also to enhanced enjoyment of the full range of human rights.</w:t>
      </w:r>
    </w:p>
    <w:p>
      <w:pPr>
        <w:ind w:left="0" w:firstLine="0" w:hanging="0"/>
        <w:jc w:val="left"/>
      </w:pPr>
      <w:r>
        <w:rPr>
          <w:rFonts w:ascii="Times New Roman" w:hAnsi="굴림체" w:cs="굴림체" w:eastAsia="굴림체"/>
          <w:sz w:val="24"/>
        </w:rPr>
        <w:t>7. The second principle of general relevance is that development cooperation activities do not automatically contribute to the promotion of respect for economic, social and cultural rights. Many activities undertaken in the name of “development” have subsequently been recognized as illconceived and even counterproductive in human rights terms. In order to reduce the incidence of such problems, the whole range of issues dealt with in the Covenant should, wherever possible and appropriate, be given specific and careful consideration.</w:t>
      </w:r>
    </w:p>
    <w:p>
      <w:pPr>
        <w:ind w:left="0" w:firstLine="0" w:hanging="0"/>
        <w:jc w:val="left"/>
      </w:pPr>
      <w:r>
        <w:rPr>
          <w:rFonts w:ascii="Times New Roman" w:hAnsi="굴림체" w:cs="굴림체" w:eastAsia="굴림체"/>
          <w:sz w:val="24"/>
        </w:rPr>
        <w:t>8. Despite the importance of seeking to integrate human rights concerns into development activities, it is true that proposals for such integration can too easily remain at a level of generality. Thus, in an effort to encourage the operationalization of the principle contained in article 22 of the Covenant, the Committee wishes to draw attention to the following specific measures which merit consideration by the relevant bodies:</w:t>
      </w:r>
    </w:p>
    <w:p>
      <w:pPr>
        <w:ind w:left="0" w:firstLine="0" w:hanging="0"/>
        <w:jc w:val="left"/>
      </w:pPr>
      <w:r>
        <w:rPr>
          <w:rFonts w:ascii="Times New Roman" w:hAnsi="굴림체" w:cs="굴림체" w:eastAsia="굴림체"/>
          <w:sz w:val="24"/>
        </w:rPr>
        <w:t xml:space="preserve">	(a) As a matter of principle, the appropriate United Nations organs and agencies should specifically recognize the intimate relationship which should be established between development activities and efforts to promote respect for human rights in general, and economic, social and cultural rights in particular. The Committee notes in this regard the failure of each of the first three United Nations Development Decade Strategies to recognize that relationship and urges that the fourth such strategy, to be adopted in 1990, should rectify that omission;</w:t>
      </w:r>
    </w:p>
    <w:p>
      <w:pPr>
        <w:ind w:left="0" w:firstLine="0" w:hanging="0"/>
        <w:jc w:val="left"/>
      </w:pPr>
      <w:r>
        <w:rPr>
          <w:rFonts w:ascii="Times New Roman" w:hAnsi="굴림체" w:cs="굴림체" w:eastAsia="굴림체"/>
          <w:sz w:val="24"/>
        </w:rPr>
        <w:t xml:space="preserve">	(b) Consideration should be given by United Nations agencies to the proposal, made by the SecretaryGeneral in a report of 1979 *1 ) that a “human rights impact statement” be required to be prepared in connection with all major development cooperation activities;</w:t>
      </w:r>
    </w:p>
    <w:p>
      <w:pPr>
        <w:ind w:left="0" w:firstLine="0" w:hanging="0"/>
        <w:jc w:val="left"/>
      </w:pPr>
      <w:r>
        <w:rPr>
          <w:rFonts w:ascii="Times New Roman" w:hAnsi="굴림체" w:cs="굴림체" w:eastAsia="굴림체"/>
          <w:sz w:val="24"/>
        </w:rPr>
        <w:t xml:space="preserve">	(c) The training or briefing given to project and other personnel employed by United Nations agencies should include a component dealing with human rights standards and principles;</w:t>
      </w:r>
    </w:p>
    <w:p>
      <w:pPr>
        <w:ind w:left="0" w:firstLine="0" w:hanging="0"/>
        <w:jc w:val="left"/>
      </w:pPr>
      <w:r>
        <w:rPr>
          <w:rFonts w:ascii="Times New Roman" w:hAnsi="굴림체" w:cs="굴림체" w:eastAsia="굴림체"/>
          <w:sz w:val="24"/>
        </w:rPr>
        <w:t xml:space="preserve">	(d) Every effort should be made, at each phase of a development project, to ensure that the rights contained in the Covenants are duly taken into account. This would apply, for example, in the initial assessment of the priority needs of a particular country, in the identification of particular projects, in project design, in the implementation of the project, and in its final evaluation.</w:t>
      </w:r>
    </w:p>
    <w:p>
      <w:pPr>
        <w:ind w:left="0" w:firstLine="0" w:hanging="0"/>
        <w:jc w:val="left"/>
      </w:pPr>
      <w:r>
        <w:rPr>
          <w:rFonts w:ascii="Times New Roman" w:hAnsi="굴림체" w:cs="굴림체" w:eastAsia="굴림체"/>
          <w:sz w:val="24"/>
        </w:rPr>
        <w:t>9. A matter which has been of particular concern to the Committee in the examination of the reports of States parties is the adverse impact of the debt burden and of the relevant adjustment measures on the enjoyment of economic, social and cultural rights in many countries. The Committee recognizes that adjustment programmes will often be unavoidable and that these will frequently involve a major element of austerity. Under such circumstances, however, endeavours to protect the most basic economic, social and cultural rights become more, rather than less, urgent. States parties to the Covenant, as well as the relevant United Nations agencies, should thus make a particular effort to ensure that such protection is, to the maximum extent possible, builtin to programmes and policies designed to promote adjustment. Such an approach, which is sometimes referred to as “adjustment with a human face” or as promoting “the human dimension of development” requires that the goal of protecting the rights of the poor and vulnerable should become a basic objective of economic adjustment. Similarly, international measures to deal with the debt crisis should take full account of the need to protect economic, social and cultural rights through, inter alia, international cooperation. In many situations, this might point to the need for major debt relief initiatives.</w:t>
      </w:r>
    </w:p>
    <w:p>
      <w:pPr>
        <w:ind w:left="0" w:firstLine="0" w:hanging="0"/>
        <w:jc w:val="left"/>
      </w:pPr>
      <w:r>
        <w:rPr>
          <w:rFonts w:ascii="Times New Roman" w:hAnsi="굴림체" w:cs="굴림체" w:eastAsia="굴림체"/>
          <w:sz w:val="24"/>
        </w:rPr>
        <w:t>10. Finally, the Committee wishes to draw attention to the important opportunity provided to States parties, in accordance with article 22 of the Covenant, to identify in their reports any particular needs they might have for technical assistance or development cooperation.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international dimensions of the right to development as a human right in relation with other human rights based on international cooperation, including the right to peace, taking into account the requirements of the new international economic order and the fundamental human needs” (E/CN.4/1334, para. 314).</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