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일반논평 제01호(1989): 당사국의 보고</w:t>
      </w:r>
    </w:p>
    <w:p>
      <w:pPr>
        <w:ind w:left="0" w:firstLine="0" w:hanging="0"/>
        <w:jc w:val="center"/>
      </w:pPr>
      <w:r>
        <w:rPr>
          <w:rFonts w:ascii="Times New Roman" w:hAnsi="굴림체" w:cs="굴림체" w:eastAsia="굴림체"/>
          <w:sz w:val="24"/>
        </w:rPr>
        <w:t>CESCR GC No. 01(1989): Reporting by States parties</w:t>
      </w:r>
    </w:p>
    <w:p>
      <w:pPr>
        <w:ind w:left="0" w:firstLine="0" w:hanging="0"/>
        <w:jc w:val="center"/>
      </w:pPr>
      <w:r>
        <w:rPr>
          <w:rFonts w:ascii="Times New Roman" w:hAnsi="굴림체" w:cs="굴림체" w:eastAsia="굴림체"/>
          <w:sz w:val="24"/>
        </w:rPr>
        <w:t xml:space="preserve">채택일 1989. 2. 17. / </w:t>
      </w:r>
    </w:p>
    <w:p>
      <w:pPr>
        <w:ind w:left="0" w:firstLine="0" w:hanging="0"/>
        <w:jc w:val="right"/>
      </w:pPr>
      <w:r>
        <w:rPr>
          <w:rFonts w:ascii="Times New Roman" w:hAnsi="굴림체" w:cs="굴림체" w:eastAsia="굴림체"/>
          <w:sz w:val="24"/>
        </w:rPr>
        <w:t>E/C.12/1989/5</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1: Reporting by States parties</w:t>
      </w:r>
    </w:p>
    <w:p>
      <w:pPr>
        <w:ind w:left="0" w:firstLine="0" w:hanging="0"/>
        <w:jc w:val="left"/>
      </w:pPr>
      <w:r>
        <w:rPr>
          <w:rFonts w:ascii="Times New Roman" w:hAnsi="굴림체" w:cs="굴림체" w:eastAsia="굴림체"/>
          <w:sz w:val="24"/>
        </w:rPr>
        <w:t>1. The reporting obligations which are contained in part IV of the Covenant are designed principally to assist each State party in fulfilling its obligations under the Covenant and, in addition, to provide a basis on which the Council, assisted by the Committee, can discharge its responsibilities for monitoring States parties’ compliance with their obligations and for facilitating the realization of economic, social and cultural rights in accordance with the provisions of the Covenant. The Committee considers that it would be incorrect to assume that reporting is essentially only a procedural matter designed solely to satisfy each State party’s formal obligation to report to the appropriate international monitoring body. On the contrary, in accordance with the letter and spirit of the Covenant, the processes of preparation and submission of reports by States can, and indeed should, serve to achieve a variety of objectives.</w:t>
      </w:r>
    </w:p>
    <w:p>
      <w:pPr>
        <w:ind w:left="0" w:firstLine="0" w:hanging="0"/>
        <w:jc w:val="left"/>
      </w:pPr>
      <w:r>
        <w:rPr>
          <w:rFonts w:ascii="Times New Roman" w:hAnsi="굴림체" w:cs="굴림체" w:eastAsia="굴림체"/>
          <w:sz w:val="24"/>
        </w:rPr>
        <w:t>2. A first objective, which is of particular relevance to the initial report required to be submitted within two years of the Covenant’s entry into force for the State party concerned, is to ensure that a comprehensive review is undertaken with respect to national legislation, administrative rules and procedures, and practices in an effort to ensure the fullest possible conformity with the Covenant. Such a review might, for example, be undertaken in conjunction with each of the relevant national ministries or other authorities responsible for policymaking and implementation in the different fields covered by the Covenant.</w:t>
      </w:r>
    </w:p>
    <w:p>
      <w:pPr>
        <w:ind w:left="0" w:firstLine="0" w:hanging="0"/>
        <w:jc w:val="left"/>
      </w:pPr>
      <w:r>
        <w:rPr>
          <w:rFonts w:ascii="Times New Roman" w:hAnsi="굴림체" w:cs="굴림체" w:eastAsia="굴림체"/>
          <w:sz w:val="24"/>
        </w:rPr>
        <w:t>3. A second objective is to ensure that the State party monitors the actual situation with respect to each of the rights on a regular basis and is thus aware of the extent to which the various rights are, or are not, being enjoyed by all individuals within its territory or under its jurisdiction. From the Committee’s experience to date, it is clear that the fulfilment of this objective cannot be achieved only by the preparation of aggregate national statistics or estimates, but also requires that special attention be given to any worseoff regions or areas and to any specific groups or subgroups which appear to be particularly vulnerable or disadvantaged. Thus, the essential first step towards promoting the realization of economic, social and cultural rights is diagnosis and knowledge of the existing situation. The Committee is aware that this process of monitoring and gathering information is a potentially timeconsuming and costly one and that international assistance and cooperation, as provided for in article 2, paragraph 1 and articles 22 and 23 of the Covenant, may well be required in order to enable some States parties to fulfil the relevant obligations. If that is the case, and the State party concludes that it does not have the capacity to undertake the monitoring process which is an integral part of any process designed to promote accepted goals of public policy and is indispensable to the effective implementation of the Covenant, it may note this fact in its report to the Committee and indicate the nature and extent of any international assistance that it may need.</w:t>
      </w:r>
    </w:p>
    <w:p>
      <w:pPr>
        <w:ind w:left="0" w:firstLine="0" w:hanging="0"/>
        <w:jc w:val="left"/>
      </w:pPr>
      <w:r>
        <w:rPr>
          <w:rFonts w:ascii="Times New Roman" w:hAnsi="굴림체" w:cs="굴림체" w:eastAsia="굴림체"/>
          <w:sz w:val="24"/>
        </w:rPr>
        <w:t>4. While monitoring is designed to give a detailed overview of the existing situation, the principal value of such an overview is to provide the basis for the elaboration of clearly stated and carefully targeted policies, including the establishment of priorities which reflect the provisions of the Covenant. Therefore, a third objective of the reporting process is to enable the Government to demonstrate that such principled policymaking has in fact been undertaken. While the Covenant makes this obligation explicit only in article 14 in cases where “compulsory primary education, free of charge” has not yet been secured for all, a comparable obligation “to work out and adopt a detailed plan of action for the progressive implementation” of each of the rights contained in the Covenant is clearly implied by the obligation in article 2, paragraph 1 “to take steps ... by all appropriate means ...”.</w:t>
      </w:r>
    </w:p>
    <w:p>
      <w:pPr>
        <w:ind w:left="0" w:firstLine="0" w:hanging="0"/>
        <w:jc w:val="left"/>
      </w:pPr>
      <w:r>
        <w:rPr>
          <w:rFonts w:ascii="Times New Roman" w:hAnsi="굴림체" w:cs="굴림체" w:eastAsia="굴림체"/>
          <w:sz w:val="24"/>
        </w:rPr>
        <w:t>5. A fourth objective of the reporting process is to facilitate public scrutiny of government policies with respect to economic, social and cultural rights and to encourage the involvement of the various economic, social and cultural sectors of society in the formulation, implementation and review of the relevant policies. In examining reports submitted to it to date, the Committee has welcomed the fact that a number of States parties, reflecting different political and economic systems, have encouraged inputs by such nongovernmental groups into the preparation of their reports under the Covenant. Other States have ensured the widespread dissemination of their reports with a view to enabling comments to be made by the public at large. In these ways, the preparation of the report, and its consideration at the national level can come to be of at least as much value as the constructive dialogue conducted at the international level between the Committee and representatives of the reporting State.</w:t>
      </w:r>
    </w:p>
    <w:p>
      <w:pPr>
        <w:ind w:left="0" w:firstLine="0" w:hanging="0"/>
        <w:jc w:val="left"/>
      </w:pPr>
      <w:r>
        <w:rPr>
          <w:rFonts w:ascii="Times New Roman" w:hAnsi="굴림체" w:cs="굴림체" w:eastAsia="굴림체"/>
          <w:sz w:val="24"/>
        </w:rPr>
        <w:t>6. A fifth objective is to provide a basis on which the State party itself, as well as the Committee, can effectively evaluate the extent to which progress has been made towards the realization of the obligations contained in the Covenant. For this purpose, it may be useful for States to identify specific benchmarks or goals against which their performance in a given area can be assessed. Thus, for example, it is generally agreed that it is important to set specific goals with respect to the reduction of infant mortality, the extent of vaccination of children, the intake of calories per person, the number of persons per healthcare provider, etc. In many of these areas, global benchmarks are of limited use, whereas national or other more specific benchmarks can provide an extremely valuable indication of progress.</w:t>
      </w:r>
    </w:p>
    <w:p>
      <w:pPr>
        <w:ind w:left="0" w:firstLine="0" w:hanging="0"/>
        <w:jc w:val="left"/>
      </w:pPr>
      <w:r>
        <w:rPr>
          <w:rFonts w:ascii="Times New Roman" w:hAnsi="굴림체" w:cs="굴림체" w:eastAsia="굴림체"/>
          <w:sz w:val="24"/>
        </w:rPr>
        <w:t>7. In this regard, the Committee wishes to note that the Covenant attaches particular importance to the concept of “progressive realization” of the relevant rights and, for that reason, the Committee urges States parties to include in their periodic reports information which shows the progress over time, with respect to the effective realization of the relevant rights. By the same token, it is clear that qualitative, as well as quantitative, data are required in order for an adequate assessment of the situation to be made.</w:t>
      </w:r>
    </w:p>
    <w:p>
      <w:pPr>
        <w:ind w:left="0" w:firstLine="0" w:hanging="0"/>
        <w:jc w:val="left"/>
      </w:pPr>
      <w:r>
        <w:rPr>
          <w:rFonts w:ascii="Times New Roman" w:hAnsi="굴림체" w:cs="굴림체" w:eastAsia="굴림체"/>
          <w:sz w:val="24"/>
        </w:rPr>
        <w:t>8. A sixth objective is to enable the State party itself to develop a better understanding of the problems and shortcomings encountered in efforts to realize progressively the full range of economic, social and cultural rights. For this reason, it is essential that States parties report in detail on the “factors and difficulties” inhibiting such realization. This process of identification and recognition of the relevant difficulties then provides the framework within which more appropriate policies can be devised.</w:t>
      </w:r>
    </w:p>
    <w:p>
      <w:pPr>
        <w:ind w:left="0" w:firstLine="0" w:hanging="0"/>
        <w:jc w:val="left"/>
      </w:pPr>
      <w:r>
        <w:rPr>
          <w:rFonts w:ascii="Times New Roman" w:hAnsi="굴림체" w:cs="굴림체" w:eastAsia="굴림체"/>
          <w:sz w:val="24"/>
        </w:rPr>
        <w:t>9. A seventh objective is to enable the Committee, and the States parties as a whole, to facilitate the exchange of information among States and to develop a better understanding of the common problems faced by States and a fuller appreciation of the type of measures which might be taken to promote effective realization of each of the rights contained in the Covenant. This part of the process also enables the Committee to identify the most appropriate means by which the international community might assist States, in accordance with articles 22 and 23 of the Covenant. In order to underline the importance which the Committee attaches to this objective, a separate general comment on those articles will be discussed by the Committee at its fourth session.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