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1-05. 그 밖의 인권기구와 협력</w:t>
      </w:r>
    </w:p>
    <w:p>
      <w:pPr>
        <w:ind w:left="0" w:firstLine="0" w:hanging="0"/>
        <w:jc w:val="center"/>
      </w:pPr>
      <w:r>
        <w:rPr>
          <w:rFonts w:ascii="Times New Roman" w:hAnsi="굴림체" w:cs="굴림체" w:eastAsia="굴림체"/>
          <w:sz w:val="24"/>
        </w:rPr>
        <w:t>1-5. Cooperation with Other Human Rights Bodies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1.5 Cooperation with other human rights bodies</w:t>
      </w:r>
    </w:p>
    <w:p>
      <w:pPr>
        <w:ind w:left="0" w:firstLine="0" w:hanging="0"/>
        <w:jc w:val="left"/>
      </w:pPr>
      <w:r>
        <w:rPr>
          <w:rFonts w:ascii="Times New Roman" w:hAnsi="굴림체" w:cs="굴림체" w:eastAsia="굴림체"/>
          <w:sz w:val="24"/>
        </w:rPr>
        <w:t>Regular and constructive engagement with all relevant stakeholders is essential for NHRIs to effectively fulfil their mandates. NHRIs should develop, formalize and maintain working relationships, as appropriate, with other domestic institutions established for the promotion and protection of human rights, including sub-national statutory human rights institutions, thematic institutions, as well as civil society and non-governmental organizations.</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In prescribing the NHRI’s methods of operation, sections C(f) and C(g) of the Paris Principles require NHRIs to: “maintain consultation with the other bodies, whether jurisdictional or otherwise, responsible for the promotion and protection of human rights (in particular ombudsmen, mediators and similar institutions)”.</w:t>
      </w:r>
    </w:p>
    <w:p>
      <w:pPr>
        <w:ind w:left="0" w:firstLine="0" w:hanging="0"/>
        <w:jc w:val="left"/>
      </w:pPr>
      <w:r>
        <w:rPr>
          <w:rFonts w:ascii="Times New Roman" w:hAnsi="굴림체" w:cs="굴림체" w:eastAsia="굴림체"/>
          <w:sz w:val="24"/>
        </w:rPr>
        <w:t>The Principles specifically recognize “the fundamental role played by the non-governmental organizations in expanding the work of the national institutions”, and therefore encourage NHRIs to, “develop relations with the non-governmental organizations devoted to promoting and protecting human rights, to economic and social development, to combating racism, to protecting particularly vulnerable groups (especially children, migrant workers, refugees, physically and mentally disabled persons) or to specialized areas”.</w:t>
      </w:r>
    </w:p>
    <w:p>
      <w:pPr>
        <w:ind w:left="0" w:firstLine="0" w:hanging="0"/>
        <w:jc w:val="left"/>
      </w:pPr>
      <w:r>
        <w:rPr>
          <w:rFonts w:ascii="Times New Roman" w:hAnsi="굴림체" w:cs="굴림체" w:eastAsia="굴림체"/>
          <w:sz w:val="24"/>
        </w:rPr>
        <w:t>To give full effect to these Paris Principle requirements, the SCA recommends that NHRIs should develop, formalize and maintain regular, constructive and systematic working relationships with other domestic institutions and actors established for the promotion and protection of human rights. Interaction may include the sharing of knowledge, such as research studies, best practices, training programmes, statistical information and data, and general information on its activities. For the following reasons the SCA considers such cooperation necessary to ensure the full realization of human rights nation-wide:</w:t>
      </w:r>
    </w:p>
    <w:p>
      <w:pPr>
        <w:ind w:left="0" w:firstLine="0" w:hanging="0"/>
        <w:jc w:val="left"/>
      </w:pPr>
      <w:r>
        <w:rPr>
          <w:rFonts w:ascii="Times New Roman" w:hAnsi="굴림체" w:cs="굴림체" w:eastAsia="굴림체"/>
          <w:sz w:val="24"/>
        </w:rPr>
        <w:t>• National human rights framework – The effectiveness of an NHRI in implementing its mandate to protect and promote human rights is largely dependent upon the quality of its working relationships with other national democratic institutions such as: government departments; judicial bodies; lawyers’ organizations; non-governmental organizations; the media; and other civil society associations. Broad engagement with all stakeholders may provide a better understanding of: the breadth of human rights issues across the state; the impact of such issues based on social cultural, geographic and other factors; gaps, as well as potential overlap and duplication in the setting of policy, priorities and implementation strategies. NHRIs working in isolation may be limited in their ability to provide adequate human rights protections to the public.</w:t>
      </w:r>
    </w:p>
    <w:p>
      <w:pPr>
        <w:ind w:left="0" w:firstLine="0" w:hanging="0"/>
        <w:jc w:val="left"/>
      </w:pPr>
      <w:r>
        <w:rPr>
          <w:rFonts w:ascii="Times New Roman" w:hAnsi="굴림체" w:cs="굴림체" w:eastAsia="굴림체"/>
          <w:sz w:val="24"/>
        </w:rPr>
        <w:t>• Unique position of NHRIs – The character and identity of an NHRI serves to distinguish it from both government bodies and civil society. As independent, pluralistic institutions, NHRIs can play an important role.</w:t>
      </w:r>
    </w:p>
    <w:p>
      <w:pPr>
        <w:ind w:left="0" w:firstLine="0" w:hanging="0"/>
        <w:jc w:val="left"/>
      </w:pPr>
      <w:r>
        <w:rPr>
          <w:rFonts w:ascii="Times New Roman" w:hAnsi="굴림체" w:cs="굴림체" w:eastAsia="굴림체"/>
          <w:sz w:val="24"/>
        </w:rPr>
        <w:t>• Improved accessibility – The NHRI’s relations with civil society and NGOs is particularly important in improving its accessibility to sections of the populations who are geographically, politically or socially remote. These organizations are likely to have closer relations with vulnerable groups as they often have a more extensive network than NHRIs and are almost always likely to be closer to the ground. In this way, NHRIs may utilize civil society to provide an outreach mechanism to engage with vulnerable groups.</w:t>
      </w:r>
    </w:p>
    <w:p>
      <w:pPr>
        <w:ind w:left="0" w:firstLine="0" w:hanging="0"/>
        <w:jc w:val="left"/>
      </w:pPr>
      <w:r>
        <w:rPr>
          <w:rFonts w:ascii="Times New Roman" w:hAnsi="굴림체" w:cs="굴림체" w:eastAsia="굴림체"/>
          <w:sz w:val="24"/>
        </w:rPr>
        <w:t>• Expertise of other human rights bodies – As a result of their specialized mandates, other human rights bodies and civil society groups may provide an NHRI with valuable advice on the major human rights issues facing vulnerable groups across the nation. As such, NHRIs are encouraged to regularly consult with other human rights bodies and civil society at all stages of programme planning and implementation, as well as policy making, to ensure the NHRI’s activities reflect public concerns and priorities. Developing effective relationships with the mass media, as a section of civil society, is a particularly important tool for human rights education.</w:t>
      </w:r>
    </w:p>
    <w:p>
      <w:pPr>
        <w:ind w:left="0" w:firstLine="0" w:hanging="0"/>
        <w:jc w:val="left"/>
      </w:pPr>
      <w:r>
        <w:rPr>
          <w:rFonts w:ascii="Times New Roman" w:hAnsi="굴림체" w:cs="굴림체" w:eastAsia="굴림체"/>
          <w:sz w:val="24"/>
        </w:rPr>
        <w:t>• Formalized relationships – The importance of formalizing clear and workable relationships with other human rights bodies and civil society, such as through public memoranda of understanding, serves as a reflection of the importance of ensuring regular, constructive working relationships and is key to increasing the transparency of the NHRI’s work with these bodies.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