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1-01. 국가인권기구의 설립</w:t>
      </w:r>
    </w:p>
    <w:p>
      <w:pPr>
        <w:ind w:left="0" w:firstLine="0" w:hanging="0"/>
        <w:jc w:val="center"/>
      </w:pPr>
      <w:r>
        <w:rPr>
          <w:rFonts w:ascii="Times New Roman" w:hAnsi="굴림체" w:cs="굴림체" w:eastAsia="굴림체"/>
          <w:sz w:val="24"/>
        </w:rPr>
        <w:t>1-1. The Establishment of NHRIs</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1.1 The establishment of NHRIs</w:t>
      </w:r>
    </w:p>
    <w:p>
      <w:pPr>
        <w:ind w:left="0" w:firstLine="0" w:hanging="0"/>
        <w:jc w:val="left"/>
      </w:pPr>
      <w:r>
        <w:rPr>
          <w:rFonts w:ascii="Times New Roman" w:hAnsi="굴림체" w:cs="굴림체" w:eastAsia="굴림체"/>
          <w:sz w:val="24"/>
        </w:rPr>
        <w:t>An NHRI must be established in a constitutional or legislative text with sufficient detail to ensure the NHRI has a clear mandate and independence. In particular, it should specify the NHRI’s role, functions, powers, funding and lines of accountability, as well as the appointment mechanism for, and terms of office of, its members. The establishment of an NHRI by other means, such as an instrument of the Executive, does not provide sufficient protection to ensure permanency and independence</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Pursuant to section A.2 of the Paris Principles: “A national institution shall be given as broad a mandate as possible, which shall be clearly set forth in a constitutional or legislative text, specifying its composition and its sphere of competence.”</w:t>
      </w:r>
    </w:p>
    <w:p>
      <w:pPr>
        <w:ind w:left="0" w:firstLine="0" w:hanging="0"/>
        <w:jc w:val="left"/>
      </w:pPr>
      <w:r>
        <w:rPr>
          <w:rFonts w:ascii="Times New Roman" w:hAnsi="굴림체" w:cs="굴림체" w:eastAsia="굴림체"/>
          <w:sz w:val="24"/>
        </w:rPr>
        <w:t>The SCA recognizes that NHRIs are created in different socio-economic circumstances and political systems, which may in turn impact on the manner in which they are formally established. Nonetheless, the Paris Principles are clear on the requirement that NHRIs, regardless of the constitutional and legal system in which they operate, be formally entrenched in law and in this way be distinguished from an agency of state, a non-government organization, or an ad hoc body. Further, it is necessary that the constitutional or legislative text set out the NHRI’s mandate as well as the composition of its leadership body. This necessarily requires the inclusion of complete provisions on the NHRI’s appointment mechanisms, terms and conditions of office, mandate, powers, funding and lines of accountability.</w:t>
      </w:r>
    </w:p>
    <w:p>
      <w:pPr>
        <w:ind w:left="0" w:firstLine="0" w:hanging="0"/>
        <w:jc w:val="left"/>
      </w:pPr>
      <w:r>
        <w:rPr>
          <w:rFonts w:ascii="Times New Roman" w:hAnsi="굴림체" w:cs="굴림체" w:eastAsia="굴림체"/>
          <w:sz w:val="24"/>
        </w:rPr>
        <w:t>The SCA considers this provision to be of central importance in guaranteeing both the permanency and independence of the Institution.</w:t>
      </w:r>
    </w:p>
    <w:p>
      <w:pPr>
        <w:ind w:left="0" w:firstLine="0" w:hanging="0"/>
        <w:jc w:val="left"/>
      </w:pPr>
      <w:r>
        <w:rPr>
          <w:rFonts w:ascii="Times New Roman" w:hAnsi="굴림체" w:cs="굴림체" w:eastAsia="굴림체"/>
          <w:sz w:val="24"/>
        </w:rPr>
        <w:t>The creation of an NHRI in other ways, such as by a decision of the Executive (through a decree, regulation, motion, or administrative action) and not by the legislature raises concerns regarding permanency, independence from government and the ability to exercise its mandate in an unfettered manner. This is because instruments of the Executive may be modified or cancelled at the whim of the Executive, and such decisions do not require legislative scrutiny. Changes to the mandate and functions of an independent agency of state charged with the promotion and protection of human rights should be scrutinised by the legislature and not be at the fiat of the Executive. Any amendment or repeal of the constitutional or legislative text establishing the NHRI must require the consent of the legislature to ensure its guarantees of independence and powers do not risk being undermined in the future.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