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 및 그 밖의 잔혹한, 비인도적인 또는 굴욕적인 대우나 처벌의 방지에 관한 협약</w:t>
      </w:r>
    </w:p>
    <w:p>
      <w:pPr>
        <w:ind w:left="0" w:firstLine="0" w:hanging="0"/>
        <w:jc w:val="center"/>
      </w:pPr>
      <w:r>
        <w:rPr>
          <w:rFonts w:ascii="Times New Roman" w:hAnsi="굴림체" w:cs="굴림체" w:eastAsia="굴림체"/>
          <w:sz w:val="24"/>
        </w:rPr>
        <w:t>Convention against Torture and Other Cruel, Inhuman or Degrading Treatment or Punishment</w:t>
      </w:r>
    </w:p>
    <w:p>
      <w:pPr>
        <w:ind w:left="0" w:firstLine="0" w:hanging="0"/>
        <w:jc w:val="center"/>
      </w:pPr>
      <w:r>
        <w:rPr>
          <w:rFonts w:ascii="Times New Roman" w:hAnsi="굴림체" w:cs="굴림체" w:eastAsia="굴림체"/>
          <w:sz w:val="20"/>
        </w:rPr>
        <w:t>채택일 1984. 12. 10. / 발효일 1987. 6. 26. | 대한민국가입일 1995. 1. 9. / 국내발효일 1995. 2. 8.</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A/RES/39/46</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고문방지위원회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협약의 당사국은,</w:t>
      </w:r>
    </w:p>
    <w:p>
      <w:pPr>
        <w:ind w:left="0" w:firstLine="0" w:hanging="0"/>
        <w:jc w:val="left"/>
      </w:pPr>
      <w:r>
        <w:rPr>
          <w:rFonts w:ascii="Times New Roman" w:hAnsi="굴림체" w:cs="굴림체" w:eastAsia="굴림체"/>
          <w:sz w:val="24"/>
        </w:rPr>
        <w:t>국제연합 헌장에 천명된 원칙에 따라, 인류사회의 모든 구성원이 향유하는 평등하며 불가양한 권리를 인정하는 데서 세계의 자유, 정의 및 평화의 기초가 이룩됨을 고려하고,</w:t>
      </w:r>
    </w:p>
    <w:p>
      <w:pPr>
        <w:ind w:left="0" w:firstLine="0" w:hanging="0"/>
        <w:jc w:val="left"/>
      </w:pPr>
      <w:r>
        <w:rPr>
          <w:rFonts w:ascii="Times New Roman" w:hAnsi="굴림체" w:cs="굴림체" w:eastAsia="굴림체"/>
          <w:sz w:val="24"/>
        </w:rPr>
        <w:t>이러한 권리는 인간의 고유한 존엄성으로부터 유래함을 인정하며,</w:t>
      </w:r>
    </w:p>
    <w:p>
      <w:pPr>
        <w:ind w:left="0" w:firstLine="0" w:hanging="0"/>
        <w:jc w:val="left"/>
      </w:pPr>
      <w:r>
        <w:rPr>
          <w:rFonts w:ascii="Times New Roman" w:hAnsi="굴림체" w:cs="굴림체" w:eastAsia="굴림체"/>
          <w:sz w:val="24"/>
        </w:rPr>
        <w:t>국제연합 헌장 특히 제55조에 따라 인권 및 기본적 자유를 보편적으로 존중하고 이의 준수를 촉진하여야 하는 국가의 의무를 고려하고,</w:t>
      </w:r>
    </w:p>
    <w:p>
      <w:pPr>
        <w:ind w:left="0" w:firstLine="0" w:hanging="0"/>
        <w:jc w:val="left"/>
      </w:pPr>
      <w:r>
        <w:rPr>
          <w:rFonts w:ascii="Times New Roman" w:hAnsi="굴림체" w:cs="굴림체" w:eastAsia="굴림체"/>
          <w:sz w:val="24"/>
        </w:rPr>
        <w:t>어느 누구도 고문 및 잔혹한, 비인도적인 또는 굴욕적인 대우나 처벌의 대상이 되어서는 아니된다고 규정한 세계인권선언 제5조와 시민적 및 정치적 권리에 관한 국제규약 제7조에 유의하며,</w:t>
      </w:r>
    </w:p>
    <w:p>
      <w:pPr>
        <w:ind w:left="0" w:firstLine="0" w:hanging="0"/>
        <w:jc w:val="left"/>
      </w:pPr>
      <w:r>
        <w:rPr>
          <w:rFonts w:ascii="Times New Roman" w:hAnsi="굴림체" w:cs="굴림체" w:eastAsia="굴림체"/>
          <w:sz w:val="24"/>
        </w:rPr>
        <w:t>1975년 12월 9일 국제연합 총회에서 채택된 고문 및 그 밖의 잔혹한, 비인도적인 또는 굴욕적인 대우나 처벌로부터 만인의 보호에 관한 선언에 유의하고,</w:t>
      </w:r>
    </w:p>
    <w:p>
      <w:pPr>
        <w:ind w:left="0" w:firstLine="0" w:hanging="0"/>
        <w:jc w:val="left"/>
      </w:pPr>
      <w:r>
        <w:rPr>
          <w:rFonts w:ascii="Times New Roman" w:hAnsi="굴림체" w:cs="굴림체" w:eastAsia="굴림체"/>
          <w:sz w:val="24"/>
        </w:rPr>
        <w:t>세계적으로 고문 및 그 밖의 잔혹한, 비인도적인 또는 굴욕적인 대우나 처벌을 방지하기 위한 투쟁이 더욱 실효적이기를 희망하여,</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제1장</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이 협약의 목적상 "고문"이라 함은 공무원이나 그 밖의 공무 수행자가 직접 또는 이러한 자의 교사·동의·묵인 아래, 어떤 개인이나 제3자로부터 정보나 자백을 얻어내기 위한 목적으로, 개인이나 제3자가 실행하였거나 실행한 혐의가 있는 행위에 대하여 처벌을 하기 위한 목적으로, 개인이나 제3자를 협박·강요할 목적으로, 또는 모든 종류의 차별에 기초한 이유로, 개인에게 고의로 극심한 신체적·정신적 고통을 가하는 행위를 말한다. 다만, 합법적 제재조치로부터 초래되거나, 이에 내재하거나 이에 부수되는 고통은 고문에 포함되지 아니한다.</w:t>
      </w:r>
    </w:p>
    <w:p>
      <w:pPr>
        <w:ind w:left="0" w:firstLine="0" w:hanging="0"/>
        <w:jc w:val="left"/>
      </w:pPr>
      <w:r>
        <w:rPr>
          <w:rFonts w:ascii="Times New Roman" w:hAnsi="굴림체" w:cs="굴림체" w:eastAsia="굴림체"/>
          <w:sz w:val="24"/>
        </w:rPr>
        <w:t>2. 이 조는 더 광범위하게 적용되는 규정을 포함하고 있거나 포함하게 될 국제문서나 국내입법을 해하지 아니한다.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당사국은 자기 나라 관할하의 영토 내에서 고문행위를 방지하기 위하여 실효적인 입법․행정․사법 또는 그 밖의 조치를 취한다.</w:t>
      </w:r>
    </w:p>
    <w:p>
      <w:pPr>
        <w:ind w:left="0" w:firstLine="0" w:hanging="0"/>
        <w:jc w:val="left"/>
      </w:pPr>
      <w:r>
        <w:rPr>
          <w:rFonts w:ascii="Times New Roman" w:hAnsi="굴림체" w:cs="굴림체" w:eastAsia="굴림체"/>
          <w:sz w:val="24"/>
        </w:rPr>
        <w:t>2. 전쟁상태, 전쟁의 위협, 국내의 정치불안정 또는 그 밖의 사회적 긴급상황 등 어떠한 예외적인 상황도 고문을 정당화하기 위하여 원용될 수 없다.</w:t>
      </w:r>
    </w:p>
    <w:p>
      <w:pPr>
        <w:ind w:left="0" w:firstLine="0" w:hanging="0"/>
        <w:jc w:val="left"/>
      </w:pPr>
      <w:r>
        <w:rPr>
          <w:rFonts w:ascii="Times New Roman" w:hAnsi="굴림체" w:cs="굴림체" w:eastAsia="굴림체"/>
          <w:sz w:val="24"/>
        </w:rPr>
        <w:t>3. 상관 또는 당국의 명령은 고문을 정당화하기 위하여 원용될 수 없다.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1. 어떠한 당사국도 고문받을 위험이 있다고 믿을 만한 상당한 근거가 있는 다른 나라로 개인을 추방․송환 또는 인도하여서는 아니된다.</w:t>
      </w:r>
    </w:p>
    <w:p>
      <w:pPr>
        <w:ind w:left="0" w:firstLine="0" w:hanging="0"/>
        <w:jc w:val="left"/>
      </w:pPr>
      <w:r>
        <w:rPr>
          <w:rFonts w:ascii="Times New Roman" w:hAnsi="굴림체" w:cs="굴림체" w:eastAsia="굴림체"/>
          <w:sz w:val="24"/>
        </w:rPr>
        <w:t>2. 위와 같이 믿을 만한 근거가 있는지 여부를 결정하기 위하여, 권한 있는 당국은 가능한 경우 관련국가에서 현저하며 극악한 또는 대규모 인권침해 사례가 꾸준하게 존재하여 왔는지 여부를 포함하여 모든 관련사항을 고려한다.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1. 당사국은 모든 고문행위가 자기 나라의 형법에 따라 범죄가 되도록 보장하며, 고문 미수, 고문 공모 또는 가담에 해당하는 행위도 마찬가지로 다룬다.</w:t>
      </w:r>
    </w:p>
    <w:p>
      <w:pPr>
        <w:ind w:left="0" w:firstLine="0" w:hanging="0"/>
        <w:jc w:val="left"/>
      </w:pPr>
      <w:r>
        <w:rPr>
          <w:rFonts w:ascii="Times New Roman" w:hAnsi="굴림체" w:cs="굴림체" w:eastAsia="굴림체"/>
          <w:sz w:val="24"/>
        </w:rPr>
        <w:t>2. 당사국은 이러한 범죄가 그 심각성이 고려된 적절한 형벌로 처벌될 수 있도록 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1. 당사국은 다음의 경우에 제4조에 규정된 범죄에 대한 관할권을 확립하기 위하여 필요한 조치를 취한다.</w:t>
      </w:r>
    </w:p>
    <w:p>
      <w:pPr>
        <w:ind w:left="0" w:firstLine="0" w:hanging="0"/>
        <w:jc w:val="left"/>
      </w:pPr>
      <w:r>
        <w:rPr>
          <w:rFonts w:ascii="Times New Roman" w:hAnsi="굴림체" w:cs="굴림체" w:eastAsia="굴림체"/>
          <w:sz w:val="24"/>
        </w:rPr>
        <w:t xml:space="preserve">  (a) 범죄가 자기 나라 관할하의 영토 내에서 또는 자기 나라에 등록된 선박이나 항공기에서 실행된 경우</w:t>
      </w:r>
    </w:p>
    <w:p>
      <w:pPr>
        <w:ind w:left="0" w:firstLine="0" w:hanging="0"/>
        <w:jc w:val="left"/>
      </w:pPr>
      <w:r>
        <w:rPr>
          <w:rFonts w:ascii="Times New Roman" w:hAnsi="굴림체" w:cs="굴림체" w:eastAsia="굴림체"/>
          <w:sz w:val="24"/>
        </w:rPr>
        <w:t xml:space="preserve">  (b) 범죄혐의자가 자기 나라의 국민인 경우</w:t>
      </w:r>
    </w:p>
    <w:p>
      <w:pPr>
        <w:ind w:left="0" w:firstLine="0" w:hanging="0"/>
        <w:jc w:val="left"/>
      </w:pPr>
      <w:r>
        <w:rPr>
          <w:rFonts w:ascii="Times New Roman" w:hAnsi="굴림체" w:cs="굴림체" w:eastAsia="굴림체"/>
          <w:sz w:val="24"/>
        </w:rPr>
        <w:t xml:space="preserve">  (c) 피해자가 자기 나라의 국민이며 자기 나라의 관할권 행사가 적절하다고 인정하는 경우</w:t>
      </w:r>
    </w:p>
    <w:p>
      <w:pPr>
        <w:ind w:left="0" w:firstLine="0" w:hanging="0"/>
        <w:jc w:val="left"/>
      </w:pPr>
      <w:r>
        <w:rPr>
          <w:rFonts w:ascii="Times New Roman" w:hAnsi="굴림체" w:cs="굴림체" w:eastAsia="굴림체"/>
          <w:sz w:val="24"/>
        </w:rPr>
        <w:t>2. 당사국은 범죄혐의자가 자기 나라 관할하의 영토 내에 소재하나 이러한 범죄혐의자를 제1항에 규정된 어느 국가에도 제8조에 따라 인도하지 아니하는 경우에는 위와 마찬가지로 이러한 범죄에 대한 관할권을 확립하기 위하여 필요한 조치를 취한다.</w:t>
      </w:r>
    </w:p>
    <w:p>
      <w:pPr>
        <w:ind w:left="0" w:firstLine="0" w:hanging="0"/>
        <w:jc w:val="left"/>
      </w:pPr>
      <w:r>
        <w:rPr>
          <w:rFonts w:ascii="Times New Roman" w:hAnsi="굴림체" w:cs="굴림체" w:eastAsia="굴림체"/>
          <w:sz w:val="24"/>
        </w:rPr>
        <w:t>3. 이 협약은 국내법에 따라 행사되는 어떠한 형사관할권도 배제하지 아니한다.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1. 당사국은 제4조에 규정된 범죄를 실행한 것으로 추정되는 혐의자가 자기 나라 영토 안에 소재하는 경우에, 입수된 정보를 검토한 후 상황에 비추어 정당하다고 판단하게 되면, 즉시 범죄혐의자를 구금하거나 또는 그의 신병을 확보하기 위한 그 밖의 법적 조치를 취한다. 구금 또는 그 밖의 법적 조치는 당사국의 법에 따르나, 형사절차나 범죄인 인도 절차를 개시하는 데 필요한 기간만 지속될 수 있다.</w:t>
      </w:r>
    </w:p>
    <w:p>
      <w:pPr>
        <w:ind w:left="0" w:firstLine="0" w:hanging="0"/>
        <w:jc w:val="left"/>
      </w:pPr>
      <w:r>
        <w:rPr>
          <w:rFonts w:ascii="Times New Roman" w:hAnsi="굴림체" w:cs="굴림체" w:eastAsia="굴림체"/>
          <w:sz w:val="24"/>
        </w:rPr>
        <w:t>2. 위의 조치를 취한 국가는 즉시 예비 사실조사를 실시한다.</w:t>
      </w:r>
    </w:p>
    <w:p>
      <w:pPr>
        <w:ind w:left="0" w:firstLine="0" w:hanging="0"/>
        <w:jc w:val="left"/>
      </w:pPr>
      <w:r>
        <w:rPr>
          <w:rFonts w:ascii="Times New Roman" w:hAnsi="굴림체" w:cs="굴림체" w:eastAsia="굴림체"/>
          <w:sz w:val="24"/>
        </w:rPr>
        <w:t>3. 제1항에 따라 구금된 개인은 가장 인근에 소재하는 국적국의 적절한 대표, 무국적자인 경우에는 자신이 상주하고 있는 국가의 대표와 즉각적으로 연락을 취할 수 있도록 지원을 받는다.</w:t>
      </w:r>
    </w:p>
    <w:p>
      <w:pPr>
        <w:ind w:left="0" w:firstLine="0" w:hanging="0"/>
        <w:jc w:val="left"/>
      </w:pPr>
      <w:r>
        <w:rPr>
          <w:rFonts w:ascii="Times New Roman" w:hAnsi="굴림체" w:cs="굴림체" w:eastAsia="굴림체"/>
          <w:sz w:val="24"/>
        </w:rPr>
        <w:t>4. 어느 국가가 이 조에 따라 개인을 구금하는 경우, 제5조 제1항에 규정된 국가에 그 개인의 구금사실 및 구금을 정당화하는 상황을 즉시 통고한다. 제2항에 규정된 예비조사를 실시하는 국가는 조사결과를 제5조제1항에 규정된 국가에 신속히 통보하며, 관할권을 행사할 의도가 있는지 여부를 알린다.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1. 당사국은 제4조에 규정된 범죄를 실행한 것으로 추정되는 혐의자가 자기 나라 영토 안에 소재하나, 제5조에 규정된 사건과 관련 이러한 범죄혐의자를 인도하지 아니하는 경우에는, 기소를 위하여 사건을 권한 있는 당국에 회부한다.</w:t>
      </w:r>
    </w:p>
    <w:p>
      <w:pPr>
        <w:ind w:left="0" w:firstLine="0" w:hanging="0"/>
        <w:jc w:val="left"/>
      </w:pPr>
      <w:r>
        <w:rPr>
          <w:rFonts w:ascii="Times New Roman" w:hAnsi="굴림체" w:cs="굴림체" w:eastAsia="굴림체"/>
          <w:sz w:val="24"/>
        </w:rPr>
        <w:t>2. 이러한 당국은 자기나라 법에 따라 통상적인 중범죄의 경우와 같은 방식으로 결정을 내린다. 제5조 제2항에 해당하는 경우, 기소 및 유죄판결에 필요한 증거의 수준은 제5조 제1항에 해당되는 경우에 적용되는 증거의 수준만큼 엄격하여야 된다.</w:t>
      </w:r>
    </w:p>
    <w:p>
      <w:pPr>
        <w:ind w:left="0" w:firstLine="0" w:hanging="0"/>
        <w:jc w:val="left"/>
      </w:pPr>
      <w:r>
        <w:rPr>
          <w:rFonts w:ascii="Times New Roman" w:hAnsi="굴림체" w:cs="굴림체" w:eastAsia="굴림체"/>
          <w:sz w:val="24"/>
        </w:rPr>
        <w:t>3. 제4조에 규정된 범죄와 관련하여 제기된 소송에 관련된 자는 소송의 모든 단계에서 공정한 대우를 보장받는다.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제4조에 규정된 범죄는 당사국 사이의 현행 범죄인 인도조약상 인도 대상 범죄에 포함된 것으로 본다. 당사국은 향후 그들 사이에 체결될 모든 범죄인 인도조약에 이러한 범죄를 인도 대상 범죄로 포함시킨다.</w:t>
      </w:r>
    </w:p>
    <w:p>
      <w:pPr>
        <w:ind w:left="0" w:firstLine="0" w:hanging="0"/>
        <w:jc w:val="left"/>
      </w:pPr>
      <w:r>
        <w:rPr>
          <w:rFonts w:ascii="Times New Roman" w:hAnsi="굴림체" w:cs="굴림체" w:eastAsia="굴림체"/>
          <w:sz w:val="24"/>
        </w:rPr>
        <w:t>2. 조약의 존재를 범죄인 인도의 조건으로 하고 있는 당사국이 범죄인 인도조약을 체결하고 있지 아니한 다른 당사국으로부터 범죄인 인도 요청을 받는 경우, 당사국은 이 협약을 이러한 범죄에 대한 범죄인 인도의 법적 근거로 인정할 수 있다. 범죄인 인도는 피요청국의 법에 규정된 그 밖의 조건에 따른다.</w:t>
      </w:r>
    </w:p>
    <w:p>
      <w:pPr>
        <w:ind w:left="0" w:firstLine="0" w:hanging="0"/>
        <w:jc w:val="left"/>
      </w:pPr>
      <w:r>
        <w:rPr>
          <w:rFonts w:ascii="Times New Roman" w:hAnsi="굴림체" w:cs="굴림체" w:eastAsia="굴림체"/>
          <w:sz w:val="24"/>
        </w:rPr>
        <w:t>3. 조약의 존재를 범죄인 인도의 조건으로 하지 아니하는 당사국은 피요청국의 법이 규정한 조건에 따라 위의 범죄를 그들 사이의 인도 대상 범죄로 인정한다.</w:t>
      </w:r>
    </w:p>
    <w:p>
      <w:pPr>
        <w:ind w:left="0" w:firstLine="0" w:hanging="0"/>
        <w:jc w:val="left"/>
      </w:pPr>
      <w:r>
        <w:rPr>
          <w:rFonts w:ascii="Times New Roman" w:hAnsi="굴림체" w:cs="굴림체" w:eastAsia="굴림체"/>
          <w:sz w:val="24"/>
        </w:rPr>
        <w:t>4. 당사국 사이의 범죄인 인도 목적상 위의 범죄는 범죄 발생지에서는 물론 제5조 제1항에 따라 관할권을 확립하여야 하는 국가의 영토에서도 실행된 것으로 취급된다.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1. 제4조에 규정된 범죄에 대하여 제기된 형사절차와 관련하여, 당사국은 서로 최대한의 지원을 제공하며, 이러한 지원에는 당사국이 보유한 형사절차상 필요한 모든 증거의 제공이 포함된다.</w:t>
      </w:r>
    </w:p>
    <w:p>
      <w:pPr>
        <w:ind w:left="0" w:firstLine="0" w:hanging="0"/>
        <w:jc w:val="left"/>
      </w:pPr>
      <w:r>
        <w:rPr>
          <w:rFonts w:ascii="Times New Roman" w:hAnsi="굴림체" w:cs="굴림체" w:eastAsia="굴림체"/>
          <w:sz w:val="24"/>
        </w:rPr>
        <w:t>2. 당사국은 당사국 사이에 체결된 사법공조 조약이 있을 경우 이에 따라 제1항에 따른 의무를 수행한다.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1. 당사국은 여하한 형태의 체포․구금 또는 징역의 대상이 된 개인의 구금․심문 또는 처리에 관여할 수 있는 민간이나 군의 법집행 요원․의료인․공무원 및 그 밖의 요원들의 훈련과정에 고문방지에 관한 교육 및 정보가 충실하게 포함되도록 보장한다.</w:t>
      </w:r>
    </w:p>
    <w:p>
      <w:pPr>
        <w:ind w:left="0" w:firstLine="0" w:hanging="0"/>
        <w:jc w:val="left"/>
      </w:pPr>
      <w:r>
        <w:rPr>
          <w:rFonts w:ascii="Times New Roman" w:hAnsi="굴림체" w:cs="굴림체" w:eastAsia="굴림체"/>
          <w:sz w:val="24"/>
        </w:rPr>
        <w:t>2. 당사국은 위 요원들의 임무 및 기능에 관한 규칙이나 지침에 고문금지 내용을 포함시킨다.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고문사례를 방지하기 위하여 당사국은 자기 나라 관할하의 영토 내에서 여하한 형태의 체포․구금 또는 징역의 대상이 된 개인을 구금․처리하는 각종 제도는 물론 심문 규칙․지침․방법 및 관행을 체계적으로 검토한다.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당사국은 자기 나라 관할하의 영토 내에서 고문이 자행되었다고 믿을 만한 타당한 근거가 있는 경우에는 권한 있는 당국이 신속하고 공평한 조사를 진행하도록 보장한다.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당사국은 자기 나라 관할하의 영토 내에서 고문을 받았다고 주장하는 개인이 권한 있는 당국에 고소하여 신속하고 공평하게 조사를 받을 수 있는 권리를 보장하며, 고소인과 증인이 고소 또는 증거제공으로 인하여 부당한 취급이나 협박을 받지 아니하도록 보장조치를 취한다.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당사국은 자기 나라의 법체계 안에서 고문행위의 피해자가 구제를 받고, 또한 가능한 한 완전한 재활수단을 포함하여 공정하고 적절한 배상을 받을 수 있는 실효적인 권리를 보장한다. 고문행위의 결과로 피해자가 사망한 경우, 피해자의 부양가족이 배상받을 권리를 가진다.</w:t>
      </w:r>
    </w:p>
    <w:p>
      <w:pPr>
        <w:ind w:left="0" w:firstLine="0" w:hanging="0"/>
        <w:jc w:val="left"/>
      </w:pPr>
      <w:r>
        <w:rPr>
          <w:rFonts w:ascii="Times New Roman" w:hAnsi="굴림체" w:cs="굴림체" w:eastAsia="굴림체"/>
          <w:sz w:val="24"/>
        </w:rPr>
        <w:t>2. 이 조의 어떠한 규정도 피해자나 그 밖의 개인들이 국내법에 따라 배상을 받을 수 있는 권리에 영향을 미치지 아니한다.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당사국은 고문의 결과 행해진 것으로 입증된 진술이 모든 소송에서 증거로 원용되지 아니하도록 보장한다. 다만, 위의 진술사실이 고문 혐의자에 대한 소송에서 그 진술이 행하여졌다는 증거로 원용되는 경우에는 제외한다.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당사국은 자기 나라 관할하의 영토 내에서 제1조에 규정된 고문에 미치지 아니하는 그 밖의 잔혹한, 비인도적인 또는 굴욕적인 대우나 처벌이 공무원이나 그 밖의 공무수행자에 의하여 직접 또는 이들의 교사. 동의. 묵인 아래 이루어지는 것을 방지한다. 특히 제10조, 제11조, 제12조 및 제13조에 규정된 의무는 "고문"이라는 표현 대신에 그 밖의 형태의 잔혹한, 비인도적인 또는 굴욕적인 대우나 처벌이라는 표현으로 대체하여 그대로 적용한다.</w:t>
      </w:r>
    </w:p>
    <w:p>
      <w:pPr>
        <w:ind w:left="0" w:firstLine="0" w:hanging="0"/>
        <w:jc w:val="left"/>
      </w:pPr>
      <w:r>
        <w:rPr>
          <w:rFonts w:ascii="Times New Roman" w:hAnsi="굴림체" w:cs="굴림체" w:eastAsia="굴림체"/>
          <w:sz w:val="24"/>
        </w:rPr>
        <w:t>2. 이 협약의 규정은 잔혹한, 비인도적인 또는 굴욕적인 대우나 처벌을 금지하거나 범죄인 인도․추방과 관련된 그 밖의 국제문서나 국내법의 규정을 해하지 아니한다.</w:t>
      </w:r>
    </w:p>
    <w:p>
      <w:pPr>
        <w:ind w:left="0" w:firstLine="0" w:hanging="0"/>
        <w:jc w:val="center"/>
      </w:pPr>
      <w:r>
        <w:rPr>
          <w:rFonts w:ascii="Times New Roman" w:hAnsi="굴림체" w:cs="굴림체" w:eastAsia="굴림체"/>
          <w:sz w:val="24"/>
        </w:rPr>
        <w:t>제2장</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1. 다음에 규정된 기능을 수행하는 고문방지위원회(이하 "위원회"라 한다)를 설치한다. 위원회는 고매한 인격을 지니고 인권 분야에서 능력이 인정된 10명의 전문가로 구성하며, 이들은 개인 자격으로 직무를 수행한다. 이들 전문가는 당사국이 선출하며, 선출시에는 공평한 지역적 안배 및 법률적 경험을 가진 인사가 일부 포함되는 것이 유익하다는 점을 함께 고려한다.</w:t>
      </w:r>
    </w:p>
    <w:p>
      <w:pPr>
        <w:ind w:left="0" w:firstLine="0" w:hanging="0"/>
        <w:jc w:val="left"/>
      </w:pPr>
      <w:r>
        <w:rPr>
          <w:rFonts w:ascii="Times New Roman" w:hAnsi="굴림체" w:cs="굴림체" w:eastAsia="굴림체"/>
          <w:sz w:val="24"/>
        </w:rPr>
        <w:t>2. 위원회의 위원은 당사국이 지명한 후보자 명부에서 비밀투표로 선출한다. 각 당사국은 자기 나라 국민 중에서 후보자 1명을 지명할 수 있다. 당사국은 후보자 지명시 시민적 및 정치적 권리에 관한 국제규약에 따라 설치된 인권이사회의 위원 중 고문방지위원회에 재임하고자 하는 인사를 지명하는 것이 유익하다는 점을 유념한다.</w:t>
      </w:r>
    </w:p>
    <w:p>
      <w:pPr>
        <w:ind w:left="0" w:firstLine="0" w:hanging="0"/>
        <w:jc w:val="left"/>
      </w:pPr>
      <w:r>
        <w:rPr>
          <w:rFonts w:ascii="Times New Roman" w:hAnsi="굴림체" w:cs="굴림체" w:eastAsia="굴림체"/>
          <w:sz w:val="24"/>
        </w:rPr>
        <w:t>3. 위원회의 위원은 국제연합 사무총장이 2년마다 소집하는 당사국회의에서 선출된다. 당사국의 3분의 2가 의사정족수를 구성하는 이 회의에서 위원회 위원은 출석하여 투표한 당사국 대표로부터 절대 다수표를 획득한 자 중 최다득표자 순으로 선출된다.</w:t>
      </w:r>
    </w:p>
    <w:p>
      <w:pPr>
        <w:ind w:left="0" w:firstLine="0" w:hanging="0"/>
        <w:jc w:val="left"/>
      </w:pPr>
      <w:r>
        <w:rPr>
          <w:rFonts w:ascii="Times New Roman" w:hAnsi="굴림체" w:cs="굴림체" w:eastAsia="굴림체"/>
          <w:sz w:val="24"/>
        </w:rPr>
        <w:t>4. 최초 선거는 이 협약 발효일로부터 6월 안에 실시한다. 국제연합 사무총장은 최소한 각 선거일 4월 전에 모든 당사국에 서한을 발송하여, 3월 안에 후보자 명단을 제출해 주도록 요청한다. 국제연합 사무총장은 이와 같이 지명된 모든 후보자의 명부를 지명국을 표시하여 알파벳 순으로 작성하며, 이 명부를 모든 당사국에 송부한다.</w:t>
      </w:r>
    </w:p>
    <w:p>
      <w:pPr>
        <w:ind w:left="0" w:firstLine="0" w:hanging="0"/>
        <w:jc w:val="left"/>
      </w:pPr>
      <w:r>
        <w:rPr>
          <w:rFonts w:ascii="Times New Roman" w:hAnsi="굴림체" w:cs="굴림체" w:eastAsia="굴림체"/>
          <w:sz w:val="24"/>
        </w:rPr>
        <w:t>5. 위원회의 위원은 4년 임기로 선출된다. 위원은 후보로 재지명되는 경우 재선될 수 있다. 다만, 최초 선거에서 선출된 위원 중 5명의 임기는 2년 만에 종료한다. 이들 위원 5명은 최초 선거 직후 제3항에 규정된 회의의 의장이 추첨으로 선정한다.</w:t>
      </w:r>
    </w:p>
    <w:p>
      <w:pPr>
        <w:ind w:left="0" w:firstLine="0" w:hanging="0"/>
        <w:jc w:val="left"/>
      </w:pPr>
      <w:r>
        <w:rPr>
          <w:rFonts w:ascii="Times New Roman" w:hAnsi="굴림체" w:cs="굴림체" w:eastAsia="굴림체"/>
          <w:sz w:val="24"/>
        </w:rPr>
        <w:t>6. 위원회의 위원이 사망․사임하거나 또는 그 밖의 사유로 위원회의 임무를 더 이상 수행할 수 없는 경우, 이 위원을 지명한 당사국은 전체 당사국 과반수의 승인을 조건으로 이 위원의 잔여 임기 동안 재임할 다른 전문가를 자기 나라 국민 중에서 지명한다. 국제연합 사무총장이 지명안을 당사국에 통지한 후 6주 안에 전체 당사국의 반 또는 그 이상이 반대를 표명하지 아니하는 한 이 지명안은 승인된 것으로 간주된다.</w:t>
      </w:r>
    </w:p>
    <w:p>
      <w:pPr>
        <w:ind w:left="0" w:firstLine="0" w:hanging="0"/>
        <w:jc w:val="left"/>
      </w:pPr>
      <w:r>
        <w:rPr>
          <w:rFonts w:ascii="Times New Roman" w:hAnsi="굴림체" w:cs="굴림체" w:eastAsia="굴림체"/>
          <w:sz w:val="24"/>
        </w:rPr>
        <w:t>7. 당사국은 위원회 위원들의 임무수행 중 발생하는 위원들의 경비를 부담한다.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위원회는 2년 임기의 임원을 선출한다. 임원은 재선될 수 있다.</w:t>
      </w:r>
    </w:p>
    <w:p>
      <w:pPr>
        <w:ind w:left="0" w:firstLine="0" w:hanging="0"/>
        <w:jc w:val="left"/>
      </w:pPr>
      <w:r>
        <w:rPr>
          <w:rFonts w:ascii="Times New Roman" w:hAnsi="굴림체" w:cs="굴림체" w:eastAsia="굴림체"/>
          <w:sz w:val="24"/>
        </w:rPr>
        <w:t>2. 위원회는 자체 의사규칙을 제정한다. 다만, 이 규칙은 특히 다음 사항을 규정한다.</w:t>
      </w:r>
    </w:p>
    <w:p>
      <w:pPr>
        <w:ind w:left="0" w:firstLine="0" w:hanging="0"/>
        <w:jc w:val="left"/>
      </w:pPr>
      <w:r>
        <w:rPr>
          <w:rFonts w:ascii="Times New Roman" w:hAnsi="굴림체" w:cs="굴림체" w:eastAsia="굴림체"/>
          <w:sz w:val="24"/>
        </w:rPr>
        <w:t xml:space="preserve">  (a) 의사정족수는 위원 6인으로 한다.</w:t>
      </w:r>
    </w:p>
    <w:p>
      <w:pPr>
        <w:ind w:left="0" w:firstLine="0" w:hanging="0"/>
        <w:jc w:val="left"/>
      </w:pPr>
      <w:r>
        <w:rPr>
          <w:rFonts w:ascii="Times New Roman" w:hAnsi="굴림체" w:cs="굴림체" w:eastAsia="굴림체"/>
          <w:sz w:val="24"/>
        </w:rPr>
        <w:t xml:space="preserve">  (b) 위원회의 결정은 출석위원 과반수의 찬성으로 한다.</w:t>
      </w:r>
    </w:p>
    <w:p>
      <w:pPr>
        <w:ind w:left="0" w:firstLine="0" w:hanging="0"/>
        <w:jc w:val="left"/>
      </w:pPr>
      <w:r>
        <w:rPr>
          <w:rFonts w:ascii="Times New Roman" w:hAnsi="굴림체" w:cs="굴림체" w:eastAsia="굴림체"/>
          <w:sz w:val="24"/>
        </w:rPr>
        <w:t>3. 국제연합 사무총장은 위원회가 이 협약에 따른 기능을 효과적으로 수행하는 데 필요한 직원과 시설을 제공한다.</w:t>
      </w:r>
    </w:p>
    <w:p>
      <w:pPr>
        <w:ind w:left="0" w:firstLine="0" w:hanging="0"/>
        <w:jc w:val="left"/>
      </w:pPr>
      <w:r>
        <w:rPr>
          <w:rFonts w:ascii="Times New Roman" w:hAnsi="굴림체" w:cs="굴림체" w:eastAsia="굴림체"/>
          <w:sz w:val="24"/>
        </w:rPr>
        <w:t>4. 국제연합 사무총장은 위원회의 제1차 회의를 소집한다. 제1차 회의 이후 위원회는 의사규칙에 규정되는 시기에 회합한다.</w:t>
      </w:r>
    </w:p>
    <w:p>
      <w:pPr>
        <w:ind w:left="0" w:firstLine="0" w:hanging="0"/>
        <w:jc w:val="left"/>
      </w:pPr>
      <w:r>
        <w:rPr>
          <w:rFonts w:ascii="Times New Roman" w:hAnsi="굴림체" w:cs="굴림체" w:eastAsia="굴림체"/>
          <w:sz w:val="24"/>
        </w:rPr>
        <w:t>5. 당사국은 당사국회의 및 위원회회의 개최와 관련하여 발생하는 경비를 부담하며, 이러한 경비에는 제3항에 따라 국제연합이 부담한 인건비․시설비 등과 같은 제반경비로서 국제연합에 상환되는 비용이 포함된다.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1. 당사국은 이 협약에 따른 의무를 이행하기 위하여 취한 조치에 관하여 이 협약이 자기 나라에 대하여 발효한 후 1년 안에 보고서를 작성하여 국제연합 사무총장을 통하여 위원회에 제출한다. 그 이후에 당사국은 새로이 취한 조치에 관하여 매 4년마다 추가보고서를 제출하며, 위원회가 요청하는 그 밖의 보고서를 제출한다.</w:t>
      </w:r>
    </w:p>
    <w:p>
      <w:pPr>
        <w:ind w:left="0" w:firstLine="0" w:hanging="0"/>
        <w:jc w:val="left"/>
      </w:pPr>
      <w:r>
        <w:rPr>
          <w:rFonts w:ascii="Times New Roman" w:hAnsi="굴림체" w:cs="굴림체" w:eastAsia="굴림체"/>
          <w:sz w:val="24"/>
        </w:rPr>
        <w:t>2. 국제연합 사무총장은 보고서를 모든 당사국에 송부한다.</w:t>
      </w:r>
    </w:p>
    <w:p>
      <w:pPr>
        <w:ind w:left="0" w:firstLine="0" w:hanging="0"/>
        <w:jc w:val="left"/>
      </w:pPr>
      <w:r>
        <w:rPr>
          <w:rFonts w:ascii="Times New Roman" w:hAnsi="굴림체" w:cs="굴림체" w:eastAsia="굴림체"/>
          <w:sz w:val="24"/>
        </w:rPr>
        <w:t>3. 위원회는 각 보고서를 검토하고, 보고서에 관하여 적절하다고 판단되는 일반적인 의견제시를 할 수 있으며, 이러한 의견제시를 관련당사국에 송부한다. 관련당사국은 이에 대한 견해를 위원회에 제시할 수 있다.</w:t>
      </w:r>
    </w:p>
    <w:p>
      <w:pPr>
        <w:ind w:left="0" w:firstLine="0" w:hanging="0"/>
        <w:jc w:val="left"/>
      </w:pPr>
      <w:r>
        <w:rPr>
          <w:rFonts w:ascii="Times New Roman" w:hAnsi="굴림체" w:cs="굴림체" w:eastAsia="굴림체"/>
          <w:sz w:val="24"/>
        </w:rPr>
        <w:t>4. 위원회는 제3항에 따라 행한 의견제시를 관련당사국으로부터 접수한 견해와 함께 제24조에 따라 작성되는 위원회의 연례보고서에 포함시키도록 재량으로 결정할 수 있다. 관련당사국이 요청하는 경우, 위원회는 또한 제1항에 따라 제출된 보고서의 사본을 포함시킬 수 있다.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1. 위원회가 어떤 당사국의 영토 내에서 고문이 조직적으로 자행되고 있다는 근거 있는 내용을 포함하고 있는 것으로 추정되는 신뢰할 만한 정보를 접수하는 경우, 위원회는 그 당사국에 대하여 그러한 정보를 조사하는 데 협조할 것과, 또한 이를 위하여 관련 정보에 대한 의견을 제출하도록 요청한다.</w:t>
      </w:r>
    </w:p>
    <w:p>
      <w:pPr>
        <w:ind w:left="0" w:firstLine="0" w:hanging="0"/>
        <w:jc w:val="left"/>
      </w:pPr>
      <w:r>
        <w:rPr>
          <w:rFonts w:ascii="Times New Roman" w:hAnsi="굴림체" w:cs="굴림체" w:eastAsia="굴림체"/>
          <w:sz w:val="24"/>
        </w:rPr>
        <w:t>2. 위원회는 관련당사국이 제출한 의견 및 그 밖에 입수 가능한 모든 관련 정보를 고려하여 정당하다고 결정하는 경우, 위원 중 1명 또는 그 이상을 지명하여 비공개 조사를 실시하고 이를 위원회에 긴급히 보고하게 할 수 있다.</w:t>
      </w:r>
    </w:p>
    <w:p>
      <w:pPr>
        <w:ind w:left="0" w:firstLine="0" w:hanging="0"/>
        <w:jc w:val="left"/>
      </w:pPr>
      <w:r>
        <w:rPr>
          <w:rFonts w:ascii="Times New Roman" w:hAnsi="굴림체" w:cs="굴림체" w:eastAsia="굴림체"/>
          <w:sz w:val="24"/>
        </w:rPr>
        <w:t>3. 제2항에 따라 조사가 실시되는 경우, 위원회는 관련당사국에 협력을 요청한다. 관련당사국과 합의하는 경우 이러한 조사에는 관련당사국의 영토 방문이 포함될 수 있다.</w:t>
      </w:r>
    </w:p>
    <w:p>
      <w:pPr>
        <w:ind w:left="0" w:firstLine="0" w:hanging="0"/>
        <w:jc w:val="left"/>
      </w:pPr>
      <w:r>
        <w:rPr>
          <w:rFonts w:ascii="Times New Roman" w:hAnsi="굴림체" w:cs="굴림체" w:eastAsia="굴림체"/>
          <w:sz w:val="24"/>
        </w:rPr>
        <w:t>4. 제2항에 따라 제출된 위원의 조사결과를 검토한 후, 위원회는 이러한 조사결과를 상황에 비추어 적절하다고 판단되는 의견제시 및 제안과 함께 관련당사국에 송부한다.</w:t>
      </w:r>
    </w:p>
    <w:p>
      <w:pPr>
        <w:ind w:left="0" w:firstLine="0" w:hanging="0"/>
        <w:jc w:val="left"/>
      </w:pPr>
      <w:r>
        <w:rPr>
          <w:rFonts w:ascii="Times New Roman" w:hAnsi="굴림체" w:cs="굴림체" w:eastAsia="굴림체"/>
          <w:sz w:val="24"/>
        </w:rPr>
        <w:t>5. 제1항에서 제4항까지 규정된 위원회의 절차는 비공개로 진행되며, 절차의 모든 단계에서 당사국의 협력을 요청한다. 제2항에 따라 실시된 조사절차가 완료된 후, 위원회는 관련 당사국과의 협의를 거쳐 조사결과 요지를 제24조에 따라 작성되는 연례보고서에 포함시키도록 결정할 수 있다.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1. 이 협약의 당사국은, 어떤 당사국이 이 협약에 따른 의무를 다른 당사국이 이행하지 아니하고 있다고 통보하는 경우에 위원회가 이러한 통보를 수리하여 심리할 권능을 가지고 있음을 인정한다는 선언을 이 조에 따라 언제든지 할 수 있다. 이러한 통보는, 위원회의 권능을 자기 나라에 대하여 인정한다는 선언을 한 당사국이 제출한 경우에 한하여, 이 조에 규정된 절차에 따라 수리되어 심리될 수 있다. 위원회는 이러한 선언을 하지 아니한 당사국과 관련된 통보를 이 조에 따라 처리할 수 없다. 이 조에 따라 수리된 통보는 다음의 절차에 따라 처리된다.</w:t>
      </w:r>
    </w:p>
    <w:p>
      <w:pPr>
        <w:ind w:left="0" w:firstLine="0" w:hanging="0"/>
        <w:jc w:val="left"/>
      </w:pPr>
      <w:r>
        <w:rPr>
          <w:rFonts w:ascii="Times New Roman" w:hAnsi="굴림체" w:cs="굴림체" w:eastAsia="굴림체"/>
          <w:sz w:val="24"/>
        </w:rPr>
        <w:t xml:space="preserve">  (a) 당사국은 다른 당사국이 이 협약의 규정을 이행하지 아니한다고 판단하는 경우에, 서면통보로 이 문제에 관하여 그 당사국의 주의를 환기시킬 수 있다. 통보접수국은 통보접수 3월 안에 통보국에 대하여 관련 문제를 설명하는 설명서나 그 밖의 해명서를 제공한다. 이 설명서나 해명서는 가능하고 적절한 범위 안에서 국내절차 및 이미 취해졌거나 계류 중이거나 이용 가능한 구제수단에 관한 설명을 포함하여야 한다.</w:t>
      </w:r>
    </w:p>
    <w:p>
      <w:pPr>
        <w:ind w:left="0" w:firstLine="0" w:hanging="0"/>
        <w:jc w:val="left"/>
      </w:pPr>
      <w:r>
        <w:rPr>
          <w:rFonts w:ascii="Times New Roman" w:hAnsi="굴림체" w:cs="굴림체" w:eastAsia="굴림체"/>
          <w:sz w:val="24"/>
        </w:rPr>
        <w:t xml:space="preserve">  (b) 접수국이 최초 통보를 접수한 후 6월 안에 두 관련당사국 사이에 문제가 만족스럽게 조정되지 아니하는 경우, 일방 당사국은 위원회와 타방 당사국에 대한 통고를 통해, 위원회에 문제를 회부할 권리를 가진다.</w:t>
      </w:r>
    </w:p>
    <w:p>
      <w:pPr>
        <w:ind w:left="0" w:firstLine="0" w:hanging="0"/>
        <w:jc w:val="left"/>
      </w:pPr>
      <w:r>
        <w:rPr>
          <w:rFonts w:ascii="Times New Roman" w:hAnsi="굴림체" w:cs="굴림체" w:eastAsia="굴림체"/>
          <w:sz w:val="24"/>
        </w:rPr>
        <w:t xml:space="preserve">  (c) 위원회는 모든 국내적 구제조치가 일반적으로 승인된 국제법의 원칙에 따라 시도되어 완료되었음을 확인한 후에 이 조에 따라 회부된 문제를 처리한다. 다만, 구제수단의 적용이 부당하게 지연되거나, 이 협약 위반으로 피해를 받은 자에게 효과적인 구제를 기대할 수 없는 경우에 이 규정은 적용되지 아니한다.</w:t>
      </w:r>
    </w:p>
    <w:p>
      <w:pPr>
        <w:ind w:left="0" w:firstLine="0" w:hanging="0"/>
        <w:jc w:val="left"/>
      </w:pPr>
      <w:r>
        <w:rPr>
          <w:rFonts w:ascii="Times New Roman" w:hAnsi="굴림체" w:cs="굴림체" w:eastAsia="굴림체"/>
          <w:sz w:val="24"/>
        </w:rPr>
        <w:t xml:space="preserve">  (d) 위원회는 이 조에 따른 통보를 비공개 회의를 개최하여 검토한다.</w:t>
      </w:r>
    </w:p>
    <w:p>
      <w:pPr>
        <w:ind w:left="0" w:firstLine="0" w:hanging="0"/>
        <w:jc w:val="left"/>
      </w:pPr>
      <w:r>
        <w:rPr>
          <w:rFonts w:ascii="Times New Roman" w:hAnsi="굴림체" w:cs="굴림체" w:eastAsia="굴림체"/>
          <w:sz w:val="24"/>
        </w:rPr>
        <w:t xml:space="preserve">  (e) 다호의 규정에 따를 것을 조건으로, 위원회는 이 협약에 규정된 의무에 대한 존중에 기초하여 문제를 우호적으로 해결토록 하기 위하여 관련당사국에 주선을 제공한다. 이를 위하여 위원회는 적절한 경우 임시조정위원회를 설치 할 수 있다.</w:t>
      </w:r>
    </w:p>
    <w:p>
      <w:pPr>
        <w:ind w:left="0" w:firstLine="0" w:hanging="0"/>
        <w:jc w:val="left"/>
      </w:pPr>
      <w:r>
        <w:rPr>
          <w:rFonts w:ascii="Times New Roman" w:hAnsi="굴림체" w:cs="굴림체" w:eastAsia="굴림체"/>
          <w:sz w:val="24"/>
        </w:rPr>
        <w:t xml:space="preserve">  (f) 이 조에 따라 위원회에 회부된 모든 문제와 관련하여, 위원회는 나호에 규정된 관련당사국에게 모든 관련 정보를 제공하도록 요청할 수 있다.</w:t>
      </w:r>
    </w:p>
    <w:p>
      <w:pPr>
        <w:ind w:left="0" w:firstLine="0" w:hanging="0"/>
        <w:jc w:val="left"/>
      </w:pPr>
      <w:r>
        <w:rPr>
          <w:rFonts w:ascii="Times New Roman" w:hAnsi="굴림체" w:cs="굴림체" w:eastAsia="굴림체"/>
          <w:sz w:val="24"/>
        </w:rPr>
        <w:t xml:space="preserve">  (g) 나호에 규정된 관련당사국은 위원회에서 문제가 심리되는 동안 대표를 참석시킬 권리와 구두 및 서면진술권을 가진다.</w:t>
      </w:r>
    </w:p>
    <w:p>
      <w:pPr>
        <w:ind w:left="0" w:firstLine="0" w:hanging="0"/>
        <w:jc w:val="left"/>
      </w:pPr>
      <w:r>
        <w:rPr>
          <w:rFonts w:ascii="Times New Roman" w:hAnsi="굴림체" w:cs="굴림체" w:eastAsia="굴림체"/>
          <w:sz w:val="24"/>
        </w:rPr>
        <w:t xml:space="preserve">  (h) 위원회는 나호에 따른 통고 접수일부터 12월 안에 다음과 같은 보고서를 제출한다.</w:t>
      </w:r>
    </w:p>
    <w:p>
      <w:pPr>
        <w:ind w:left="0" w:firstLine="0" w:hanging="0"/>
        <w:jc w:val="left"/>
      </w:pPr>
      <w:r>
        <w:rPr>
          <w:rFonts w:ascii="Times New Roman" w:hAnsi="굴림체" w:cs="굴림체" w:eastAsia="굴림체"/>
          <w:sz w:val="24"/>
        </w:rPr>
        <w:t xml:space="preserve">	(i) 마호의 규정에 따라 해결에 도달하는 경우, 위원회의 보고내용은 사실관계 및 해결내용에 관한 약술로 한정된다.</w:t>
      </w:r>
    </w:p>
    <w:p>
      <w:pPr>
        <w:ind w:left="0" w:firstLine="0" w:hanging="0"/>
        <w:jc w:val="left"/>
      </w:pPr>
      <w:r>
        <w:rPr>
          <w:rFonts w:ascii="Times New Roman" w:hAnsi="굴림체" w:cs="굴림체" w:eastAsia="굴림체"/>
          <w:sz w:val="24"/>
        </w:rPr>
        <w:t xml:space="preserve">	(ii) 마호의 규정에 따라 해결에 도달하지 못한 경우, 위원회의 보고내용은 사실관계에 관한 약술로 한정되며, 관련당사국이 제출한 서면진술 및 구두진술 기록이 보고서에 첨부된다. 어떤 문제와 관련된 것이든 보고서는 관련당사국에게 통보된다.</w:t>
      </w:r>
    </w:p>
    <w:p>
      <w:pPr>
        <w:ind w:left="0" w:firstLine="0" w:hanging="0"/>
        <w:jc w:val="left"/>
      </w:pPr>
      <w:r>
        <w:rPr>
          <w:rFonts w:ascii="Times New Roman" w:hAnsi="굴림체" w:cs="굴림체" w:eastAsia="굴림체"/>
          <w:sz w:val="24"/>
        </w:rPr>
        <w:t>2. 이 조의 규정은 이 협약의 5개 당사국이 제1항에 따라 선언을 하는 때에 발효한다. 당사국은 이러한 선언을 국제연합 사무총장에게 기탁하며, 국제연합 사무총장은 선언의 사본을 그 밖의 당사국에게 송부한다. 선언은 언제든지 국제연합 사무총장에 대한 통고로 철회될 수 있다. 철회는 이 조에 따라 이미 송부되어 통보의 대상이 된 문제의 심리를 해하지 아니한다. 국제연합 사무총장이 선언철회에 관한 통고를 접수한 후에는, 관련당사국이 새로이 선언을 하지 아니하는 한, 이러한 당사국의 통보는 더 이상 이 조에 따라 수리되지 아니한다.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1. 이 협약의 당사국은, 자기 나라의 관할권 내에 소재하는 개인이 당사국의 협약 규정 위반 때문에 피해를 받았다고 주장하는 경우에 위원회가 그 개인으로부터 직접 또는 그의 대리인으로부터 통보를 수리하고 심리할 권능을 가지고 있음을 인정한다는 선언을 이 조에 따라 언제든지 할 수 있다. 위원회는 이러한 선언을 하지 아니한 당사국과 관련된 통보는 수리하지 아니한다.</w:t>
      </w:r>
    </w:p>
    <w:p>
      <w:pPr>
        <w:ind w:left="0" w:firstLine="0" w:hanging="0"/>
        <w:jc w:val="left"/>
      </w:pPr>
      <w:r>
        <w:rPr>
          <w:rFonts w:ascii="Times New Roman" w:hAnsi="굴림체" w:cs="굴림체" w:eastAsia="굴림체"/>
          <w:sz w:val="24"/>
        </w:rPr>
        <w:t>2. 위원회는 익명의 통보, 통보제출권의 남용 또는 이 협약의 규정과 양립되지 아니하는 것으로 판단되는 통보에 대하여는 이를 이 조에 따라 수리될 수 없는 통보로 간주한다.</w:t>
      </w:r>
    </w:p>
    <w:p>
      <w:pPr>
        <w:ind w:left="0" w:firstLine="0" w:hanging="0"/>
        <w:jc w:val="left"/>
      </w:pPr>
      <w:r>
        <w:rPr>
          <w:rFonts w:ascii="Times New Roman" w:hAnsi="굴림체" w:cs="굴림체" w:eastAsia="굴림체"/>
          <w:sz w:val="24"/>
        </w:rPr>
        <w:t>3. 제2항의 규정에 따를 것을 조건으로, 위원회는 이 조에 따라 위원회에 제출된 통보에 대하여 제1항에 따라 선언을 하였으며 협약 규정을 위반한 혐의당사국에게 주의를 환기시킨다. 6월 안에 접수국은 사건의 내용과 스스로 취한 구제조치를 설명하는 설명서나 해명서를 위원회에 제출한다.</w:t>
      </w:r>
    </w:p>
    <w:p>
      <w:pPr>
        <w:ind w:left="0" w:firstLine="0" w:hanging="0"/>
        <w:jc w:val="left"/>
      </w:pPr>
      <w:r>
        <w:rPr>
          <w:rFonts w:ascii="Times New Roman" w:hAnsi="굴림체" w:cs="굴림체" w:eastAsia="굴림체"/>
          <w:sz w:val="24"/>
        </w:rPr>
        <w:t>4. 위원회는 개인이 직접 또는 그의 대리인 및 관련당사국이 제공한 모든 정보를 고려하여, 이 조에 따라 수리된 통보를 심리한다.</w:t>
      </w:r>
    </w:p>
    <w:p>
      <w:pPr>
        <w:ind w:left="0" w:firstLine="0" w:hanging="0"/>
        <w:jc w:val="left"/>
      </w:pPr>
      <w:r>
        <w:rPr>
          <w:rFonts w:ascii="Times New Roman" w:hAnsi="굴림체" w:cs="굴림체" w:eastAsia="굴림체"/>
          <w:sz w:val="24"/>
        </w:rPr>
        <w:t>5. 위원회는 다음 사항을 확인하기 전에는 이 조에 따른 개인의 통보를 심리하지 아니한다.</w:t>
      </w:r>
    </w:p>
    <w:p>
      <w:pPr>
        <w:ind w:left="0" w:firstLine="0" w:hanging="0"/>
        <w:jc w:val="left"/>
      </w:pPr>
      <w:r>
        <w:rPr>
          <w:rFonts w:ascii="Times New Roman" w:hAnsi="굴림체" w:cs="굴림체" w:eastAsia="굴림체"/>
          <w:sz w:val="24"/>
        </w:rPr>
        <w:t xml:space="preserve">  (a) 동일한 문제가 다른 국제적인 조사 또는 해결절차에 따라 심리되었거나 현재 심리되고 있지 아니할 것</w:t>
      </w:r>
    </w:p>
    <w:p>
      <w:pPr>
        <w:ind w:left="0" w:firstLine="0" w:hanging="0"/>
        <w:jc w:val="left"/>
      </w:pPr>
      <w:r>
        <w:rPr>
          <w:rFonts w:ascii="Times New Roman" w:hAnsi="굴림체" w:cs="굴림체" w:eastAsia="굴림체"/>
          <w:sz w:val="24"/>
        </w:rPr>
        <w:t xml:space="preserve">  (b) 개인이 이용할 수 있는 모든 국내적 구제조치를 완료하였을 것. 다만, 구제수단의 적용이 부당하게 지연되거나 또는 이 협약 위반으로 피해를 받은 자에게 효과적인 구제를 기대할 수 없는 경우에는 이 규정이 적용되지 아니함.</w:t>
      </w:r>
    </w:p>
    <w:p>
      <w:pPr>
        <w:ind w:left="0" w:firstLine="0" w:hanging="0"/>
        <w:jc w:val="left"/>
      </w:pPr>
      <w:r>
        <w:rPr>
          <w:rFonts w:ascii="Times New Roman" w:hAnsi="굴림체" w:cs="굴림체" w:eastAsia="굴림체"/>
          <w:sz w:val="24"/>
        </w:rPr>
        <w:t>6. 위원회는 이 조에 따른 통보를 비공개 회의를 개최하여 검토한다.</w:t>
      </w:r>
    </w:p>
    <w:p>
      <w:pPr>
        <w:ind w:left="0" w:firstLine="0" w:hanging="0"/>
        <w:jc w:val="left"/>
      </w:pPr>
      <w:r>
        <w:rPr>
          <w:rFonts w:ascii="Times New Roman" w:hAnsi="굴림체" w:cs="굴림체" w:eastAsia="굴림체"/>
          <w:sz w:val="24"/>
        </w:rPr>
        <w:t>7. 위원회는 위원회의 의견을 관련당사국과 개인에게 송부한다.</w:t>
      </w:r>
    </w:p>
    <w:p>
      <w:pPr>
        <w:ind w:left="0" w:firstLine="0" w:hanging="0"/>
        <w:jc w:val="left"/>
      </w:pPr>
      <w:r>
        <w:rPr>
          <w:rFonts w:ascii="Times New Roman" w:hAnsi="굴림체" w:cs="굴림체" w:eastAsia="굴림체"/>
          <w:sz w:val="24"/>
        </w:rPr>
        <w:t>8. 이 조의 규정은 이 협약의 5개 당사국이 제1항에 따라 선언을 하는 때에 발효한다. 당사국은 이러한 선언을 국제연합 사무총장에게 기탁하며, 국제연합 사무총장은 선언의 사본을 그 밖의 당사국에게 송부한다. 선언은 언제든지 국제연합 사무총장에 대한 통고로 철회될 수 있다. 철회는 이 조에 따라 이미 송부되어 통보의 대상이 된 문제의 심리를 해하지 아니한다. 국제연합 사무총장이 선언철회에 관한 통고를 접수한 후에는, 당사국이 새로이 선언을 하지 아니하는 한, 개인 또는 그의 대리인의 통보는 더 이상 이 조에 따라 수리되지 아니한다.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위원회의 위원 및 제21조 제1항 마호에 따라 임명되는 임시조정위원회의 위원은, 국제연합의 특권․면제에 관한 협약의 관련 부분에 규정된 바에 따라, 국제연합을 위하여 임무를 수행 중인 전문가의 편의와 특권․면제를 향유한다.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위원회는 이 협약에 따른 활동에 관한 연례보고서를 모든 당사국과 국제연합 총회에 제출한다.</w:t>
      </w:r>
    </w:p>
    <w:p>
      <w:pPr>
        <w:ind w:left="0" w:firstLine="0" w:hanging="0"/>
        <w:jc w:val="center"/>
      </w:pPr>
      <w:r>
        <w:rPr>
          <w:rFonts w:ascii="Times New Roman" w:hAnsi="굴림체" w:cs="굴림체" w:eastAsia="굴림체"/>
          <w:sz w:val="24"/>
        </w:rPr>
        <w:t>제3장</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1. 이 협약은 모든 국가의 서명을 위하여 개방된다.</w:t>
      </w:r>
    </w:p>
    <w:p>
      <w:pPr>
        <w:ind w:left="0" w:firstLine="0" w:hanging="0"/>
        <w:jc w:val="left"/>
      </w:pPr>
      <w:r>
        <w:rPr>
          <w:rFonts w:ascii="Times New Roman" w:hAnsi="굴림체" w:cs="굴림체" w:eastAsia="굴림체"/>
          <w:sz w:val="24"/>
        </w:rPr>
        <w:t>2. 이 협약은 비준되어야 한다. 비준서는 국제연합 사무총장에게 기탁된다.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이 협약은 모든 국가의 가입을 위하여 개방된다. 가입은 국제연합 사무총장에게 가입서를 기탁함으로써 이루어진다.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1. 이 협약은 스무 번째의 비준서나 가입서가 국제연합 사무총장에게 기탁된 날부터 30일째 되는 날 발효한다.</w:t>
      </w:r>
    </w:p>
    <w:p>
      <w:pPr>
        <w:ind w:left="0" w:firstLine="0" w:hanging="0"/>
        <w:jc w:val="left"/>
      </w:pPr>
      <w:r>
        <w:rPr>
          <w:rFonts w:ascii="Times New Roman" w:hAnsi="굴림체" w:cs="굴림체" w:eastAsia="굴림체"/>
          <w:sz w:val="24"/>
        </w:rPr>
        <w:t>2. 스무 번째의 비준서나 가입서가 기탁된 후에 비준하거나 가입하는 국가에 대하여, 이 협약은 비준서나 가입서가 기탁된 날부터 30일째 되는 날 발효한다.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1. 당사국은 이 협약의 서명․비준 또는 가입시에 제20조에 규정된 위원회의 권능을 인정하지 아니한다고 선언할 수 있다.</w:t>
      </w:r>
    </w:p>
    <w:p>
      <w:pPr>
        <w:ind w:left="0" w:firstLine="0" w:hanging="0"/>
        <w:jc w:val="left"/>
      </w:pPr>
      <w:r>
        <w:rPr>
          <w:rFonts w:ascii="Times New Roman" w:hAnsi="굴림체" w:cs="굴림체" w:eastAsia="굴림체"/>
          <w:sz w:val="24"/>
        </w:rPr>
        <w:t>2. 제1항에 따라 유보를 한 당사국은 국제연합 사무총장에 대한 통고로 언제든지 이러한 유보를 철회할 수 있다.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1. 이 협약의 당사국은 개정안을 제안할 수 있으며, 개정안을 국제연합 사무총장에게 제출할 수 있다. 국제연합 사무총장은 이러한 개정안을 즉시 모든 당사국에게 통보하며, 당사국들이 개정안의 심의․표결을 위하여 당사국회의 개최를 지지하는지 여부를 자신에게 통고하여 주도록 요청한다. 위의 통보일부터 4월 안에 최소한 당사국 3분의 1이 회의 개최에 찬성하는 경우, 국제연합 사무총장은 국제연합의 주관으로 회의를 소집한다. 개정안이 이 회의에 출석하여 투표한 당사국의 과반수로 채택되는 경우, 국제연합 사무총장은 채택된 개정안의 수락을 위해 모든 당사국에 송부한다.</w:t>
      </w:r>
    </w:p>
    <w:p>
      <w:pPr>
        <w:ind w:left="0" w:firstLine="0" w:hanging="0"/>
        <w:jc w:val="left"/>
      </w:pPr>
      <w:r>
        <w:rPr>
          <w:rFonts w:ascii="Times New Roman" w:hAnsi="굴림체" w:cs="굴림체" w:eastAsia="굴림체"/>
          <w:sz w:val="24"/>
        </w:rPr>
        <w:t>2. 제1항에 따라 채택된 개정안은 이 협약의 당사국 3분의 2가 각자의 헌법절차에 따라 이를 수락하였다고 국제연합 사무총장에게 통보하는 때에 발효한다.</w:t>
      </w:r>
    </w:p>
    <w:p>
      <w:pPr>
        <w:ind w:left="0" w:firstLine="0" w:hanging="0"/>
        <w:jc w:val="left"/>
      </w:pPr>
      <w:r>
        <w:rPr>
          <w:rFonts w:ascii="Times New Roman" w:hAnsi="굴림체" w:cs="굴림체" w:eastAsia="굴림체"/>
          <w:sz w:val="24"/>
        </w:rPr>
        <w:t>3. 개정안이 발효하는 경우 개정안은 이를 수락한 당사국을 구속하며, 그 밖의 당사국은 과거에 수락한 이 협약의 규정 및 개정안에 계속 구속된다.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1. 이 협약의 해석이나 적용과 관련하여 2개 또는 그 이상의 당사국 사이의 분쟁이 교섭에 의하여 해결될 수 없는 경우, 이러한 분쟁은 당사국 중 1국의 요청에 따라 중재재판에 회부된다. 당사국이 중재재판 요청일부터 6월 안에 중재재판부 구성에 합의하지 못하는 경우, 일방당사국은 이 분쟁을 국제사법재판소의 규정에 따라 국제사법재판소에 회부할 수 있다.</w:t>
      </w:r>
    </w:p>
    <w:p>
      <w:pPr>
        <w:ind w:left="0" w:firstLine="0" w:hanging="0"/>
        <w:jc w:val="left"/>
      </w:pPr>
      <w:r>
        <w:rPr>
          <w:rFonts w:ascii="Times New Roman" w:hAnsi="굴림체" w:cs="굴림체" w:eastAsia="굴림체"/>
          <w:sz w:val="24"/>
        </w:rPr>
        <w:t>2. 각국은 이 협약의 서명․비준 또는 가입시에 자기 나라는 제1항에 구속받지 아니하는 것으로 간주한다고 선언할 수 있다. 그 밖의 당사국은 이러한 유보를 행한 당사국과의 관계에서 제1항에 구속받지 아니한다.</w:t>
      </w:r>
    </w:p>
    <w:p>
      <w:pPr>
        <w:ind w:left="0" w:firstLine="0" w:hanging="0"/>
        <w:jc w:val="left"/>
      </w:pPr>
      <w:r>
        <w:rPr>
          <w:rFonts w:ascii="Times New Roman" w:hAnsi="굴림체" w:cs="굴림체" w:eastAsia="굴림체"/>
          <w:sz w:val="24"/>
        </w:rPr>
        <w:t>3. 제2항에 따라 유보를 행한 당사국은 언제든지 국제연합 사무총장에 대한 통고로 유보를 철회할 수 있다.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1. 당사국은 국제연합 사무총장에 대한 서면통고로 이 협약을 탈퇴할 수 있다. 탈퇴는 국제연합 사무총장이 통고를 접수한 날부터 1년 후에 발효한다.</w:t>
      </w:r>
    </w:p>
    <w:p>
      <w:pPr>
        <w:ind w:left="0" w:firstLine="0" w:hanging="0"/>
        <w:jc w:val="left"/>
      </w:pPr>
      <w:r>
        <w:rPr>
          <w:rFonts w:ascii="Times New Roman" w:hAnsi="굴림체" w:cs="굴림체" w:eastAsia="굴림체"/>
          <w:sz w:val="24"/>
        </w:rPr>
        <w:t>2. 이러한 탈퇴는 탈퇴 발효일 이전에 발생한 작위 또는 부작위와 관련된 당사국의 협약상 의무를 면제시키지 아니하며, 또한 탈퇴 발효일 이전에 위원회가 이미 심리 중인 문제에 대한 계속적인 심리를 해하지 아니한다.</w:t>
      </w:r>
    </w:p>
    <w:p>
      <w:pPr>
        <w:ind w:left="0" w:firstLine="0" w:hanging="0"/>
        <w:jc w:val="left"/>
      </w:pPr>
      <w:r>
        <w:rPr>
          <w:rFonts w:ascii="Times New Roman" w:hAnsi="굴림체" w:cs="굴림체" w:eastAsia="굴림체"/>
          <w:sz w:val="24"/>
        </w:rPr>
        <w:t>3. 위원회는 당사국의 탈퇴가 발효한 날 이후에 이러한 당사국과 관련된 새로운 문제의 심리를 개시하지 아니한다.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국제연합 사무총장은 국제연합의 모든 회원국 및 이 협약에 서명 또는 가입한 모든 국가에게 다음 사항을 통지한다.</w:t>
      </w:r>
    </w:p>
    <w:p>
      <w:pPr>
        <w:ind w:left="0" w:firstLine="0" w:hanging="0"/>
        <w:jc w:val="left"/>
      </w:pPr>
      <w:r>
        <w:rPr>
          <w:rFonts w:ascii="Times New Roman" w:hAnsi="굴림체" w:cs="굴림체" w:eastAsia="굴림체"/>
          <w:sz w:val="24"/>
        </w:rPr>
        <w:t xml:space="preserve">  (a) 제25조와 제26조에 따른 서명․비준 및 가입</w:t>
      </w:r>
    </w:p>
    <w:p>
      <w:pPr>
        <w:ind w:left="0" w:firstLine="0" w:hanging="0"/>
        <w:jc w:val="left"/>
      </w:pPr>
      <w:r>
        <w:rPr>
          <w:rFonts w:ascii="Times New Roman" w:hAnsi="굴림체" w:cs="굴림체" w:eastAsia="굴림체"/>
          <w:sz w:val="24"/>
        </w:rPr>
        <w:t xml:space="preserve">  (b) 제27조에 따른 이 협약의 발효일 및 제29조에 따른 개정의 발효일</w:t>
      </w:r>
    </w:p>
    <w:p>
      <w:pPr>
        <w:ind w:left="0" w:firstLine="0" w:hanging="0"/>
        <w:jc w:val="left"/>
      </w:pPr>
      <w:r>
        <w:rPr>
          <w:rFonts w:ascii="Times New Roman" w:hAnsi="굴림체" w:cs="굴림체" w:eastAsia="굴림체"/>
          <w:sz w:val="24"/>
        </w:rPr>
        <w:t xml:space="preserve">  (c) 제31조에 따른 탈퇴</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1. 아랍어․중국어․영어․불어․러시아어 및 서반아어본이 동등하게 정본인 이 협약은 국제연합 사무총장에게 기탁된다.</w:t>
      </w:r>
    </w:p>
    <w:p>
      <w:pPr>
        <w:ind w:left="0" w:firstLine="0" w:hanging="0"/>
        <w:jc w:val="left"/>
      </w:pPr>
      <w:r>
        <w:rPr>
          <w:rFonts w:ascii="Times New Roman" w:hAnsi="굴림체" w:cs="굴림체" w:eastAsia="굴림체"/>
          <w:sz w:val="24"/>
        </w:rPr>
        <w:t>2. 국제연합 사무총장은 이 협약의 인증등본을 모든 국가에 송부한다.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