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산업안전보건과 직업환경에 관한 협약, 1981(ILO 협약 제155호)</w:t>
      </w:r>
    </w:p>
    <w:p>
      <w:pPr>
        <w:ind w:left="0" w:firstLine="0" w:hanging="0"/>
        <w:jc w:val="center"/>
      </w:pPr>
      <w:r>
        <w:rPr>
          <w:rFonts w:ascii="Times New Roman" w:hAnsi="굴림체" w:cs="굴림체" w:eastAsia="굴림체"/>
          <w:sz w:val="24"/>
        </w:rPr>
        <w:t>Convention concerning Occupational Safety and Health and the Working Environment, 1981(ILO No. 155)</w:t>
      </w:r>
    </w:p>
    <w:p>
      <w:pPr>
        <w:ind w:left="0" w:firstLine="0" w:hanging="0"/>
        <w:jc w:val="center"/>
      </w:pPr>
      <w:r>
        <w:rPr>
          <w:rFonts w:ascii="Times New Roman" w:hAnsi="굴림체" w:cs="굴림체" w:eastAsia="굴림체"/>
          <w:sz w:val="20"/>
        </w:rPr>
        <w:t>adopted 1981. 6. 22. / enforced 1983. 8. 11.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ILO C155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CONVENTION CONCERNING OCCUPATIONAL SAFETY AND HEALTH AND THE WORKING ENVIRONMENT, 1981(ILO Convention No. 155)</w:t>
      </w:r>
    </w:p>
    <w:p>
      <w:pPr>
        <w:ind w:left="0" w:firstLine="0" w:hanging="0"/>
        <w:jc w:val="left"/>
      </w:pPr>
      <w:r>
        <w:rPr>
          <w:rFonts w:ascii="Times New Roman" w:hAnsi="굴림체" w:cs="굴림체" w:eastAsia="굴림체"/>
          <w:sz w:val="24"/>
        </w:rPr>
        <w:t>The General Conference of the International Labour Organisation,</w:t>
      </w:r>
    </w:p>
    <w:p>
      <w:pPr>
        <w:ind w:left="0" w:firstLine="0" w:hanging="0"/>
        <w:jc w:val="left"/>
      </w:pPr>
      <w:r>
        <w:rPr>
          <w:rFonts w:ascii="Times New Roman" w:hAnsi="굴림체" w:cs="굴림체" w:eastAsia="굴림체"/>
          <w:sz w:val="24"/>
        </w:rPr>
        <w:t>Having been convened at Geneva by the Governing Body of the International Labour Office, and having met in its Sixty-seventh Session on 3 June 1981, and</w:t>
      </w:r>
    </w:p>
    <w:p>
      <w:pPr>
        <w:ind w:left="0" w:firstLine="0" w:hanging="0"/>
        <w:jc w:val="left"/>
      </w:pPr>
      <w:r>
        <w:rPr>
          <w:rFonts w:ascii="Times New Roman" w:hAnsi="굴림체" w:cs="굴림체" w:eastAsia="굴림체"/>
          <w:sz w:val="24"/>
        </w:rPr>
        <w:t>Having decided upon the adoption of certain proposals with regard to safety and health and the working environment, which is the sixth item on the agenda of the session, and</w:t>
      </w:r>
    </w:p>
    <w:p>
      <w:pPr>
        <w:ind w:left="0" w:firstLine="0" w:hanging="0"/>
        <w:jc w:val="left"/>
      </w:pPr>
      <w:r>
        <w:rPr>
          <w:rFonts w:ascii="Times New Roman" w:hAnsi="굴림체" w:cs="굴림체" w:eastAsia="굴림체"/>
          <w:sz w:val="24"/>
        </w:rPr>
        <w:t>Having determined that these proposals shall take the form of an international Convention,</w:t>
      </w:r>
    </w:p>
    <w:p>
      <w:pPr>
        <w:ind w:left="0" w:firstLine="0" w:hanging="0"/>
        <w:jc w:val="left"/>
      </w:pPr>
      <w:r>
        <w:rPr>
          <w:rFonts w:ascii="Times New Roman" w:hAnsi="굴림체" w:cs="굴림체" w:eastAsia="굴림체"/>
          <w:sz w:val="24"/>
        </w:rPr>
        <w:t>adopts this twenty-second day of June of the year one thousand nine hundred and eighty-one the following Convention, which may be cited as the Occupational Safety and Health Convention, 1981:</w:t>
      </w:r>
    </w:p>
    <w:p>
      <w:pPr>
        <w:ind w:left="0" w:firstLine="0" w:hanging="0"/>
        <w:jc w:val="center"/>
      </w:pPr>
      <w:r>
        <w:rPr>
          <w:rFonts w:ascii="Times New Roman" w:hAnsi="굴림체" w:cs="굴림체" w:eastAsia="굴림체"/>
          <w:sz w:val="24"/>
        </w:rPr>
        <w:t>PART I. SCOPE AND DEFINITIONS</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This Convention applies to all branches of economic activity.</w:t>
      </w:r>
    </w:p>
    <w:p>
      <w:pPr>
        <w:ind w:left="0" w:firstLine="0" w:hanging="0"/>
        <w:jc w:val="left"/>
      </w:pPr>
      <w:r>
        <w:rPr>
          <w:rFonts w:ascii="Times New Roman" w:hAnsi="굴림체" w:cs="굴림체" w:eastAsia="굴림체"/>
          <w:sz w:val="24"/>
        </w:rPr>
        <w:t>2. A Member ratifying this Convention may, after consultation at the earliest possible stage with the representative organisations of employers and workers concerned, exclude from its application, in part or in whole, particular branches of economic activity, such as maritime shipping or fishing, in respect of which special problems of a substantial nature arise.</w:t>
      </w:r>
    </w:p>
    <w:p>
      <w:pPr>
        <w:ind w:left="0" w:firstLine="0" w:hanging="0"/>
        <w:jc w:val="left"/>
      </w:pPr>
      <w:r>
        <w:rPr>
          <w:rFonts w:ascii="Times New Roman" w:hAnsi="굴림체" w:cs="굴림체" w:eastAsia="굴림체"/>
          <w:sz w:val="24"/>
        </w:rPr>
        <w:t>3. Each Member which ratifies this Convention shall list, in the first report on the application of the Convention submitted under article 22 of the Constitution of the International Labour Organisation, any branches which may have been excluded in pursuance of paragraph 2 of this Article, giving the reasons for such exclusion and describing the measures taken to give adequate protection to workers in excluded branches, and shall indicate in subsequent reports any progress towards wider application.</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This Convention applies to all workers in the branches of economic activity covered.</w:t>
      </w:r>
    </w:p>
    <w:p>
      <w:pPr>
        <w:ind w:left="0" w:firstLine="0" w:hanging="0"/>
        <w:jc w:val="left"/>
      </w:pPr>
      <w:r>
        <w:rPr>
          <w:rFonts w:ascii="Times New Roman" w:hAnsi="굴림체" w:cs="굴림체" w:eastAsia="굴림체"/>
          <w:sz w:val="24"/>
        </w:rPr>
        <w:t>2. A Member ratifying this Convention may, after consultation at the earliest possible stage with the representative organisations of employers and workers concerned, exclude from its application, in part or in whole, limited categories of workers in respect of which there are particular difficulties.</w:t>
      </w:r>
    </w:p>
    <w:p>
      <w:pPr>
        <w:ind w:left="0" w:firstLine="0" w:hanging="0"/>
        <w:jc w:val="left"/>
      </w:pPr>
      <w:r>
        <w:rPr>
          <w:rFonts w:ascii="Times New Roman" w:hAnsi="굴림체" w:cs="굴림체" w:eastAsia="굴림체"/>
          <w:sz w:val="24"/>
        </w:rPr>
        <w:t>3. Each Member which ratifies this Convention shall list, in the first report on the application of the Convention submitted under article 22 of the Constitution of the International Labour Organisation, any limited categories of workers which may have been excluded in pursuance of paragraph 2 of this Article, giving the reasons for such exclusion, and shall indicate in subsequent reports any progress towards wider application.</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For the purpose of this Convention-</w:t>
      </w:r>
    </w:p>
    <w:p>
      <w:pPr>
        <w:ind w:left="0" w:firstLine="0" w:hanging="0"/>
        <w:jc w:val="left"/>
      </w:pPr>
      <w:r>
        <w:rPr>
          <w:rFonts w:ascii="Times New Roman" w:hAnsi="굴림체" w:cs="굴림체" w:eastAsia="굴림체"/>
          <w:sz w:val="24"/>
        </w:rPr>
        <w:t xml:space="preserve">  (a) the term "branches of economic activity" covers all branches in which workers are employed, including the public service;</w:t>
      </w:r>
    </w:p>
    <w:p>
      <w:pPr>
        <w:ind w:left="0" w:firstLine="0" w:hanging="0"/>
        <w:jc w:val="left"/>
      </w:pPr>
      <w:r>
        <w:rPr>
          <w:rFonts w:ascii="Times New Roman" w:hAnsi="굴림체" w:cs="굴림체" w:eastAsia="굴림체"/>
          <w:sz w:val="24"/>
        </w:rPr>
        <w:t xml:space="preserve">  (b) the term "workers" covers all employed persons, including public employees;</w:t>
      </w:r>
    </w:p>
    <w:p>
      <w:pPr>
        <w:ind w:left="0" w:firstLine="0" w:hanging="0"/>
        <w:jc w:val="left"/>
      </w:pPr>
      <w:r>
        <w:rPr>
          <w:rFonts w:ascii="Times New Roman" w:hAnsi="굴림체" w:cs="굴림체" w:eastAsia="굴림체"/>
          <w:sz w:val="24"/>
        </w:rPr>
        <w:t xml:space="preserve">  (c) the term "workplace" covers all places where workers need to be or to go by reason of their work and which are under the direct or indirect control of the employer;</w:t>
      </w:r>
    </w:p>
    <w:p>
      <w:pPr>
        <w:ind w:left="0" w:firstLine="0" w:hanging="0"/>
        <w:jc w:val="left"/>
      </w:pPr>
      <w:r>
        <w:rPr>
          <w:rFonts w:ascii="Times New Roman" w:hAnsi="굴림체" w:cs="굴림체" w:eastAsia="굴림체"/>
          <w:sz w:val="24"/>
        </w:rPr>
        <w:t xml:space="preserve">  (d) the term "regulations" covers all provisions given force of law by the competent authority or authorities;</w:t>
      </w:r>
    </w:p>
    <w:p>
      <w:pPr>
        <w:ind w:left="0" w:firstLine="0" w:hanging="0"/>
        <w:jc w:val="left"/>
      </w:pPr>
      <w:r>
        <w:rPr>
          <w:rFonts w:ascii="Times New Roman" w:hAnsi="굴림체" w:cs="굴림체" w:eastAsia="굴림체"/>
          <w:sz w:val="24"/>
        </w:rPr>
        <w:t xml:space="preserve">  (e) the term "health", in relation to work, indicates not merely the absence of disease or infirmity; it also includes the physical and mental elements affecting health which are directly related to safety and hygiene at work.</w:t>
      </w:r>
    </w:p>
    <w:p>
      <w:pPr>
        <w:ind w:left="0" w:firstLine="0" w:hanging="0"/>
        <w:jc w:val="center"/>
      </w:pPr>
      <w:r>
        <w:rPr>
          <w:rFonts w:ascii="Times New Roman" w:hAnsi="굴림체" w:cs="굴림체" w:eastAsia="굴림체"/>
          <w:sz w:val="24"/>
        </w:rPr>
        <w:t>PART II. PRINCIPLES OF NATIONAL POLICY</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Each Member shall, in the light of national conditions and practice, and in consultation with the most representative organisations of employers and workers, formulate, implement and periodically review a coherent national policy on occupational safety, occupational health and the working environment.</w:t>
      </w:r>
    </w:p>
    <w:p>
      <w:pPr>
        <w:ind w:left="0" w:firstLine="0" w:hanging="0"/>
        <w:jc w:val="left"/>
      </w:pPr>
      <w:r>
        <w:rPr>
          <w:rFonts w:ascii="Times New Roman" w:hAnsi="굴림체" w:cs="굴림체" w:eastAsia="굴림체"/>
          <w:sz w:val="24"/>
        </w:rPr>
        <w:t>2. The aim of the policy shall be to prevent accidents and injury to health arising out of, linked with or occurring in the course of work, by minimising, so far as is reasonably practicable, the causes of hazards inherent in the working environment.</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The policy referred to in Article 4 of this Convention shall take account of the following main spheres of action in so far as they affect occupational safety and health and the working environment:</w:t>
      </w:r>
    </w:p>
    <w:p>
      <w:pPr>
        <w:ind w:left="0" w:firstLine="0" w:hanging="0"/>
        <w:jc w:val="left"/>
      </w:pPr>
      <w:r>
        <w:rPr>
          <w:rFonts w:ascii="Times New Roman" w:hAnsi="굴림체" w:cs="굴림체" w:eastAsia="굴림체"/>
          <w:sz w:val="24"/>
        </w:rPr>
        <w:t xml:space="preserve">  (a) design, testing, choice, substitution, installation, arrangement, use and maintenance of the material elements of work (workplaces, working environment, tools, machinery and equipment, chemical, physical and biological substances and agents, work processes);</w:t>
      </w:r>
    </w:p>
    <w:p>
      <w:pPr>
        <w:ind w:left="0" w:firstLine="0" w:hanging="0"/>
        <w:jc w:val="left"/>
      </w:pPr>
      <w:r>
        <w:rPr>
          <w:rFonts w:ascii="Times New Roman" w:hAnsi="굴림체" w:cs="굴림체" w:eastAsia="굴림체"/>
          <w:sz w:val="24"/>
        </w:rPr>
        <w:t xml:space="preserve">  (b) relationships between the material elements of work and the persons who carry out or supervise the work, and adaptation of machinery, equipment, working time, organisation of work and work processes to the physical and mental capacities of the workers;</w:t>
      </w:r>
    </w:p>
    <w:p>
      <w:pPr>
        <w:ind w:left="0" w:firstLine="0" w:hanging="0"/>
        <w:jc w:val="left"/>
      </w:pPr>
      <w:r>
        <w:rPr>
          <w:rFonts w:ascii="Times New Roman" w:hAnsi="굴림체" w:cs="굴림체" w:eastAsia="굴림체"/>
          <w:sz w:val="24"/>
        </w:rPr>
        <w:t xml:space="preserve">  (c) training, including necessary further training, qualifications and motivations of persons involved, in one capacity or another, in the achievement of adequate levels of safety and health;</w:t>
      </w:r>
    </w:p>
    <w:p>
      <w:pPr>
        <w:ind w:left="0" w:firstLine="0" w:hanging="0"/>
        <w:jc w:val="left"/>
      </w:pPr>
      <w:r>
        <w:rPr>
          <w:rFonts w:ascii="Times New Roman" w:hAnsi="굴림체" w:cs="굴림체" w:eastAsia="굴림체"/>
          <w:sz w:val="24"/>
        </w:rPr>
        <w:t xml:space="preserve">  (d) communication and co-operation at the levels of the working group and the undertaking and at all other appropriate levels up to and including the national level;</w:t>
      </w:r>
    </w:p>
    <w:p>
      <w:pPr>
        <w:ind w:left="0" w:firstLine="0" w:hanging="0"/>
        <w:jc w:val="left"/>
      </w:pPr>
      <w:r>
        <w:rPr>
          <w:rFonts w:ascii="Times New Roman" w:hAnsi="굴림체" w:cs="굴림체" w:eastAsia="굴림체"/>
          <w:sz w:val="24"/>
        </w:rPr>
        <w:t xml:space="preserve">  (e) the protection of workers and their representatives from disciplinary measures as a result of actions properly taken by them in conformity with the policy referred to in Article 4 of this Convention.</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The formulation of the policy referred to in Article 4 of this Convention shall indicate the respective functions and responsibilities in respect of occupational safety and health and the working environment of public authorities, employers, workers and others, taking account both of the complementary character of such responsibilities and of national conditions and practice.</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The situation regarding occupational safety and health and the working environment shall be reviewed at appropriate intervals, either over-all or in respect of particular areas, with a view to identifying major problems, evolving effective methods for dealing with them and priorities of action, and evaluating results.</w:t>
      </w:r>
    </w:p>
    <w:p>
      <w:pPr>
        <w:ind w:left="0" w:firstLine="0" w:hanging="0"/>
        <w:jc w:val="center"/>
      </w:pPr>
      <w:r>
        <w:rPr>
          <w:rFonts w:ascii="Times New Roman" w:hAnsi="굴림체" w:cs="굴림체" w:eastAsia="굴림체"/>
          <w:sz w:val="24"/>
        </w:rPr>
        <w:t>PART III. ACTION AT THE NATIONAL LEVEL</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Each Member shall, by laws or regulations or any other method consistent with national conditions and practice and in consultation with the representative organisations of employers and workers concerned, take such steps as may be necessary to give effect to Article 4 of this Convention.</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The enforcement of laws and regulations concerning occupational safety and health and the working environment shall be secured by an adequate and appropriate system of inspection.</w:t>
      </w:r>
    </w:p>
    <w:p>
      <w:pPr>
        <w:ind w:left="0" w:firstLine="0" w:hanging="0"/>
        <w:jc w:val="left"/>
      </w:pPr>
      <w:r>
        <w:rPr>
          <w:rFonts w:ascii="Times New Roman" w:hAnsi="굴림체" w:cs="굴림체" w:eastAsia="굴림체"/>
          <w:sz w:val="24"/>
        </w:rPr>
        <w:t>2. The enforcement system shall provide for adequate penalties for violations of the laws and regulations.</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Measures shall be taken to provide guidance to employers and workers so as to help them to comply with legal obligations.</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To give effect to the policy referred to in Article 4 of this Convention, the competent authority or authorities shall ensure that the following functions are progressively carried out:</w:t>
      </w:r>
    </w:p>
    <w:p>
      <w:pPr>
        <w:ind w:left="0" w:firstLine="0" w:hanging="0"/>
        <w:jc w:val="left"/>
      </w:pPr>
      <w:r>
        <w:rPr>
          <w:rFonts w:ascii="Times New Roman" w:hAnsi="굴림체" w:cs="굴림체" w:eastAsia="굴림체"/>
          <w:sz w:val="24"/>
        </w:rPr>
        <w:t xml:space="preserve">  (a) the determination, where the nature and degree of hazards so require, of conditions governing the design, construction and layout of undertakings, the commencement of their operations, major alterations affecting them and changes in their purposes, the safety of technical equipment used at work, as well as the application of procedures defined by the competent authorities;</w:t>
      </w:r>
    </w:p>
    <w:p>
      <w:pPr>
        <w:ind w:left="0" w:firstLine="0" w:hanging="0"/>
        <w:jc w:val="left"/>
      </w:pPr>
      <w:r>
        <w:rPr>
          <w:rFonts w:ascii="Times New Roman" w:hAnsi="굴림체" w:cs="굴림체" w:eastAsia="굴림체"/>
          <w:sz w:val="24"/>
        </w:rPr>
        <w:t xml:space="preserve">  (b) the determination of work processes and of substances and agents the exposure to which is to be prohibited, limited or made subject to authorisation or control by the competent authority or authorities; health hazards due to the simultaneous exposure to several substances or agents shall be taken into consideration;</w:t>
      </w:r>
    </w:p>
    <w:p>
      <w:pPr>
        <w:ind w:left="0" w:firstLine="0" w:hanging="0"/>
        <w:jc w:val="left"/>
      </w:pPr>
      <w:r>
        <w:rPr>
          <w:rFonts w:ascii="Times New Roman" w:hAnsi="굴림체" w:cs="굴림체" w:eastAsia="굴림체"/>
          <w:sz w:val="24"/>
        </w:rPr>
        <w:t xml:space="preserve">  (c) the establishment and application of procedures for the notification of occupational accidents and diseases, by employers and, when appropriate, insurance institutions and others directly concerned, and the production of annual statistics on occupational accidents and diseases;</w:t>
      </w:r>
    </w:p>
    <w:p>
      <w:pPr>
        <w:ind w:left="0" w:firstLine="0" w:hanging="0"/>
        <w:jc w:val="left"/>
      </w:pPr>
      <w:r>
        <w:rPr>
          <w:rFonts w:ascii="Times New Roman" w:hAnsi="굴림체" w:cs="굴림체" w:eastAsia="굴림체"/>
          <w:sz w:val="24"/>
        </w:rPr>
        <w:t xml:space="preserve">  (d) the holding of inquiries, where cases of occupational accidents, occupational diseases or any other injuries to health which arise in the course of or in connection with work appear to reflect situations which are serious;</w:t>
      </w:r>
    </w:p>
    <w:p>
      <w:pPr>
        <w:ind w:left="0" w:firstLine="0" w:hanging="0"/>
        <w:jc w:val="left"/>
      </w:pPr>
      <w:r>
        <w:rPr>
          <w:rFonts w:ascii="Times New Roman" w:hAnsi="굴림체" w:cs="굴림체" w:eastAsia="굴림체"/>
          <w:sz w:val="24"/>
        </w:rPr>
        <w:t xml:space="preserve">  (e) the publication, annually, of information on measures taken in pursuance of the policy referred to in Article 4 of this Convention and on occupational accidents, occupational diseases and other injuries to health which arise in the course of or in connection with work;</w:t>
      </w:r>
    </w:p>
    <w:p>
      <w:pPr>
        <w:ind w:left="0" w:firstLine="0" w:hanging="0"/>
        <w:jc w:val="left"/>
      </w:pPr>
      <w:r>
        <w:rPr>
          <w:rFonts w:ascii="Times New Roman" w:hAnsi="굴림체" w:cs="굴림체" w:eastAsia="굴림체"/>
          <w:sz w:val="24"/>
        </w:rPr>
        <w:t xml:space="preserve">  (f) the introduction or extension of systems, taking into account national conditions and possibilities, to examine chemical, physical and biological agents in respect of the risk to the health of workers.</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Measures shall be taken, in accordance with national law and practice, with a view to ensuring that those who design, manufacture, import, provide or transfer machinery, equipment or substances for occupational use-</w:t>
      </w:r>
    </w:p>
    <w:p>
      <w:pPr>
        <w:ind w:left="0" w:firstLine="0" w:hanging="0"/>
        <w:jc w:val="left"/>
      </w:pPr>
      <w:r>
        <w:rPr>
          <w:rFonts w:ascii="Times New Roman" w:hAnsi="굴림체" w:cs="굴림체" w:eastAsia="굴림체"/>
          <w:sz w:val="24"/>
        </w:rPr>
        <w:t xml:space="preserve">  (a) satisfy themselves that, so far as is reasonably practicable, the machinery equipment or substance does not entail dangers for the safety and health of those using it correctly;</w:t>
      </w:r>
    </w:p>
    <w:p>
      <w:pPr>
        <w:ind w:left="0" w:firstLine="0" w:hanging="0"/>
        <w:jc w:val="left"/>
      </w:pPr>
      <w:r>
        <w:rPr>
          <w:rFonts w:ascii="Times New Roman" w:hAnsi="굴림체" w:cs="굴림체" w:eastAsia="굴림체"/>
          <w:sz w:val="24"/>
        </w:rPr>
        <w:t xml:space="preserve">  (b) make available information concerning the correct installation and use of machinery and equipment and the correct use of substances, and information on hazards of machinery and equipment and dangerous properties of chemical substances and physical and biological agents or products, as well as instructions on how known hazards are to be avoided;</w:t>
      </w:r>
    </w:p>
    <w:p>
      <w:pPr>
        <w:ind w:left="0" w:firstLine="0" w:hanging="0"/>
        <w:jc w:val="left"/>
      </w:pPr>
      <w:r>
        <w:rPr>
          <w:rFonts w:ascii="Times New Roman" w:hAnsi="굴림체" w:cs="굴림체" w:eastAsia="굴림체"/>
          <w:sz w:val="24"/>
        </w:rPr>
        <w:t xml:space="preserve">  (c) undertake studies and research or otherwise keep abreast of the scientific and technical knowledge necessary to comply with subparagraphs (a) and (b) of this Article.</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A worker who has removed himself from a work situation which he has reasonable justification to believe presents an imminent and serious danger to his life or health shall be protected from undue consequences in accordance with national conditions and practice.</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Measures shall be taken with a view to promoting, in a manner appropriate to national conditions and practice, the inclusion of questions of occupational safety and health and the working environment at all levels of education and training, including higher technical, medical and professional education, in a manner meeting the training needs of all workers.</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With a view to ensuring the coherence of the policy referred to in Article 4 of this Convention and of measures for its application, each Member shall, after consultation at the earliest possible stage with the most representative organisations of employers and workers, and with other bodies as appropriate, make arrangements appropriate to national conditions and practice to ensure the necessary co-ordination between various authorities and bodies called upon to give effect to Parts II and III of this Convention.</w:t>
      </w:r>
    </w:p>
    <w:p>
      <w:pPr>
        <w:ind w:left="0" w:firstLine="0" w:hanging="0"/>
        <w:jc w:val="left"/>
      </w:pPr>
      <w:r>
        <w:rPr>
          <w:rFonts w:ascii="Times New Roman" w:hAnsi="굴림체" w:cs="굴림체" w:eastAsia="굴림체"/>
          <w:sz w:val="24"/>
        </w:rPr>
        <w:t>2. Whenever circumstances so require and national conditions and practice permit, these arrangements shall include the establishment of a central body.</w:t>
      </w:r>
    </w:p>
    <w:p>
      <w:pPr>
        <w:ind w:left="0" w:firstLine="0" w:hanging="0"/>
        <w:jc w:val="center"/>
      </w:pPr>
      <w:r>
        <w:rPr>
          <w:rFonts w:ascii="Times New Roman" w:hAnsi="굴림체" w:cs="굴림체" w:eastAsia="굴림체"/>
          <w:sz w:val="24"/>
        </w:rPr>
        <w:t>PART IV. ACTION AT THE LEVEL OF THE UNDERTAKING</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Employers shall be required to ensure that, so far as is reasonably practicable, the workplaces, machinery, equipment and processes under their control are safe and without risk to health.</w:t>
      </w:r>
    </w:p>
    <w:p>
      <w:pPr>
        <w:ind w:left="0" w:firstLine="0" w:hanging="0"/>
        <w:jc w:val="left"/>
      </w:pPr>
      <w:r>
        <w:rPr>
          <w:rFonts w:ascii="Times New Roman" w:hAnsi="굴림체" w:cs="굴림체" w:eastAsia="굴림체"/>
          <w:sz w:val="24"/>
        </w:rPr>
        <w:t>2. Employers shall be required to ensure that, so far as is reasonably practicable, the chemical, physical and biological substances and agents under their control are without risk to health when the appropriate measures of protection are taken.</w:t>
      </w:r>
    </w:p>
    <w:p>
      <w:pPr>
        <w:ind w:left="0" w:firstLine="0" w:hanging="0"/>
        <w:jc w:val="left"/>
      </w:pPr>
      <w:r>
        <w:rPr>
          <w:rFonts w:ascii="Times New Roman" w:hAnsi="굴림체" w:cs="굴림체" w:eastAsia="굴림체"/>
          <w:sz w:val="24"/>
        </w:rPr>
        <w:t>3. Employers shall be required to provide, where necessary, adequate protective clothing and protective equipment to prevent, so far as is reasonably practicable, risk of accidents or of adverse effects on health.</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Whenever two or more undertakings engage in activities simultaneously at one workplace, they shall collaborate in applying the requirements of this Convention.</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Employers shall be required to provide, where necessary, for measures to deal with emergencies and accidents, including adequate first-aid arrangements.</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There shall be arrangements at the level of the undertaking under which-</w:t>
      </w:r>
    </w:p>
    <w:p>
      <w:pPr>
        <w:ind w:left="0" w:firstLine="0" w:hanging="0"/>
        <w:jc w:val="left"/>
      </w:pPr>
      <w:r>
        <w:rPr>
          <w:rFonts w:ascii="Times New Roman" w:hAnsi="굴림체" w:cs="굴림체" w:eastAsia="굴림체"/>
          <w:sz w:val="24"/>
        </w:rPr>
        <w:t xml:space="preserve">  (a) workers, in the course of performing their work, co-operate in the fulfillment by their employer of the obligations placed upon him;</w:t>
      </w:r>
    </w:p>
    <w:p>
      <w:pPr>
        <w:ind w:left="0" w:firstLine="0" w:hanging="0"/>
        <w:jc w:val="left"/>
      </w:pPr>
      <w:r>
        <w:rPr>
          <w:rFonts w:ascii="Times New Roman" w:hAnsi="굴림체" w:cs="굴림체" w:eastAsia="굴림체"/>
          <w:sz w:val="24"/>
        </w:rPr>
        <w:t xml:space="preserve">  (b) representatives of workers in the undertaking co-operate with the employer in the field of occupational safety and health;</w:t>
      </w:r>
    </w:p>
    <w:p>
      <w:pPr>
        <w:ind w:left="0" w:firstLine="0" w:hanging="0"/>
        <w:jc w:val="left"/>
      </w:pPr>
      <w:r>
        <w:rPr>
          <w:rFonts w:ascii="Times New Roman" w:hAnsi="굴림체" w:cs="굴림체" w:eastAsia="굴림체"/>
          <w:sz w:val="24"/>
        </w:rPr>
        <w:t xml:space="preserve">  (c) representatives of workers in an undertaking are given adequate information on measures taken by the employer to secure occupational safety and health and may consult their representative organisations about such information provided they do not disclose commercial secrets;</w:t>
      </w:r>
    </w:p>
    <w:p>
      <w:pPr>
        <w:ind w:left="0" w:firstLine="0" w:hanging="0"/>
        <w:jc w:val="left"/>
      </w:pPr>
      <w:r>
        <w:rPr>
          <w:rFonts w:ascii="Times New Roman" w:hAnsi="굴림체" w:cs="굴림체" w:eastAsia="굴림체"/>
          <w:sz w:val="24"/>
        </w:rPr>
        <w:t xml:space="preserve">  (d) workers and their representatives in the undertaking are given appropriate training in occupational safety and health;</w:t>
      </w:r>
    </w:p>
    <w:p>
      <w:pPr>
        <w:ind w:left="0" w:firstLine="0" w:hanging="0"/>
        <w:jc w:val="left"/>
      </w:pPr>
      <w:r>
        <w:rPr>
          <w:rFonts w:ascii="Times New Roman" w:hAnsi="굴림체" w:cs="굴림체" w:eastAsia="굴림체"/>
          <w:sz w:val="24"/>
        </w:rPr>
        <w:t xml:space="preserve">  (e) workers or their representatives and, as the case may be, their representative organisations in an undertaking, in accordance with national law and practice, are enabled to enquire into, and are consulted by the employer on, all aspects of occupational safety and health associated with their work; for this purpose technical advisers may, by mutual agreement, be brought in from outside the undertaking;</w:t>
      </w:r>
    </w:p>
    <w:p>
      <w:pPr>
        <w:ind w:left="0" w:firstLine="0" w:hanging="0"/>
        <w:jc w:val="left"/>
      </w:pPr>
      <w:r>
        <w:rPr>
          <w:rFonts w:ascii="Times New Roman" w:hAnsi="굴림체" w:cs="굴림체" w:eastAsia="굴림체"/>
          <w:sz w:val="24"/>
        </w:rPr>
        <w:t xml:space="preserve">  (f) a worker reports forthwith to his immediate supervisor any situation which he has reasonable justification to believe presents an imminent and serious danger to his life or health; until the employer has taken remedial action, if necessary, the employer cannot require workers to return to a work situation where there is continuing imminent and serious danger to life or health.</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Co-operation between management and workers and/or their representatives within the undertaking shall be an essential element of organisational and other measures taken in pursuance of Articles 16 to 19 of this Convention.</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Occupational safety and health measures shall not involve any expenditure for the workers.</w:t>
      </w:r>
    </w:p>
    <w:p>
      <w:pPr>
        <w:ind w:left="0" w:firstLine="0" w:hanging="0"/>
        <w:jc w:val="center"/>
      </w:pPr>
      <w:r>
        <w:rPr>
          <w:rFonts w:ascii="Times New Roman" w:hAnsi="굴림체" w:cs="굴림체" w:eastAsia="굴림체"/>
          <w:sz w:val="24"/>
        </w:rPr>
        <w:t>PART V. FINAL PROVISIONS</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This Convention does not revise any international labour Conventions or Recommendations.</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The formal ratifications of this Convention shall be communicated to the Director-General of the International Labour Office for registration.</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1. This Convention shall be binding only upon those Members of the International Labour Organisation whose ratifications have been registered with the Director-General.</w:t>
      </w:r>
    </w:p>
    <w:p>
      <w:pPr>
        <w:ind w:left="0" w:firstLine="0" w:hanging="0"/>
        <w:jc w:val="left"/>
      </w:pPr>
      <w:r>
        <w:rPr>
          <w:rFonts w:ascii="Times New Roman" w:hAnsi="굴림체" w:cs="굴림체" w:eastAsia="굴림체"/>
          <w:sz w:val="24"/>
        </w:rPr>
        <w:t>2. It shall come into force twelve months after the date on which the ratifications of two Members have been registered with the Director-General.</w:t>
      </w:r>
    </w:p>
    <w:p>
      <w:pPr>
        <w:ind w:left="0" w:firstLine="0" w:hanging="0"/>
        <w:jc w:val="left"/>
      </w:pPr>
      <w:r>
        <w:rPr>
          <w:rFonts w:ascii="Times New Roman" w:hAnsi="굴림체" w:cs="굴림체" w:eastAsia="굴림체"/>
          <w:sz w:val="24"/>
        </w:rPr>
        <w:t>3. Thereafter, this Convention shall come into force for any Member twelve months after the date on which its ratification has been registered.</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1. A Member which has ratified this Convention may denounce it after the expiration of ten years from the date on which the Convention first comes into force, by an act communicated to the Director-General of the International Labour Office for registration. Such denunciation shall not take effect until one year after the date on which it is registered.</w:t>
      </w:r>
    </w:p>
    <w:p>
      <w:pPr>
        <w:ind w:left="0" w:firstLine="0" w:hanging="0"/>
        <w:jc w:val="left"/>
      </w:pPr>
      <w:r>
        <w:rPr>
          <w:rFonts w:ascii="Times New Roman" w:hAnsi="굴림체" w:cs="굴림체" w:eastAsia="굴림체"/>
          <w:sz w:val="24"/>
        </w:rPr>
        <w:t>2. Each Member which has ratified this Convention and which does not, within the year following the expiration of the period of ten years mentioned in the preceding paragraph, exercise the right of denunciation provided for in this Article, will be bound for another period of ten years and, thereafter, may denounce this Convention at the expiration of each period of ten years under the terms provided for in this Article.</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1. The Director-General of the International Labour Office shall notify all Members of the International Labour Organisation of the registration of all ratifications and denunciations communicated to him by the Members of the Organisation.</w:t>
      </w:r>
    </w:p>
    <w:p>
      <w:pPr>
        <w:ind w:left="0" w:firstLine="0" w:hanging="0"/>
        <w:jc w:val="left"/>
      </w:pPr>
      <w:r>
        <w:rPr>
          <w:rFonts w:ascii="Times New Roman" w:hAnsi="굴림체" w:cs="굴림체" w:eastAsia="굴림체"/>
          <w:sz w:val="24"/>
        </w:rPr>
        <w:t>2. When notifying the Members of the Organisation of the registration of the second ratification communicated to him, the Director-General shall draw the attention of the Members of the Organisation to the date upon which the Convention will come into force.</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The Director-General of the International Labour Office shall communicate to the Secretary-General of the United Nations for registration in accordance with Article 102 of the Charter of the United Nations full particulars of all ratifications and acts of denunciation registered by him in accordance with the provisions of the preceding Articles.</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At such times as it may consider necessary the Governing Body of the International Labour Office shall present to the General Conference a report on the working of this Convention and shall examine the desirability of placing on the agenda of the Conference the question of its revision in whole or in part.</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1. Should the Conference adopt a new Convention revising this Convention in whole or in part, then, unless the new Convention otherwise provides-</w:t>
      </w:r>
    </w:p>
    <w:p>
      <w:pPr>
        <w:ind w:left="0" w:firstLine="0" w:hanging="0"/>
        <w:jc w:val="left"/>
      </w:pPr>
      <w:r>
        <w:rPr>
          <w:rFonts w:ascii="Times New Roman" w:hAnsi="굴림체" w:cs="굴림체" w:eastAsia="굴림체"/>
          <w:sz w:val="24"/>
        </w:rPr>
        <w:t xml:space="preserve">  (a) the ratification by a Member of the new revising Convention shall ipso jure involve the immediate denunciation of this Convention, notwithstanding the provisions of Article 25 above, if and when the new revising Convention shall have come into force;</w:t>
      </w:r>
    </w:p>
    <w:p>
      <w:pPr>
        <w:ind w:left="0" w:firstLine="0" w:hanging="0"/>
        <w:jc w:val="left"/>
      </w:pPr>
      <w:r>
        <w:rPr>
          <w:rFonts w:ascii="Times New Roman" w:hAnsi="굴림체" w:cs="굴림체" w:eastAsia="굴림체"/>
          <w:sz w:val="24"/>
        </w:rPr>
        <w:t xml:space="preserve">  (b) as from the date when the new revising Convention comes into force this Convention shall cease to be open to ratification by the Members.</w:t>
      </w:r>
    </w:p>
    <w:p>
      <w:pPr>
        <w:ind w:left="0" w:firstLine="0" w:hanging="0"/>
        <w:jc w:val="left"/>
      </w:pPr>
      <w:r>
        <w:rPr>
          <w:rFonts w:ascii="Times New Roman" w:hAnsi="굴림체" w:cs="굴림체" w:eastAsia="굴림체"/>
          <w:sz w:val="24"/>
        </w:rPr>
        <w:t>2. This Convention shall in any case remain in force in its actual form and content for those Members which have ratified it but have not ratified the revising Convention.</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The English and French versions of the text of this Convention are equally authoritative.</w:t>
      </w:r>
    </w:p>
    <w:p>
      <w:pPr>
        <w:ind w:left="0" w:firstLine="0" w:hanging="0"/>
        <w:jc w:val="left"/>
      </w:pPr>
      <w:r>
        <w:rPr>
          <w:rFonts w:ascii="Times New Roman" w:hAnsi="굴림체" w:cs="굴림체" w:eastAsia="굴림체"/>
          <w:sz w:val="24"/>
        </w:rPr>
        <w:t>The foregoing is the authentic text of the Convention duly adopted by the General Conference of the International Labour Organization during its Sixty-seventh Session which was held at Geneva and declared closed the twenty-fourth day of June 1981.</w:t>
      </w:r>
    </w:p>
    <w:p>
      <w:pPr>
        <w:ind w:left="0" w:firstLine="0" w:hanging="0"/>
        <w:jc w:val="left"/>
      </w:pPr>
      <w:r>
        <w:rPr>
          <w:rFonts w:ascii="Times New Roman" w:hAnsi="굴림체" w:cs="굴림체" w:eastAsia="굴림체"/>
          <w:sz w:val="24"/>
        </w:rPr>
        <w:t>IN FAITH WHEREOF we have appended our signatures this twenty-fifth day of June 1981.</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