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보고서(2016. 5.)</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2016. 5. 13. /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3.5 Korea: National Human Rights Commission (NHRCK)</w:t>
      </w:r>
    </w:p>
    <w:p>
      <w:pPr>
        <w:ind w:left="0" w:firstLine="0" w:hanging="0"/>
        <w:jc w:val="left"/>
      </w:pPr>
      <w:r>
        <w:rPr>
          <w:rFonts w:ascii="Times New Roman" w:hAnsi="굴림체" w:cs="굴림체" w:eastAsia="굴림체"/>
          <w:sz w:val="24"/>
        </w:rPr>
        <w:t>Recommendation: The SCA recommends that the NHRCK be re-accredited with A status.</w:t>
      </w:r>
    </w:p>
    <w:p>
      <w:pPr>
        <w:ind w:left="0" w:firstLine="0" w:hanging="0"/>
        <w:jc w:val="left"/>
      </w:pPr>
      <w:r>
        <w:rPr>
          <w:rFonts w:ascii="Times New Roman" w:hAnsi="굴림체" w:cs="굴림체" w:eastAsia="굴림체"/>
          <w:sz w:val="24"/>
        </w:rPr>
        <w:t>The SCA commends the NHRCK for their efforts in:</w:t>
      </w:r>
    </w:p>
    <w:p>
      <w:pPr>
        <w:ind w:left="0" w:firstLine="0" w:hanging="0"/>
        <w:jc w:val="left"/>
      </w:pPr>
      <w:r>
        <w:rPr>
          <w:rFonts w:ascii="Times New Roman" w:hAnsi="굴림체" w:cs="굴림체" w:eastAsia="굴림체"/>
          <w:sz w:val="24"/>
        </w:rPr>
        <w:t>- advocating for, and securing, amendments to their enabling law;</w:t>
      </w:r>
    </w:p>
    <w:p>
      <w:pPr>
        <w:ind w:left="0" w:firstLine="0" w:hanging="0"/>
        <w:jc w:val="left"/>
      </w:pPr>
      <w:r>
        <w:rPr>
          <w:rFonts w:ascii="Times New Roman" w:hAnsi="굴림체" w:cs="굴림체" w:eastAsia="굴림체"/>
          <w:sz w:val="24"/>
        </w:rPr>
        <w:t>- developing internal rules on the selection and appointment process for Commissioners, and</w:t>
      </w:r>
    </w:p>
    <w:p>
      <w:pPr>
        <w:ind w:left="0" w:firstLine="0" w:hanging="0"/>
        <w:jc w:val="left"/>
      </w:pPr>
      <w:r>
        <w:rPr>
          <w:rFonts w:ascii="Times New Roman" w:hAnsi="굴림체" w:cs="굴림체" w:eastAsia="굴림체"/>
          <w:sz w:val="24"/>
        </w:rPr>
        <w:t>- consulting with the appointing bodies to promote support for broad participation and consultation during the selection and appointment process.</w:t>
      </w:r>
    </w:p>
    <w:p>
      <w:pPr>
        <w:ind w:left="0" w:firstLine="0" w:hanging="0"/>
        <w:jc w:val="left"/>
      </w:pPr>
      <w:r>
        <w:rPr>
          <w:rFonts w:ascii="Times New Roman" w:hAnsi="굴림체" w:cs="굴림체" w:eastAsia="굴림체"/>
          <w:sz w:val="24"/>
        </w:rPr>
        <w:t>The amendments to the enabling law explicitly provide functional immunity for members, establish eligibility criteria for membership, allow civil society organizations to recommend candidates, and explicitly require the appointing bodies to ensure a transparent selection process and pluralistic composition.</w:t>
      </w:r>
    </w:p>
    <w:p>
      <w:pPr>
        <w:ind w:left="0" w:firstLine="0" w:hanging="0"/>
        <w:jc w:val="left"/>
      </w:pPr>
      <w:r>
        <w:rPr>
          <w:rFonts w:ascii="Times New Roman" w:hAnsi="굴림체" w:cs="굴림체" w:eastAsia="굴림체"/>
          <w:sz w:val="24"/>
        </w:rPr>
        <w:t>The SCA notes that these changes address many of its concerns but reiterates the following concern:</w:t>
      </w:r>
    </w:p>
    <w:p>
      <w:pPr>
        <w:ind w:left="0" w:firstLine="0" w:hanging="0"/>
        <w:jc w:val="center"/>
      </w:pPr>
      <w:r>
        <w:rPr>
          <w:rFonts w:ascii="Times New Roman" w:hAnsi="굴림체" w:cs="굴림체" w:eastAsia="굴림체"/>
          <w:sz w:val="24"/>
        </w:rPr>
        <w:t>1. Selection and appointment</w:t>
      </w:r>
    </w:p>
    <w:p>
      <w:pPr>
        <w:ind w:left="0" w:firstLine="0" w:hanging="0"/>
        <w:jc w:val="left"/>
      </w:pPr>
      <w:r>
        <w:rPr>
          <w:rFonts w:ascii="Times New Roman" w:hAnsi="굴림체" w:cs="굴림체" w:eastAsia="굴림체"/>
          <w:sz w:val="24"/>
        </w:rPr>
        <w:t>Article 5(2) of the enabling law provides that members of the NHRCK are selected separately as follows:</w:t>
      </w:r>
    </w:p>
    <w:p>
      <w:pPr>
        <w:ind w:left="0" w:firstLine="0" w:hanging="0"/>
        <w:jc w:val="left"/>
      </w:pPr>
      <w:r>
        <w:rPr>
          <w:rFonts w:ascii="Times New Roman" w:hAnsi="굴림체" w:cs="굴림체" w:eastAsia="굴림체"/>
          <w:sz w:val="24"/>
        </w:rPr>
        <w:t>- Four (4) persons by the National Assembly;</w:t>
      </w:r>
    </w:p>
    <w:p>
      <w:pPr>
        <w:ind w:left="0" w:firstLine="0" w:hanging="0"/>
        <w:jc w:val="left"/>
      </w:pPr>
      <w:r>
        <w:rPr>
          <w:rFonts w:ascii="Times New Roman" w:hAnsi="굴림체" w:cs="굴림체" w:eastAsia="굴림체"/>
          <w:sz w:val="24"/>
        </w:rPr>
        <w:t>- Four (4) persons by the President; and</w:t>
      </w:r>
    </w:p>
    <w:p>
      <w:pPr>
        <w:ind w:left="0" w:firstLine="0" w:hanging="0"/>
        <w:jc w:val="left"/>
      </w:pPr>
      <w:r>
        <w:rPr>
          <w:rFonts w:ascii="Times New Roman" w:hAnsi="굴림체" w:cs="굴림체" w:eastAsia="굴림체"/>
          <w:sz w:val="24"/>
        </w:rPr>
        <w:t>- Three (3) persons by the Chief Justice of the Supreme Court.</w:t>
      </w:r>
    </w:p>
    <w:p>
      <w:pPr>
        <w:ind w:left="0" w:firstLine="0" w:hanging="0"/>
        <w:jc w:val="left"/>
      </w:pPr>
      <w:r>
        <w:rPr>
          <w:rFonts w:ascii="Times New Roman" w:hAnsi="굴림체" w:cs="굴림체" w:eastAsia="굴림체"/>
          <w:sz w:val="24"/>
        </w:rPr>
        <w:t>The SCA notes that this may result in different processes being employed by each entity. The SCA is of the view that, even with the amendments outlined above, the process could be improved by:</w:t>
      </w:r>
    </w:p>
    <w:p>
      <w:pPr>
        <w:ind w:left="0" w:firstLine="0" w:hanging="0"/>
        <w:jc w:val="left"/>
      </w:pPr>
      <w:r>
        <w:rPr>
          <w:rFonts w:ascii="Times New Roman" w:hAnsi="굴림체" w:cs="굴림체" w:eastAsia="굴림체"/>
          <w:sz w:val="24"/>
        </w:rPr>
        <w:t>- requiring the advertisement of vacancies; and</w:t>
      </w:r>
    </w:p>
    <w:p>
      <w:pPr>
        <w:ind w:left="0" w:firstLine="0" w:hanging="0"/>
        <w:jc w:val="left"/>
      </w:pPr>
      <w:r>
        <w:rPr>
          <w:rFonts w:ascii="Times New Roman" w:hAnsi="굴림체" w:cs="굴림체" w:eastAsia="굴림체"/>
          <w:sz w:val="24"/>
        </w:rPr>
        <w:t>- ensuring a consistent process is applied by a single independent selection committee.</w:t>
      </w:r>
    </w:p>
    <w:p>
      <w:pPr>
        <w:ind w:left="0" w:firstLine="0" w:hanging="0"/>
        <w:jc w:val="left"/>
      </w:pPr>
      <w:r>
        <w:rPr>
          <w:rFonts w:ascii="Times New Roman" w:hAnsi="굴림체" w:cs="굴림체" w:eastAsia="굴림체"/>
          <w:sz w:val="24"/>
        </w:rPr>
        <w:t>The SCA refers to Paris Principle B.1 and to its General Observation 1.8 on ‘Selection and appointment of the decision-making body of NHRIs’.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