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보고서(2014. 03.)</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2014. 3. 21. /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3.2 Republic of Korea: National Human Rights Commission of Korea (NHRCK)</w:t>
      </w:r>
    </w:p>
    <w:p>
      <w:pPr>
        <w:ind w:left="0" w:firstLine="0" w:hanging="0"/>
        <w:jc w:val="left"/>
      </w:pPr>
      <w:r>
        <w:rPr>
          <w:rFonts w:ascii="Times New Roman" w:hAnsi="굴림체" w:cs="굴림체" w:eastAsia="굴림체"/>
          <w:sz w:val="24"/>
        </w:rPr>
        <w:t>Recommendation: The SCA recommends that consideration of the re-accreditation of the NHRCK be deferred to its second session of 2014.</w:t>
      </w:r>
    </w:p>
    <w:p>
      <w:pPr>
        <w:ind w:left="0" w:firstLine="0" w:hanging="0"/>
        <w:jc w:val="left"/>
      </w:pPr>
      <w:r>
        <w:rPr>
          <w:rFonts w:ascii="Times New Roman" w:hAnsi="굴림체" w:cs="굴림체" w:eastAsia="굴림체"/>
          <w:sz w:val="24"/>
        </w:rPr>
        <w:t>The SCA notes that some of its recommendations from November 2008 have not been implemented, and that the NHRCK did not provide sufficient explanation for this. The SCA emphasizes the need for its recommendations to be actively considered and implemented where appropriate, even when ‘A’ status has been granted.</w:t>
      </w:r>
    </w:p>
    <w:p>
      <w:pPr>
        <w:ind w:left="0" w:firstLine="0" w:hanging="0"/>
        <w:jc w:val="left"/>
      </w:pPr>
      <w:r>
        <w:rPr>
          <w:rFonts w:ascii="Times New Roman" w:hAnsi="굴림체" w:cs="굴림체" w:eastAsia="굴림체"/>
          <w:sz w:val="24"/>
        </w:rPr>
        <w:t>The SCA notes:</w:t>
      </w:r>
    </w:p>
    <w:p>
      <w:pPr>
        <w:ind w:left="0" w:firstLine="0" w:hanging="0"/>
        <w:jc w:val="center"/>
      </w:pPr>
      <w:r>
        <w:rPr>
          <w:rFonts w:ascii="Times New Roman" w:hAnsi="굴림체" w:cs="굴림체" w:eastAsia="굴림체"/>
          <w:sz w:val="24"/>
        </w:rPr>
        <w:t>1. Selection and appointment:</w:t>
      </w:r>
    </w:p>
    <w:p>
      <w:pPr>
        <w:ind w:left="0" w:firstLine="0" w:hanging="0"/>
        <w:jc w:val="left"/>
      </w:pPr>
      <w:r>
        <w:rPr>
          <w:rFonts w:ascii="Times New Roman" w:hAnsi="굴림체" w:cs="굴림체" w:eastAsia="굴림체"/>
          <w:sz w:val="24"/>
        </w:rPr>
        <w:t>The SCA had previously expressed a concern about the failure of the legislation to provide a clear, transparent and participatory selection process in compliance with the Paris Principles. Article 5(2) of the enabling law provides that Commissioners are appointed by the President of the Republic of Korea, including 4 persons selected by the National Assembly, 4 persons nominated by the President, and 3 persons nominated by the Chief Justice of the Supreme Court.</w:t>
      </w:r>
    </w:p>
    <w:p>
      <w:pPr>
        <w:ind w:left="0" w:firstLine="0" w:hanging="0"/>
        <w:jc w:val="left"/>
      </w:pPr>
      <w:r>
        <w:rPr>
          <w:rFonts w:ascii="Times New Roman" w:hAnsi="굴림체" w:cs="굴림체" w:eastAsia="굴림체"/>
          <w:sz w:val="24"/>
        </w:rPr>
        <w:t>While Article 5(2) specifies limited ‘eligibility’ criteria, the SCA is of the view that this provision does not ensure a sufficiently transparent and participatory selection process, and one that promotes merit-based selection. In particular, the SCA notes that the enabling law does not appear to:</w:t>
      </w:r>
    </w:p>
    <w:p>
      <w:pPr>
        <w:ind w:left="0" w:firstLine="0" w:hanging="0"/>
        <w:jc w:val="left"/>
      </w:pPr>
      <w:r>
        <w:rPr>
          <w:rFonts w:ascii="Times New Roman" w:hAnsi="굴림체" w:cs="굴림체" w:eastAsia="굴림체"/>
          <w:sz w:val="24"/>
        </w:rPr>
        <w:t>- require the advertising of vacancies for Commissioners;</w:t>
      </w:r>
    </w:p>
    <w:p>
      <w:pPr>
        <w:ind w:left="0" w:firstLine="0" w:hanging="0"/>
        <w:jc w:val="left"/>
      </w:pPr>
      <w:r>
        <w:rPr>
          <w:rFonts w:ascii="Times New Roman" w:hAnsi="굴림체" w:cs="굴림체" w:eastAsia="굴림체"/>
          <w:sz w:val="24"/>
        </w:rPr>
        <w:t>- establish clear and uniform criteria upon which all nominating parties assess the merit of eligible applicants; and</w:t>
      </w:r>
    </w:p>
    <w:p>
      <w:pPr>
        <w:ind w:left="0" w:firstLine="0" w:hanging="0"/>
        <w:jc w:val="left"/>
      </w:pPr>
      <w:r>
        <w:rPr>
          <w:rFonts w:ascii="Times New Roman" w:hAnsi="굴림체" w:cs="굴림체" w:eastAsia="굴림체"/>
          <w:sz w:val="24"/>
        </w:rPr>
        <w:t>- promote broad consultation and / or participation in the application, screening, selection and appointment process.</w:t>
      </w:r>
    </w:p>
    <w:p>
      <w:pPr>
        <w:ind w:left="0" w:firstLine="0" w:hanging="0"/>
        <w:jc w:val="left"/>
      </w:pPr>
      <w:r>
        <w:rPr>
          <w:rFonts w:ascii="Times New Roman" w:hAnsi="굴림체" w:cs="굴림체" w:eastAsia="굴림체"/>
          <w:sz w:val="24"/>
        </w:rPr>
        <w:t>A clear, transparent and participatory selection and appointment process for membership of the NHRI’s decision-making body must be included in relevant legislation, regulations or binding administrative guidelines, as appropriate. A process that promotes merit-based selection and ensures pluralism is necessary to ensure the independence of, and public confidence in, the senior leadership of a NHRI.</w:t>
      </w:r>
    </w:p>
    <w:p>
      <w:pPr>
        <w:ind w:left="0" w:firstLine="0" w:hanging="0"/>
        <w:jc w:val="left"/>
      </w:pPr>
      <w:r>
        <w:rPr>
          <w:rFonts w:ascii="Times New Roman" w:hAnsi="굴림체" w:cs="굴림체" w:eastAsia="굴림체"/>
          <w:sz w:val="24"/>
        </w:rPr>
        <w:t>The SCA encourages the NHRCK to advocate for the formalization of a process that includes requirements to:</w:t>
      </w:r>
    </w:p>
    <w:p>
      <w:pPr>
        <w:ind w:left="0" w:firstLine="0" w:hanging="0"/>
        <w:jc w:val="left"/>
      </w:pPr>
      <w:r>
        <w:rPr>
          <w:rFonts w:ascii="Times New Roman" w:hAnsi="굴림체" w:cs="굴림체" w:eastAsia="굴림체"/>
          <w:sz w:val="24"/>
        </w:rPr>
        <w:t>a) Publicize vacancies broadly;</w:t>
      </w:r>
    </w:p>
    <w:p>
      <w:pPr>
        <w:ind w:left="0" w:firstLine="0" w:hanging="0"/>
        <w:jc w:val="left"/>
      </w:pPr>
      <w:r>
        <w:rPr>
          <w:rFonts w:ascii="Times New Roman" w:hAnsi="굴림체" w:cs="굴림체" w:eastAsia="굴림체"/>
          <w:sz w:val="24"/>
        </w:rPr>
        <w:t>b) Maximize the number of potential candidates from a wide range of societal groups;</w:t>
      </w:r>
    </w:p>
    <w:p>
      <w:pPr>
        <w:ind w:left="0" w:firstLine="0" w:hanging="0"/>
        <w:jc w:val="left"/>
      </w:pPr>
      <w:r>
        <w:rPr>
          <w:rFonts w:ascii="Times New Roman" w:hAnsi="굴림체" w:cs="굴림체" w:eastAsia="굴림체"/>
          <w:sz w:val="24"/>
        </w:rPr>
        <w:t>c) Promote broad consultation and / or participation in the application, screening, selection and appointment process;</w:t>
      </w:r>
    </w:p>
    <w:p>
      <w:pPr>
        <w:ind w:left="0" w:firstLine="0" w:hanging="0"/>
        <w:jc w:val="left"/>
      </w:pPr>
      <w:r>
        <w:rPr>
          <w:rFonts w:ascii="Times New Roman" w:hAnsi="굴림체" w:cs="굴림체" w:eastAsia="굴림체"/>
          <w:sz w:val="24"/>
        </w:rPr>
        <w:t>d) Assess applicants on the basis of pre-determined, objective and publicly available criteria; and</w:t>
      </w:r>
    </w:p>
    <w:p>
      <w:pPr>
        <w:ind w:left="0" w:firstLine="0" w:hanging="0"/>
        <w:jc w:val="left"/>
      </w:pPr>
      <w:r>
        <w:rPr>
          <w:rFonts w:ascii="Times New Roman" w:hAnsi="굴림체" w:cs="굴림체" w:eastAsia="굴림체"/>
          <w:sz w:val="24"/>
        </w:rPr>
        <w:t>e) Select members to serve in their own individual capacity rather than on behalf of the organization they represent.</w:t>
      </w:r>
    </w:p>
    <w:p>
      <w:pPr>
        <w:ind w:left="0" w:firstLine="0" w:hanging="0"/>
        <w:jc w:val="left"/>
      </w:pPr>
      <w:r>
        <w:rPr>
          <w:rFonts w:ascii="Times New Roman" w:hAnsi="굴림체" w:cs="굴림체" w:eastAsia="굴림체"/>
          <w:sz w:val="24"/>
        </w:rPr>
        <w:t>The SCA refers to Paris Principle B.1 and to its General Observation 1.8 on ‘Selection and appointment of the decision-making body’.</w:t>
      </w:r>
    </w:p>
    <w:p>
      <w:pPr>
        <w:ind w:left="0" w:firstLine="0" w:hanging="0"/>
        <w:jc w:val="center"/>
      </w:pPr>
      <w:r>
        <w:rPr>
          <w:rFonts w:ascii="Times New Roman" w:hAnsi="굴림체" w:cs="굴림체" w:eastAsia="굴림체"/>
          <w:sz w:val="24"/>
        </w:rPr>
        <w:t>2. Pluralism (Diversity)</w:t>
      </w:r>
    </w:p>
    <w:p>
      <w:pPr>
        <w:ind w:left="0" w:firstLine="0" w:hanging="0"/>
        <w:jc w:val="left"/>
      </w:pPr>
      <w:r>
        <w:rPr>
          <w:rFonts w:ascii="Times New Roman" w:hAnsi="굴림체" w:cs="굴림체" w:eastAsia="굴림체"/>
          <w:sz w:val="24"/>
        </w:rPr>
        <w:t>While the enabling law contains a provision regarding gender diversity in the selection of NHRCK members, it does not contain provisions to ensure diversity in other ways.</w:t>
      </w:r>
    </w:p>
    <w:p>
      <w:pPr>
        <w:ind w:left="0" w:firstLine="0" w:hanging="0"/>
        <w:jc w:val="left"/>
      </w:pPr>
      <w:r>
        <w:rPr>
          <w:rFonts w:ascii="Times New Roman" w:hAnsi="굴림체" w:cs="굴림체" w:eastAsia="굴림체"/>
          <w:sz w:val="24"/>
        </w:rPr>
        <w:t>Diversity in the membership and staff of a NHRI facilitates its appreciation of, and capacity to engage on, all human rights issues affecting the society in which it operates. In addition, it promotes the accessibility of the NHRI for all citizens.</w:t>
      </w:r>
    </w:p>
    <w:p>
      <w:pPr>
        <w:ind w:left="0" w:firstLine="0" w:hanging="0"/>
        <w:jc w:val="left"/>
      </w:pPr>
      <w:r>
        <w:rPr>
          <w:rFonts w:ascii="Times New Roman" w:hAnsi="굴림체" w:cs="굴림체" w:eastAsia="굴림체"/>
          <w:sz w:val="24"/>
        </w:rPr>
        <w:t>While the SCA notes that the NHRCK indicated that its membership reflects the diversity of Korean society, it encourages the NHRCK to advocate for the inclusion of provisions in its enabling law to ensure diversity in its membership and staff.</w:t>
      </w:r>
    </w:p>
    <w:p>
      <w:pPr>
        <w:ind w:left="0" w:firstLine="0" w:hanging="0"/>
        <w:jc w:val="left"/>
      </w:pPr>
      <w:r>
        <w:rPr>
          <w:rFonts w:ascii="Times New Roman" w:hAnsi="굴림체" w:cs="굴림체" w:eastAsia="굴림체"/>
          <w:sz w:val="24"/>
        </w:rPr>
        <w:t>The SCA refers to Paris Principle B.1 and to its General Observation 1.7 on ‘Ensuring pluralism of NHRIs’.</w:t>
      </w:r>
    </w:p>
    <w:p>
      <w:pPr>
        <w:ind w:left="0" w:firstLine="0" w:hanging="0"/>
        <w:jc w:val="center"/>
      </w:pPr>
      <w:r>
        <w:rPr>
          <w:rFonts w:ascii="Times New Roman" w:hAnsi="굴림체" w:cs="굴림체" w:eastAsia="굴림체"/>
          <w:sz w:val="24"/>
        </w:rPr>
        <w:t>3. Functional immunity and independence</w:t>
      </w:r>
    </w:p>
    <w:p>
      <w:pPr>
        <w:ind w:left="0" w:firstLine="0" w:hanging="0"/>
        <w:jc w:val="left"/>
      </w:pPr>
      <w:r>
        <w:rPr>
          <w:rFonts w:ascii="Times New Roman" w:hAnsi="굴림체" w:cs="굴림체" w:eastAsia="굴림체"/>
          <w:sz w:val="24"/>
        </w:rPr>
        <w:t>The SCA notes that there is no provision in the law to provide immunity for its members from legal liability for actions undertaken in good faith in their official capacity.</w:t>
      </w:r>
    </w:p>
    <w:p>
      <w:pPr>
        <w:ind w:left="0" w:firstLine="0" w:hanging="0"/>
        <w:jc w:val="left"/>
      </w:pPr>
      <w:r>
        <w:rPr>
          <w:rFonts w:ascii="Times New Roman" w:hAnsi="굴림체" w:cs="굴림체" w:eastAsia="굴림체"/>
          <w:sz w:val="24"/>
        </w:rPr>
        <w:t>External parties may seek to influence the independent operation of a NHRI by initiating, or by threatening to initiate, legal proceedings against a member. For this reason, NHRI legislation should include provisions to protect members from legal liability for acts undertaken in good faith in their official capacity. Such a provision promotes:</w:t>
      </w:r>
    </w:p>
    <w:p>
      <w:pPr>
        <w:ind w:left="0" w:firstLine="0" w:hanging="0"/>
        <w:jc w:val="left"/>
      </w:pPr>
      <w:r>
        <w:rPr>
          <w:rFonts w:ascii="Times New Roman" w:hAnsi="굴림체" w:cs="굴림체" w:eastAsia="굴림체"/>
          <w:sz w:val="24"/>
        </w:rPr>
        <w:t>- security of tenure;</w:t>
      </w:r>
    </w:p>
    <w:p>
      <w:pPr>
        <w:ind w:left="0" w:firstLine="0" w:hanging="0"/>
        <w:jc w:val="left"/>
      </w:pPr>
      <w:r>
        <w:rPr>
          <w:rFonts w:ascii="Times New Roman" w:hAnsi="굴림체" w:cs="굴림체" w:eastAsia="굴림체"/>
          <w:sz w:val="24"/>
        </w:rPr>
        <w:t>- the NHRIs ability to engage in critical analysis and commentary on human rights issues free from interference;</w:t>
      </w:r>
    </w:p>
    <w:p>
      <w:pPr>
        <w:ind w:left="0" w:firstLine="0" w:hanging="0"/>
        <w:jc w:val="left"/>
      </w:pPr>
      <w:r>
        <w:rPr>
          <w:rFonts w:ascii="Times New Roman" w:hAnsi="굴림체" w:cs="굴림체" w:eastAsia="굴림체"/>
          <w:sz w:val="24"/>
        </w:rPr>
        <w:t>- the independence of the senior leadership; and</w:t>
      </w:r>
    </w:p>
    <w:p>
      <w:pPr>
        <w:ind w:left="0" w:firstLine="0" w:hanging="0"/>
        <w:jc w:val="left"/>
      </w:pPr>
      <w:r>
        <w:rPr>
          <w:rFonts w:ascii="Times New Roman" w:hAnsi="굴림체" w:cs="굴림체" w:eastAsia="굴림체"/>
          <w:sz w:val="24"/>
        </w:rPr>
        <w:t>- public confidence in the NHRI.</w:t>
      </w:r>
    </w:p>
    <w:p>
      <w:pPr>
        <w:ind w:left="0" w:firstLine="0" w:hanging="0"/>
        <w:jc w:val="left"/>
      </w:pPr>
      <w:r>
        <w:rPr>
          <w:rFonts w:ascii="Times New Roman" w:hAnsi="굴림체" w:cs="굴림체" w:eastAsia="굴림체"/>
          <w:sz w:val="24"/>
        </w:rPr>
        <w:t>The SCA recognises that no office holder should be beyond the reach of the law and thus, in certain exceptional circumstances, such as corruption, it may be necessary to lift immunity. However, the authority to do so should not be exercised by an individual, but rather by an appropriately constituted body such as the superior court or by a special majority of parliament. It is recommended that the law clearly establishes the grounds, and a clear and transparent process, by which the functional immunity of the decision-making body may be lifted.</w:t>
      </w:r>
    </w:p>
    <w:p>
      <w:pPr>
        <w:ind w:left="0" w:firstLine="0" w:hanging="0"/>
        <w:jc w:val="left"/>
      </w:pPr>
      <w:r>
        <w:rPr>
          <w:rFonts w:ascii="Times New Roman" w:hAnsi="굴림체" w:cs="굴림체" w:eastAsia="굴림체"/>
          <w:sz w:val="24"/>
        </w:rPr>
        <w:t>The SCA encourages the NHRCK to advocate for the inclusion in its founding legislation of provisions that clearly establish functional immunity by protecting members from legal liability for actions undertaken in good faith in the course of their official duties.</w:t>
      </w:r>
    </w:p>
    <w:p>
      <w:pPr>
        <w:ind w:left="0" w:firstLine="0" w:hanging="0"/>
        <w:jc w:val="left"/>
      </w:pPr>
      <w:r>
        <w:rPr>
          <w:rFonts w:ascii="Times New Roman" w:hAnsi="굴림체" w:cs="굴림체" w:eastAsia="굴림체"/>
          <w:sz w:val="24"/>
        </w:rPr>
        <w:t>The SCA refers to Paris Principle B.3 and to its General Observation 2.3 on ‘Guarantee of functional immunity’.</w:t>
      </w:r>
    </w:p>
    <w:p>
      <w:pPr>
        <w:ind w:left="0" w:firstLine="0" w:hanging="0"/>
        <w:jc w:val="left"/>
      </w:pPr>
      <w:r>
        <w:rPr>
          <w:rFonts w:ascii="Times New Roman" w:hAnsi="굴림체" w:cs="굴림체" w:eastAsia="굴림체"/>
          <w:sz w:val="24"/>
        </w:rPr>
        <w:t>The SCA encourages the NHRCK to seek assistance and advice from the OHCHR and the Asia Pacific Forum of NHRIs.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