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>
      <w:pPr>
        <w:ind w:left="0" w:firstLine="0" w:hanging="0"/>
        <w:jc w:val="center"/>
      </w:pPr>
      <w:r>
        <w:rPr>
          <w:rFonts w:ascii="Times New Roman" w:hAnsi="굴림체" w:cs="굴림체" w:eastAsia="굴림체"/>
          <w:sz w:val="24"/>
        </w:rPr>
        <w:t>승인소위원회 보고서(2014. 03.)</w:t>
      </w:r>
    </w:p>
    <w:p>
      <w:pPr>
        <w:ind w:left="0" w:firstLine="0" w:hanging="0"/>
        <w:jc w:val="center"/>
      </w:pPr>
      <w:r>
        <w:rPr>
          <w:rFonts w:ascii="Times New Roman" w:hAnsi="굴림체" w:cs="굴림체" w:eastAsia="굴림체"/>
          <w:sz w:val="24"/>
        </w:rPr>
        <w:t>Report of the Sub-Committee on Accreditation</w:t>
      </w:r>
    </w:p>
    <w:p>
      <w:pPr>
        <w:ind w:left="0" w:firstLine="0" w:hanging="0"/>
        <w:jc w:val="center"/>
      </w:pPr>
      <w:r>
        <w:rPr>
          <w:rFonts w:ascii="Times New Roman" w:hAnsi="굴림체" w:cs="굴림체" w:eastAsia="굴림체"/>
          <w:sz w:val="24"/>
        </w:rPr>
        <w:t xml:space="preserve">채택일 2014. 3. 21. / </w:t>
      </w:r>
    </w:p>
    <w:p>
      <w:pPr>
        <w:ind w:left="0" w:firstLine="0" w:hanging="0"/>
        <w:jc w:val="right"/>
      </w:pPr>
      <w:r>
        <w:rPr>
          <w:rFonts w:ascii="Times New Roman" w:hAnsi="굴림체" w:cs="굴림체" w:eastAsia="굴림체"/>
          <w:sz w:val="24"/>
        </w:rPr>
        <w:t>국가인권기구</w:t>
      </w:r>
    </w:p>
    <w:p>
      <w:pPr>
        <w:ind w:left="0" w:firstLine="0" w:hanging="0"/>
        <w:jc w:val="right"/>
      </w:pPr>
      <w:r>
        <w:rPr>
          <w:rFonts w:ascii="Times New Roman" w:hAnsi="굴림체" w:cs="굴림체" w:eastAsia="굴림체"/>
          <w:sz w:val="24"/>
        </w:rPr>
        <w:t/>
      </w:r>
    </w:p>
    <w:p>
      <w:pPr>
        <w:ind w:left="0" w:firstLine="0" w:hanging="0"/>
        <w:jc w:val="right"/>
      </w:pPr>
      <w:r>
        <w:rPr>
          <w:rFonts w:ascii="Times New Roman" w:hAnsi="굴림체" w:cs="굴림체" w:eastAsia="굴림체"/>
          <w:sz w:val="24"/>
        </w:rPr>
        <w:t>등급심사(결과: 연기)</w:t>
      </w:r>
    </w:p>
    <w:p>
      <w:pPr>
        <w:ind w:left="0" w:firstLine="0" w:hanging="0"/>
        <w:jc w:val="right"/>
      </w:pPr>
      <w:r>
        <w:rPr>
          <w:rFonts w:ascii="Times New Roman" w:hAnsi="굴림체" w:cs="굴림체" w:eastAsia="굴림체"/>
          <w:sz w:val="24"/>
        </w:rPr>
        <w:t>세계국가인권기구연합(GANHRI) 승인소위원회</w:t>
      </w:r>
    </w:p>
    <w:p>
      <w:pPr>
        <w:ind w:left="0" w:firstLine="0" w:hanging="0"/>
        <w:jc w:val="right"/>
      </w:pPr>
      <w:r>
        <w:rPr>
          <w:rFonts w:ascii="Times New Roman" w:hAnsi="굴림체" w:cs="굴림체" w:eastAsia="굴림체"/>
          <w:sz w:val="24"/>
        </w:rPr>
        <w:t/>
      </w:r>
    </w:p>
    <w:p>
      <w:pPr>
        <w:ind w:left="0" w:firstLine="0" w:hanging="0"/>
        <w:jc w:val="center"/>
      </w:pPr>
      <w:r>
        <w:rPr>
          <w:rFonts w:ascii="Times New Roman" w:hAnsi="굴림체" w:cs="굴림체" w:eastAsia="굴림체"/>
          <w:sz w:val="24"/>
        </w:rPr>
        <w:t/>
      </w:r>
    </w:p>
    <w:p>
      <w:pPr>
        <w:ind w:left="0" w:firstLine="0" w:hanging="0"/>
        <w:jc w:val="center"/>
      </w:pPr>
      <w:r>
        <w:rPr>
          <w:rFonts w:ascii="Times New Roman" w:hAnsi="굴림체" w:cs="굴림체" w:eastAsia="굴림체"/>
          <w:sz w:val="24"/>
        </w:rPr>
        <w:t/>
      </w:r>
    </w:p>
    <w:p>
      <w:pPr>
        <w:ind w:left="0" w:firstLine="0" w:hanging="0"/>
        <w:jc w:val="center"/>
      </w:pPr>
      <w:r>
        <w:rPr>
          <w:rFonts w:ascii="Times New Roman" w:hAnsi="굴림체" w:cs="굴림체" w:eastAsia="굴림체"/>
          <w:sz w:val="24"/>
        </w:rPr>
        <w:t xml:space="preserve">					</w:t>
      </w:r>
    </w:p>
    <w:p>
      <w:pPr>
        <w:ind w:left="0" w:firstLine="0" w:hanging="0"/>
        <w:jc w:val="center"/>
      </w:pPr>
      <w:r>
        <w:rPr>
          <w:rFonts w:ascii="Times New Roman" w:hAnsi="굴림체" w:cs="굴림체" w:eastAsia="굴림체"/>
          <w:sz w:val="24"/>
        </w:rPr>
        <w:t>3.2 대한민국: 국가인권위원회(NHRCK)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권고: 승인소위원회는 국가인권위원회에 대한 재인증 심의를 2014년 두 번째 회기로 연기할 것을 권고합니다.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승인소위원회는 2008년 11월의 권고 중 일부가 이행되지 않았으며, 국가인권위원회가 이에 대해 충분한 설명을 제공하지 않았다고 지적합니다. 승인소위원회는 'A' 등급이 부여된 경우에도 권고 사항을 적극적으로 고려하고 적절한 경우 이행해야 할 필요성을 강조합니다.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승인소위원회는 아래의 사항에 주목합니다:</w:t>
      </w:r>
    </w:p>
    <w:p>
      <w:pPr>
        <w:ind w:left="0" w:firstLine="0" w:hanging="0"/>
        <w:jc w:val="center"/>
      </w:pPr>
      <w:r>
        <w:rPr>
          <w:rFonts w:ascii="Times New Roman" w:hAnsi="굴림체" w:cs="굴림체" w:eastAsia="굴림체"/>
          <w:sz w:val="24"/>
        </w:rPr>
        <w:t>1. 선출과 임명: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앞서 승인소위원회는 해당 법률이 파리원칙에 따라 명확하고 투명하며 참여적인 인선 절차를 마련하지 못한 것에 대해 우려를 표명한 바 있습니다. 「국가인권위원회법」 제5조 제2항에 따르면, 국회가 선출하는 4명, 대통령이 지명하는 4명, 대법원장이 지명하는 3명을 포함하는 위원은 대한민국 대통령이 임명한다고 규정하고 있습니다.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제5조 2항은 제한된 '자격' 기준을 명시하고 있지만, 승인소위원회는 이 조항이 충분히 투명하고 참여적인 선출 절차를 보장하지 않으며, 능력에 기반한 선출을 촉진하지 못한다고 생각합니다. 특히, 승인소위원회는 해당 법률이 아래를 보장하지 않는 것으로 보인다는 점에 주목합니다: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- 위원직 공석에 대한 공고 필요;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- 모든 추천 당사자가 지원자의 적격 능력을 평가할 수 있는 명확하고 통일된 기준 수립;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- 지원, 심사, 선출 및 임명 과정에서 폭넓은 협의 및/또는 참여 증진.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국가인권기구 내 의사결정기구 구성원에 대한 명확하고 투명하며 참여적인 선출 및 임명 과정은 관련 법률, 규정 또는 적절한 경우 구속력 있는 행정 지침에 포함되어야 합니다. 능력에 기반한 선출을 촉진하고 다원성을 보장하는 과정은 국가인권기구의 고위 리더십의 독립성과 대중의 신뢰를 보장하는 데 필요합니다.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승인소위원회는 국가인권위원회가 다음과 같은 요건을 포함하는 과정의 공식화를 주장할 것을 권장합니다: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a) 공석을 널리 공표하는 것;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b) 다양한 사회 집단의 잠재적 후보자 수를 최대화할 것;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c) 지원, 심사, 선출 및 임명 과정에서 폭넓은 협의 및/또는 참여를 장려할 것;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d) 사전에 결정되고 객관적이며 공개적으로 이용 가능한 기준에 따라 지원자를 평가할 것; 그리고,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e) 그들이 대표로 있는 조직을 대리하지 않고 개인 자격으로 임무를 수행할 위원을 선출할 것.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승인소위원회는 파리 원칙 B.1과 '의사결정기구의 선출과 임명 '에 관한 일반 견해 1.8을 참조합니다.</w:t>
      </w:r>
    </w:p>
    <w:p>
      <w:pPr>
        <w:ind w:left="0" w:firstLine="0" w:hanging="0"/>
        <w:jc w:val="center"/>
      </w:pPr>
      <w:r>
        <w:rPr>
          <w:rFonts w:ascii="Times New Roman" w:hAnsi="굴림체" w:cs="굴림체" w:eastAsia="굴림체"/>
          <w:sz w:val="24"/>
        </w:rPr>
        <w:t>2. 다원성(다양성)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해당법률에는 국가인권위원회 위원 선출 시 젠더 다양성에 관한 조항이 포함되어 있지만, 다른 방식으로 다양성을 보장하기 위한 조항은 포함되어 있지 않습니다.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국가인권기구 위원과 직원의 다양성은 국가인권기구가 활동하고 있는 사회에 영향을 미치는 모든 인권 사안에 대한 가치를 증진시키고 관여할 수 있는 역량을 강화하는데 도움이 됩니다. 또한 모든 시민이 국가인권기구에 대한 접근성을 높일 수 있습니다.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승인소위원회는 국가인권위원회가 위원 구성에 있어 한국 사회의 다양성을 반영하고 있다고 밝힌 것에 주목하면서, 국가인권위원회가 「국가인권위원회법」에 위원과 직원의 다양성을 보장하는 조항의 포함을 주장할 것을 권장합니다.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승인소위원회는 파리 원칙 B.1과 '국가인권기구의 다원성 보장'에 관한 일반 견해 1.7을 참조합니다.</w:t>
      </w:r>
    </w:p>
    <w:p>
      <w:pPr>
        <w:ind w:left="0" w:firstLine="0" w:hanging="0"/>
        <w:jc w:val="center"/>
      </w:pPr>
      <w:r>
        <w:rPr>
          <w:rFonts w:ascii="Times New Roman" w:hAnsi="굴림체" w:cs="굴림체" w:eastAsia="굴림체"/>
          <w:sz w:val="24"/>
        </w:rPr>
        <w:t>3. 직무상 면제와 독립성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승인소위원회는 「국가인권위원회법」에 위원이 신의성실에 따른 공무수행으로 인한 법적 책임을 면하는 조항이 없다는 점에 주목합니다.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외부 당사자가 위원을 상대로 법적 소송을 시작하거나 시작하겠다고 협박함으로써 국가인권기구의 독립적인 운영에 영향을 미치려고 할 수 있습니다. 이러한 이유로 국가인권기구 법률에는 신의성실에 따른 공무수행으로 인한 행위의 법적 책임으로부터 위원을 보호하는 조항을 포함해야 합니다. 그러한 조항은 아래의 사항을 증진합니다: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- 임기 보장;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- 간섭을 받지 않고 인권 사안에 관한 비판적 분석과 논평을 할 수 있는 국가인권기구의 역량;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- 고위급 리더십의 독립성; 그리고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- 국가인권기구에 대한 대중의 신뢰.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승인소위원회는 어떤 공직자도 법의 적용 범위를 벗어날 수 없으므로 부패와 같은 특정 상황에서는 면제를 해제할 필요가 있을 수 있음을 인정합니다. 그러나, 그러한 권한은 개인이 행사하는 것이 아니라 상급 법원이나 국회의 특별 다수결로 적절하게 구성된 기관이 행사해야 합니다. 의사 결정기구의 직무상 면제가 해제될 수 있는 근거와 명확하고 투명한 과정을 법률에 명확히 규정하는 것이 권장됩니다.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승인소위원회는 국가인권위원회가 공무수행 과정에서 신의성실에 따른 행위에 대한 법적 책임으로부터 위원을 보호함으로써 직무상 면책을 명확히 규정하는 조항을 해당 법률에 포함하도록 주장할 것을 권장합니다.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승인소위원회는 파리 원칙 B.3과 '직무상 면제의 보장'에 관한 일반 견해 2.3을 참조합니다.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승인소위원회는 국가인권위원회가 유엔 최고인권대표사무소(OHCHR)과 아시아 태평양 국가인권기구 포럼(APF)에 지원과 조언을 구할 것을 권장합니다.</w:t>
      </w:r>
    </w:p>
    <w:sectPr w:rsidR="00B859F1" w:rsidRPr="00373904" w:rsidSect="00400010">
      <w:headerReference w:type="default" r:id="rId6"/>
      <w:footerReference w:type="default" r:id="rId7"/>
      <w:pgSz w:w="11906" w:h="16838"/>
      <w:pgMar w:top="1701" w:right="1440" w:bottom="1560" w:left="1440" w:header="851" w:footer="144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C269D" w:rsidRDefault="00BC269D" w:rsidP="00400010">
      <w:pPr>
        <w:spacing w:after="0" w:line="240" w:lineRule="auto"/>
      </w:pPr>
      <w:r>
        <w:separator/>
      </w:r>
    </w:p>
  </w:endnote>
  <w:endnote w:type="continuationSeparator" w:id="0">
    <w:p w:rsidR="00BC269D" w:rsidRDefault="00BC269D" w:rsidP="004000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="굴림체" w:eastAsia="굴림체" w:hAnsi="굴림체"/>
        <w:szCs w:val="20"/>
      </w:rPr>
      <w:id w:val="975031199"/>
      <w:docPartObj>
        <w:docPartGallery w:val="Page Numbers (Bottom of Page)"/>
        <w:docPartUnique/>
      </w:docPartObj>
    </w:sdtPr>
    <w:sdtEndPr/>
    <w:sdtContent>
      <w:sdt>
        <w:sdtPr>
          <w:rPr>
            <w:rFonts w:ascii="굴림체" w:eastAsia="굴림체" w:hAnsi="굴림체"/>
            <w:szCs w:val="20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400010" w:rsidRPr="00400010" w:rsidRDefault="00400010">
            <w:pPr>
              <w:pStyle w:val="a5"/>
              <w:jc w:val="right"/>
              <w:rPr>
                <w:rFonts w:ascii="굴림체" w:eastAsia="굴림체" w:hAnsi="굴림체"/>
                <w:szCs w:val="20"/>
              </w:rPr>
            </w:pPr>
            <w:r w:rsidRPr="00400010">
              <w:rPr>
                <w:rFonts w:ascii="굴림체" w:eastAsia="굴림체" w:hAnsi="굴림체"/>
                <w:szCs w:val="20"/>
                <w:lang w:val="ko-KR"/>
              </w:rPr>
              <w:t xml:space="preserve">페이지 </w:t>
            </w:r>
            <w:r w:rsidRPr="00400010">
              <w:rPr>
                <w:rFonts w:ascii="굴림체" w:eastAsia="굴림체" w:hAnsi="굴림체"/>
                <w:b/>
                <w:bCs/>
                <w:szCs w:val="20"/>
              </w:rPr>
              <w:fldChar w:fldCharType="begin"/>
            </w:r>
            <w:r w:rsidRPr="00400010">
              <w:rPr>
                <w:rFonts w:ascii="굴림체" w:eastAsia="굴림체" w:hAnsi="굴림체"/>
                <w:b/>
                <w:bCs/>
                <w:szCs w:val="20"/>
              </w:rPr>
              <w:instrText>PAGE</w:instrText>
            </w:r>
            <w:r w:rsidRPr="00400010">
              <w:rPr>
                <w:rFonts w:ascii="굴림체" w:eastAsia="굴림체" w:hAnsi="굴림체"/>
                <w:b/>
                <w:bCs/>
                <w:szCs w:val="20"/>
              </w:rPr>
              <w:fldChar w:fldCharType="separate"/>
            </w:r>
            <w:r w:rsidRPr="00400010">
              <w:rPr>
                <w:rFonts w:ascii="굴림체" w:eastAsia="굴림체" w:hAnsi="굴림체"/>
                <w:b/>
                <w:bCs/>
                <w:szCs w:val="20"/>
                <w:lang w:val="ko-KR"/>
              </w:rPr>
              <w:t>2</w:t>
            </w:r>
            <w:r w:rsidRPr="00400010">
              <w:rPr>
                <w:rFonts w:ascii="굴림체" w:eastAsia="굴림체" w:hAnsi="굴림체"/>
                <w:b/>
                <w:bCs/>
                <w:szCs w:val="20"/>
              </w:rPr>
              <w:fldChar w:fldCharType="end"/>
            </w:r>
            <w:r w:rsidRPr="00400010">
              <w:rPr>
                <w:rFonts w:ascii="굴림체" w:eastAsia="굴림체" w:hAnsi="굴림체"/>
                <w:szCs w:val="20"/>
                <w:lang w:val="ko-KR"/>
              </w:rPr>
              <w:t xml:space="preserve"> / </w:t>
            </w:r>
            <w:r w:rsidRPr="00400010">
              <w:rPr>
                <w:rFonts w:ascii="굴림체" w:eastAsia="굴림체" w:hAnsi="굴림체"/>
                <w:b/>
                <w:bCs/>
                <w:szCs w:val="20"/>
              </w:rPr>
              <w:fldChar w:fldCharType="begin"/>
            </w:r>
            <w:r w:rsidRPr="00400010">
              <w:rPr>
                <w:rFonts w:ascii="굴림체" w:eastAsia="굴림체" w:hAnsi="굴림체"/>
                <w:b/>
                <w:bCs/>
                <w:szCs w:val="20"/>
              </w:rPr>
              <w:instrText>NUMPAGES</w:instrText>
            </w:r>
            <w:r w:rsidRPr="00400010">
              <w:rPr>
                <w:rFonts w:ascii="굴림체" w:eastAsia="굴림체" w:hAnsi="굴림체"/>
                <w:b/>
                <w:bCs/>
                <w:szCs w:val="20"/>
              </w:rPr>
              <w:fldChar w:fldCharType="separate"/>
            </w:r>
            <w:r w:rsidRPr="00400010">
              <w:rPr>
                <w:rFonts w:ascii="굴림체" w:eastAsia="굴림체" w:hAnsi="굴림체"/>
                <w:b/>
                <w:bCs/>
                <w:szCs w:val="20"/>
                <w:lang w:val="ko-KR"/>
              </w:rPr>
              <w:t>2</w:t>
            </w:r>
            <w:r w:rsidRPr="00400010">
              <w:rPr>
                <w:rFonts w:ascii="굴림체" w:eastAsia="굴림체" w:hAnsi="굴림체"/>
                <w:b/>
                <w:bCs/>
                <w:szCs w:val="20"/>
              </w:rPr>
              <w:fldChar w:fldCharType="end"/>
            </w:r>
          </w:p>
        </w:sdtContent>
      </w:sdt>
    </w:sdtContent>
  </w:sdt>
  <w:p w:rsidR="00400010" w:rsidRDefault="00400010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C269D" w:rsidRDefault="00BC269D" w:rsidP="00400010">
      <w:pPr>
        <w:spacing w:after="0" w:line="240" w:lineRule="auto"/>
      </w:pPr>
      <w:r>
        <w:separator/>
      </w:r>
    </w:p>
  </w:footnote>
  <w:footnote w:type="continuationSeparator" w:id="0">
    <w:p w:rsidR="00BC269D" w:rsidRDefault="00BC269D" w:rsidP="0040001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00010" w:rsidRDefault="00400010">
    <w:pPr>
      <w:pStyle w:val="a4"/>
    </w:pPr>
    <w:r>
      <w:rPr>
        <w:noProof/>
      </w:rP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2194"/>
    <w:rsid w:val="000A5B53"/>
    <w:rsid w:val="0027093F"/>
    <w:rsid w:val="00373904"/>
    <w:rsid w:val="00400010"/>
    <w:rsid w:val="004B71AE"/>
    <w:rsid w:val="00834127"/>
    <w:rsid w:val="008C77A6"/>
    <w:rsid w:val="00AA6F37"/>
    <w:rsid w:val="00B82194"/>
    <w:rsid w:val="00B859F1"/>
    <w:rsid w:val="00BC269D"/>
    <w:rsid w:val="00DA5FB2"/>
    <w:rsid w:val="00F614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0D26E718-9928-4E2C-854A-C6FC0123A6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ind w:left="403" w:hanging="301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A5FB2"/>
    <w:pPr>
      <w:spacing w:after="0" w:line="240" w:lineRule="auto"/>
    </w:pPr>
  </w:style>
  <w:style w:type="paragraph" w:styleId="a4">
    <w:name w:val="header"/>
    <w:basedOn w:val="a"/>
    <w:link w:val="Char"/>
    <w:uiPriority w:val="99"/>
    <w:unhideWhenUsed/>
    <w:rsid w:val="00400010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400010"/>
  </w:style>
  <w:style w:type="paragraph" w:styleId="a5">
    <w:name w:val="footer"/>
    <w:basedOn w:val="a"/>
    <w:link w:val="Char0"/>
    <w:uiPriority w:val="99"/>
    <w:unhideWhenUsed/>
    <w:rsid w:val="00400010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40001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<Relationships xmlns="http://schemas.openxmlformats.org/package/2006/relationships"><Relationship Id="rId1" Target="styles.xml" Type="http://schemas.openxmlformats.org/officeDocument/2006/relationships/styles"/><Relationship Id="rId2" Target="settings.xml" Type="http://schemas.openxmlformats.org/officeDocument/2006/relationships/settings"/><Relationship Id="rId3" Target="webSettings.xml" Type="http://schemas.openxmlformats.org/officeDocument/2006/relationships/webSettings"/><Relationship Id="rId4" Target="footnotes.xml" Type="http://schemas.openxmlformats.org/officeDocument/2006/relationships/footnotes"/><Relationship Id="rId5" Target="endnotes.xml" Type="http://schemas.openxmlformats.org/officeDocument/2006/relationships/endnotes"/><Relationship Id="rId6" Target="header1.xml" Type="http://schemas.openxmlformats.org/officeDocument/2006/relationships/header"/><Relationship Id="rId7" Target="footer1.xml" Type="http://schemas.openxmlformats.org/officeDocument/2006/relationships/footer"/><Relationship Id="rId8" Target="fontTable.xml" Type="http://schemas.openxmlformats.org/officeDocument/2006/relationships/fontTable"/><Relationship Id="rId9" Target="theme/theme1.xml" Type="http://schemas.openxmlformats.org/officeDocument/2006/relationships/theme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0</Words>
  <Characters>0</Characters>
  <Application>Microsoft Office Word</Application>
  <DocSecurity>0</DocSecurity>
  <Lines>0</Lines>
  <Paragraphs>0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2023-08-25T10:12:00Z</dcterms:created>
  <dc:creator>beintech</dc:creator>
  <cp:lastModifiedBy>user</cp:lastModifiedBy>
  <dcterms:modified xsi:type="dcterms:W3CDTF">2023-11-01T02:27:00Z</dcterms:modified>
  <cp:revision>10</cp:revision>
</cp:coreProperties>
</file>