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승인소위원회 보고서(2004. 4.)</w:t>
      </w:r>
    </w:p>
    <w:p>
      <w:pPr>
        <w:ind w:left="0" w:firstLine="0" w:hanging="0"/>
        <w:jc w:val="center"/>
      </w:pPr>
      <w:r>
        <w:rPr>
          <w:rFonts w:ascii="Times New Roman" w:hAnsi="굴림체" w:cs="굴림체" w:eastAsia="굴림체"/>
          <w:sz w:val="24"/>
        </w:rPr>
        <w:t>Report of the Sub-Committee on Accreditation</w:t>
      </w:r>
    </w:p>
    <w:p>
      <w:pPr>
        <w:ind w:left="0" w:firstLine="0" w:hanging="0"/>
        <w:jc w:val="center"/>
      </w:pPr>
      <w:r>
        <w:rPr>
          <w:rFonts w:ascii="Times New Roman" w:hAnsi="굴림체" w:cs="굴림체" w:eastAsia="굴림체"/>
          <w:sz w:val="24"/>
        </w:rPr>
        <w:t xml:space="preserve">채택일 2004. 4. 16. / </w:t>
      </w:r>
    </w:p>
    <w:p>
      <w:pPr>
        <w:ind w:left="0" w:firstLine="0" w:hanging="0"/>
        <w:jc w:val="right"/>
      </w:pPr>
      <w:r>
        <w:rPr>
          <w:rFonts w:ascii="Times New Roman" w:hAnsi="굴림체" w:cs="굴림체" w:eastAsia="굴림체"/>
          <w:sz w:val="24"/>
        </w:rPr>
        <w:t>국가인권기구</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등급심사(결과: A)</w:t>
      </w:r>
    </w:p>
    <w:p>
      <w:pPr>
        <w:ind w:left="0" w:firstLine="0" w:hanging="0"/>
        <w:jc w:val="right"/>
      </w:pPr>
      <w:r>
        <w:rPr>
          <w:rFonts w:ascii="Times New Roman" w:hAnsi="굴림체" w:cs="굴림체" w:eastAsia="굴림체"/>
          <w:sz w:val="24"/>
        </w:rPr>
        <w:t>세계국가인권기구연합(GANHRI) 승인소위원회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권고: A</w:t>
      </w:r>
    </w:p>
    <w:p>
      <w:pPr>
        <w:ind w:left="0" w:firstLine="0" w:hanging="0"/>
        <w:jc w:val="left"/>
      </w:pPr>
      <w:r>
        <w:rPr>
          <w:rFonts w:ascii="Times New Roman" w:hAnsi="굴림체" w:cs="굴림체" w:eastAsia="굴림체"/>
          <w:sz w:val="24"/>
        </w:rPr>
        <w:t>대한민국 국가인권위원회는 2004년에 신규 신청서와 함께 이행법률, 연례 보고서, 예산, 인증표(accreditation grid)를 포함한 관련 근거 문서를 제출하였습니다. 승인소위원회는 이러한 서류를 검토한 결과, 국가인권위원회가 파리원칙을 준수하고 있다고 판단합니다. 승인소위원회는 ICC가 대한민국 국가인권위원회에 A등급 인증을 부여할 것을 권고합니다.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