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국제인권법의 중대한 위반 행위와 국제인도법의 심각한 위반 행위로 인한 피해자들을 위한 구제 및 배상의 권리에 관한 기본 원칙과 가이드라인</w:t>
      </w:r>
    </w:p>
    <w:p>
      <w:pPr>
        <w:ind w:left="0" w:firstLine="0" w:hanging="0"/>
        <w:jc w:val="center"/>
      </w:pPr>
      <w:r>
        <w:rPr>
          <w:rFonts w:ascii="Times New Roman" w:hAnsi="굴림체" w:cs="굴림체" w:eastAsia="굴림체"/>
          <w:sz w:val="24"/>
        </w:rPr>
        <w:t>Basic Principles and Guidelines on the Right to a Remedy and Reparation for Victims of Gross Violations of International Human Rights Law and Serious Violations of International Humanitarian Law</w:t>
      </w:r>
    </w:p>
    <w:p>
      <w:pPr>
        <w:ind w:left="0" w:firstLine="0" w:hanging="0"/>
        <w:jc w:val="center"/>
      </w:pPr>
      <w:r>
        <w:rPr>
          <w:rFonts w:ascii="Times New Roman" w:hAnsi="굴림체" w:cs="굴림체" w:eastAsia="굴림체"/>
          <w:sz w:val="20"/>
        </w:rPr>
        <w:t>adopted 2005. 12. 16.</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A/RES/60/147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Basic Principles and Guidelines on the Right to a Remedy and Reparation for Victims of Gross Violations of International Human Rights Law and Serious Violations of International Humanitarian Law</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General Assembly,</w:t>
      </w:r>
    </w:p>
    <w:p>
      <w:pPr>
        <w:ind w:left="0" w:firstLine="0" w:hanging="0"/>
        <w:jc w:val="left"/>
      </w:pPr>
      <w:r>
        <w:rPr>
          <w:rFonts w:ascii="Times New Roman" w:hAnsi="굴림체" w:cs="굴림체" w:eastAsia="굴림체"/>
          <w:sz w:val="24"/>
        </w:rPr>
        <w:t>Recalling the provisions providing a right to a remedy for victims of violations of international human rights law found in numerous international instruments, in particular article 8 of the Universal Declaration of Human Rights, *1 ) article 2 of the International Covenant on Civil and Political Rights, *2 ) article 6 of the International Convention on the Elimination of All Forms of Racial Discrimination, *3 ) article 14 of the Convention against Torture and Other Cruel, Inhuman or Degrading Treatment or Punishment, *4 ) and article 39 of the Convention on the Rights of the Child, *5 ) and of international humanitarian law as found in article 3 of the Hague Convention respecting the Laws and Customs of War on Land of 18 October 1907 (Convention IV), *6 ) article 91 of the Protocol Additional to the Geneva Conventions of 12 August 1949, and relating to the Protection of Victims of International Armed Conflicts (Protocol I) of 8 June 1977, *7 ) and articles 68 and 75 of the Rome Statute of the International Criminal Court, *8 )</w:t>
      </w:r>
    </w:p>
    <w:p>
      <w:pPr>
        <w:ind w:left="0" w:firstLine="0" w:hanging="0"/>
        <w:jc w:val="left"/>
      </w:pPr>
      <w:r>
        <w:rPr>
          <w:rFonts w:ascii="Times New Roman" w:hAnsi="굴림체" w:cs="굴림체" w:eastAsia="굴림체"/>
          <w:sz w:val="24"/>
        </w:rPr>
        <w:t>Recalling the provisions providing a right to a remedy for victims of violations of international human rights found in regional conventions, in particular article 7 of the African Charter on Human and Peoples’ Rights, *9 ) article 25 of the American Convention on Human Rights, *10 ) and article 13 of the Convention for the Protection of Human Rights and Fundamental Freedoms, *11 )</w:t>
      </w:r>
    </w:p>
    <w:p>
      <w:pPr>
        <w:ind w:left="0" w:firstLine="0" w:hanging="0"/>
        <w:jc w:val="left"/>
      </w:pPr>
      <w:r>
        <w:rPr>
          <w:rFonts w:ascii="Times New Roman" w:hAnsi="굴림체" w:cs="굴림체" w:eastAsia="굴림체"/>
          <w:sz w:val="24"/>
        </w:rPr>
        <w:t>Recalling the Declaration of Basic Principles of Justice for Victims of Crime and Abuse of Power emanating from the deliberations of the Seventh United Nations Congress on the Prevention of Crime and the Treatment of Offenders and General Assembly resolution 40/34 of 29 November 1985 by which the Assembly adopted the text recommended by the Congress,</w:t>
      </w:r>
    </w:p>
    <w:p>
      <w:pPr>
        <w:ind w:left="0" w:firstLine="0" w:hanging="0"/>
        <w:jc w:val="left"/>
      </w:pPr>
      <w:r>
        <w:rPr>
          <w:rFonts w:ascii="Times New Roman" w:hAnsi="굴림체" w:cs="굴림체" w:eastAsia="굴림체"/>
          <w:sz w:val="24"/>
        </w:rPr>
        <w:t>Reaffirming the principles enunciated in the Declaration of Basic Principles of Justice for Victims of Crime and Abuse of Power, including that victims should be treated with compassion and respect for their dignity, have their right to access to justice and redress mechanisms fully respected, and that the establishment, strengthening and expansion of national funds for compensation to victims should be encouraged, together with the expeditious development of appropriate rights and remedies for victims,</w:t>
      </w:r>
    </w:p>
    <w:p>
      <w:pPr>
        <w:ind w:left="0" w:firstLine="0" w:hanging="0"/>
        <w:jc w:val="left"/>
      </w:pPr>
      <w:r>
        <w:rPr>
          <w:rFonts w:ascii="Times New Roman" w:hAnsi="굴림체" w:cs="굴림체" w:eastAsia="굴림체"/>
          <w:sz w:val="24"/>
        </w:rPr>
        <w:t>Noting that the Rome Statute of the International Criminal Court requires the establishment of “principles relating to reparations to, or in respect of, victims, including restitution, compensation and rehabilitation”, requires the Assembly of States Parties to establish a trust fund for the benefit of victims of crimes within the jurisdiction of the Court, and of the families of such victims, and mandates the Court “to protect the safety, physical and psychological well-being, dignity and privacy of victims” and to permit the participation of victims at all “stages of the proceedings determined to be appropriate by the Court”,</w:t>
      </w:r>
    </w:p>
    <w:p>
      <w:pPr>
        <w:ind w:left="0" w:firstLine="0" w:hanging="0"/>
        <w:jc w:val="left"/>
      </w:pPr>
      <w:r>
        <w:rPr>
          <w:rFonts w:ascii="Times New Roman" w:hAnsi="굴림체" w:cs="굴림체" w:eastAsia="굴림체"/>
          <w:sz w:val="24"/>
        </w:rPr>
        <w:t>Affirming that the Basic Principles and Guidelines contained herein are directed at gross violations of international human rights law and serious violations of international humanitarian law which, by their very grave nature, constitute an affront to human dignity,</w:t>
      </w:r>
    </w:p>
    <w:p>
      <w:pPr>
        <w:ind w:left="0" w:firstLine="0" w:hanging="0"/>
        <w:jc w:val="left"/>
      </w:pPr>
      <w:r>
        <w:rPr>
          <w:rFonts w:ascii="Times New Roman" w:hAnsi="굴림체" w:cs="굴림체" w:eastAsia="굴림체"/>
          <w:sz w:val="24"/>
        </w:rPr>
        <w:t>Emphasizing that the Basic Principles and Guidelines contained herein do not entail new international or domestic legal obligations but identify mechanisms, modalities, procedures and methods for the implementation of existing legal obligations under international human rights law and international humanitarian law which are complementary though different as to their norms,</w:t>
      </w:r>
    </w:p>
    <w:p>
      <w:pPr>
        <w:ind w:left="0" w:firstLine="0" w:hanging="0"/>
        <w:jc w:val="left"/>
      </w:pPr>
      <w:r>
        <w:rPr>
          <w:rFonts w:ascii="Times New Roman" w:hAnsi="굴림체" w:cs="굴림체" w:eastAsia="굴림체"/>
          <w:sz w:val="24"/>
        </w:rPr>
        <w:t>Recalling that international law contains the obligation to prosecute perpetrators of certain international crimes in accordance with international obligations of States and the requirements of national law or as provided for in the applicable statutes of international judicial organs, and that the duty to prosecute reinforces the international legal obligations to be carried out in accordance with national legal requirements and procedures and supports the concept of complementarity,</w:t>
      </w:r>
    </w:p>
    <w:p>
      <w:pPr>
        <w:ind w:left="0" w:firstLine="0" w:hanging="0"/>
        <w:jc w:val="left"/>
      </w:pPr>
      <w:r>
        <w:rPr>
          <w:rFonts w:ascii="Times New Roman" w:hAnsi="굴림체" w:cs="굴림체" w:eastAsia="굴림체"/>
          <w:sz w:val="24"/>
        </w:rPr>
        <w:t>Noting that contemporary forms of victimization, while essentially directed against persons, may nevertheless also be directed against groups of persons who are targeted collectively,</w:t>
      </w:r>
    </w:p>
    <w:p>
      <w:pPr>
        <w:ind w:left="0" w:firstLine="0" w:hanging="0"/>
        <w:jc w:val="left"/>
      </w:pPr>
      <w:r>
        <w:rPr>
          <w:rFonts w:ascii="Times New Roman" w:hAnsi="굴림체" w:cs="굴림체" w:eastAsia="굴림체"/>
          <w:sz w:val="24"/>
        </w:rPr>
        <w:t>Recognizing that, in honouring the victims’ right to benefit from remedies and reparation, the international community keeps faith with the plight of victims, survivors and future human generations and reaffirms the international legal principles of accountability, justice and the rule of law,</w:t>
      </w:r>
    </w:p>
    <w:p>
      <w:pPr>
        <w:ind w:left="0" w:firstLine="0" w:hanging="0"/>
        <w:jc w:val="left"/>
      </w:pPr>
      <w:r>
        <w:rPr>
          <w:rFonts w:ascii="Times New Roman" w:hAnsi="굴림체" w:cs="굴림체" w:eastAsia="굴림체"/>
          <w:sz w:val="24"/>
        </w:rPr>
        <w:t>Convinced that, in adopting a victim-oriented perspective, the international community affirms its human solidarity with victims of violations of international law, including violations of international human rights law and international humanitarian law, as well as with humanity at large, in accordance with the following Basic Principles and Guidelines,</w:t>
      </w:r>
    </w:p>
    <w:p>
      <w:pPr>
        <w:ind w:left="0" w:firstLine="0" w:hanging="0"/>
        <w:jc w:val="left"/>
      </w:pPr>
      <w:r>
        <w:rPr>
          <w:rFonts w:ascii="Times New Roman" w:hAnsi="굴림체" w:cs="굴림체" w:eastAsia="굴림체"/>
          <w:sz w:val="24"/>
        </w:rPr>
        <w:t>Adopts the following Basic Principles and Guidelines:</w:t>
      </w:r>
    </w:p>
    <w:p>
      <w:pPr>
        <w:ind w:left="0" w:firstLine="0" w:hanging="0"/>
        <w:jc w:val="center"/>
      </w:pPr>
      <w:r>
        <w:rPr>
          <w:rFonts w:ascii="Times New Roman" w:hAnsi="굴림체" w:cs="굴림체" w:eastAsia="굴림체"/>
          <w:sz w:val="24"/>
        </w:rPr>
        <w:t>I. Obligation to respect, ensure respect for and implement international human rights law and international humanitarian law</w:t>
      </w:r>
    </w:p>
    <w:p>
      <w:pPr>
        <w:ind w:left="0" w:firstLine="0" w:hanging="0"/>
        <w:jc w:val="left"/>
      </w:pPr>
      <w:r>
        <w:rPr>
          <w:rFonts w:ascii="Times New Roman" w:hAnsi="굴림체" w:cs="굴림체" w:eastAsia="굴림체"/>
          <w:sz w:val="24"/>
        </w:rPr>
        <w:t>1. The obligation to respect, ensure respect for and implement international human rights law and international humanitarian law as provided for under the respective bodies of law emanates from:</w:t>
      </w:r>
    </w:p>
    <w:p>
      <w:pPr>
        <w:ind w:left="0" w:firstLine="0" w:hanging="0"/>
        <w:jc w:val="left"/>
      </w:pPr>
      <w:r>
        <w:rPr>
          <w:rFonts w:ascii="Times New Roman" w:hAnsi="굴림체" w:cs="굴림체" w:eastAsia="굴림체"/>
          <w:sz w:val="24"/>
        </w:rPr>
        <w:t xml:space="preserve">  (a) Treaties to which a State is a party;</w:t>
      </w:r>
    </w:p>
    <w:p>
      <w:pPr>
        <w:ind w:left="0" w:firstLine="0" w:hanging="0"/>
        <w:jc w:val="left"/>
      </w:pPr>
      <w:r>
        <w:rPr>
          <w:rFonts w:ascii="Times New Roman" w:hAnsi="굴림체" w:cs="굴림체" w:eastAsia="굴림체"/>
          <w:sz w:val="24"/>
        </w:rPr>
        <w:t xml:space="preserve">  (b) Customary international law;</w:t>
      </w:r>
    </w:p>
    <w:p>
      <w:pPr>
        <w:ind w:left="0" w:firstLine="0" w:hanging="0"/>
        <w:jc w:val="left"/>
      </w:pPr>
      <w:r>
        <w:rPr>
          <w:rFonts w:ascii="Times New Roman" w:hAnsi="굴림체" w:cs="굴림체" w:eastAsia="굴림체"/>
          <w:sz w:val="24"/>
        </w:rPr>
        <w:t xml:space="preserve">  (c) The domestic law of each State.</w:t>
      </w:r>
    </w:p>
    <w:p>
      <w:pPr>
        <w:ind w:left="0" w:firstLine="0" w:hanging="0"/>
        <w:jc w:val="left"/>
      </w:pPr>
      <w:r>
        <w:rPr>
          <w:rFonts w:ascii="Times New Roman" w:hAnsi="굴림체" w:cs="굴림체" w:eastAsia="굴림체"/>
          <w:sz w:val="24"/>
        </w:rPr>
        <w:t>2. If they have not already done so, States shall, as required under international law, ensure that their domestic law is consistent with their international legal obligations by:</w:t>
      </w:r>
    </w:p>
    <w:p>
      <w:pPr>
        <w:ind w:left="0" w:firstLine="0" w:hanging="0"/>
        <w:jc w:val="left"/>
      </w:pPr>
      <w:r>
        <w:rPr>
          <w:rFonts w:ascii="Times New Roman" w:hAnsi="굴림체" w:cs="굴림체" w:eastAsia="굴림체"/>
          <w:sz w:val="24"/>
        </w:rPr>
        <w:t xml:space="preserve">  (a) Incorporating norms of international human rights law and international humanitarian law into their domestic law, or otherwise implementing them in their domestic legal system;</w:t>
      </w:r>
    </w:p>
    <w:p>
      <w:pPr>
        <w:ind w:left="0" w:firstLine="0" w:hanging="0"/>
        <w:jc w:val="left"/>
      </w:pPr>
      <w:r>
        <w:rPr>
          <w:rFonts w:ascii="Times New Roman" w:hAnsi="굴림체" w:cs="굴림체" w:eastAsia="굴림체"/>
          <w:sz w:val="24"/>
        </w:rPr>
        <w:t xml:space="preserve">  (b) Adopting appropriate and effective legislative and administrative procedures and other appropriate measures that provide fair, effective and prompt access to justice;</w:t>
      </w:r>
    </w:p>
    <w:p>
      <w:pPr>
        <w:ind w:left="0" w:firstLine="0" w:hanging="0"/>
        <w:jc w:val="left"/>
      </w:pPr>
      <w:r>
        <w:rPr>
          <w:rFonts w:ascii="Times New Roman" w:hAnsi="굴림체" w:cs="굴림체" w:eastAsia="굴림체"/>
          <w:sz w:val="24"/>
        </w:rPr>
        <w:t xml:space="preserve">  (c) Making available adequate, effective, prompt and appropriate remedies, including reparation, as defined below;</w:t>
      </w:r>
    </w:p>
    <w:p>
      <w:pPr>
        <w:ind w:left="0" w:firstLine="0" w:hanging="0"/>
        <w:jc w:val="left"/>
      </w:pPr>
      <w:r>
        <w:rPr>
          <w:rFonts w:ascii="Times New Roman" w:hAnsi="굴림체" w:cs="굴림체" w:eastAsia="굴림체"/>
          <w:sz w:val="24"/>
        </w:rPr>
        <w:t xml:space="preserve">  (d) Ensuring that their domestic law provides at least the same level of protection for victims as that required by their international obligations.</w:t>
      </w:r>
    </w:p>
    <w:p>
      <w:pPr>
        <w:ind w:left="0" w:firstLine="0" w:hanging="0"/>
        <w:jc w:val="center"/>
      </w:pPr>
      <w:r>
        <w:rPr>
          <w:rFonts w:ascii="Times New Roman" w:hAnsi="굴림체" w:cs="굴림체" w:eastAsia="굴림체"/>
          <w:sz w:val="24"/>
        </w:rPr>
        <w:t>II. Scope of the obligation</w:t>
      </w:r>
    </w:p>
    <w:p>
      <w:pPr>
        <w:ind w:left="0" w:firstLine="0" w:hanging="0"/>
        <w:jc w:val="left"/>
      </w:pPr>
      <w:r>
        <w:rPr>
          <w:rFonts w:ascii="Times New Roman" w:hAnsi="굴림체" w:cs="굴림체" w:eastAsia="굴림체"/>
          <w:sz w:val="24"/>
        </w:rPr>
        <w:t>3. The obligation to respect, ensure respect for and implement international human rights law and international humanitarian law as provided for under the respective bodies of law, includes, inter alia, the duty to:</w:t>
      </w:r>
    </w:p>
    <w:p>
      <w:pPr>
        <w:ind w:left="0" w:firstLine="0" w:hanging="0"/>
        <w:jc w:val="left"/>
      </w:pPr>
      <w:r>
        <w:rPr>
          <w:rFonts w:ascii="Times New Roman" w:hAnsi="굴림체" w:cs="굴림체" w:eastAsia="굴림체"/>
          <w:sz w:val="24"/>
        </w:rPr>
        <w:t xml:space="preserve">  (a) Take appropriate legislative and administrative and other appropriate measures to prevent violations;</w:t>
      </w:r>
    </w:p>
    <w:p>
      <w:pPr>
        <w:ind w:left="0" w:firstLine="0" w:hanging="0"/>
        <w:jc w:val="left"/>
      </w:pPr>
      <w:r>
        <w:rPr>
          <w:rFonts w:ascii="Times New Roman" w:hAnsi="굴림체" w:cs="굴림체" w:eastAsia="굴림체"/>
          <w:sz w:val="24"/>
        </w:rPr>
        <w:t xml:space="preserve">  (b) Investigate violations effectively, promptly, thoroughly and impartially and, where appropriate, take action against those allegedly responsible in accordance with domestic and international law;</w:t>
      </w:r>
    </w:p>
    <w:p>
      <w:pPr>
        <w:ind w:left="0" w:firstLine="0" w:hanging="0"/>
        <w:jc w:val="left"/>
      </w:pPr>
      <w:r>
        <w:rPr>
          <w:rFonts w:ascii="Times New Roman" w:hAnsi="굴림체" w:cs="굴림체" w:eastAsia="굴림체"/>
          <w:sz w:val="24"/>
        </w:rPr>
        <w:t xml:space="preserve">  (c) Provide those who claim to be victims of a human rights or humanitarian law violation with equal and effective access to justice, as described below, irrespective of who may ultimately be the bearer of responsibility for the violation; and</w:t>
      </w:r>
    </w:p>
    <w:p>
      <w:pPr>
        <w:ind w:left="0" w:firstLine="0" w:hanging="0"/>
        <w:jc w:val="left"/>
      </w:pPr>
      <w:r>
        <w:rPr>
          <w:rFonts w:ascii="Times New Roman" w:hAnsi="굴림체" w:cs="굴림체" w:eastAsia="굴림체"/>
          <w:sz w:val="24"/>
        </w:rPr>
        <w:t xml:space="preserve">  (d) Provide effective remedies to victims, including reparation, as described below.</w:t>
      </w:r>
    </w:p>
    <w:p>
      <w:pPr>
        <w:ind w:left="0" w:firstLine="0" w:hanging="0"/>
        <w:jc w:val="center"/>
      </w:pPr>
      <w:r>
        <w:rPr>
          <w:rFonts w:ascii="Times New Roman" w:hAnsi="굴림체" w:cs="굴림체" w:eastAsia="굴림체"/>
          <w:sz w:val="24"/>
        </w:rPr>
        <w:t>III. Gross violations of international human rights law and serious violations of international humanitarian law that constitute crimes under international law</w:t>
      </w:r>
    </w:p>
    <w:p>
      <w:pPr>
        <w:ind w:left="0" w:firstLine="0" w:hanging="0"/>
        <w:jc w:val="left"/>
      </w:pPr>
      <w:r>
        <w:rPr>
          <w:rFonts w:ascii="Times New Roman" w:hAnsi="굴림체" w:cs="굴림체" w:eastAsia="굴림체"/>
          <w:sz w:val="24"/>
        </w:rPr>
        <w:t>4. In cases of gross violations of international human rights law and serious violations of international humanitarian law constituting crimes under international law, States have the duty to investigate and, if there is sufficient evidence, the duty to submit to prosecution the person allegedly responsible for the violations and, if found guilty, the duty to punish her or him. Moreover, in these cases, States should, in accordance with international law, cooperate with one another and assist international judicial organs competent in the investigation and prosecution of these violations.</w:t>
      </w:r>
    </w:p>
    <w:p>
      <w:pPr>
        <w:ind w:left="0" w:firstLine="0" w:hanging="0"/>
        <w:jc w:val="left"/>
      </w:pPr>
      <w:r>
        <w:rPr>
          <w:rFonts w:ascii="Times New Roman" w:hAnsi="굴림체" w:cs="굴림체" w:eastAsia="굴림체"/>
          <w:sz w:val="24"/>
        </w:rPr>
        <w:t>5. To that end, where so provided in an applicable treaty or under other international law obligations, States shall incorporate or otherwise implement within their domestic law appropriate provisions for universal jurisdiction. Moreover, where it is so provided for in an applicable treaty or other international legal obligations, States should facilitate extradition or surrender offenders to other States and to appropriate international judicial bodies and provide judicial assistance and other forms of cooperation in the pursuit of international justice, including assistance to, and protection of, victims and witnesses, consistent with international human rights legal standards and subject to international legal requirements such as those relating to the prohibition of torture and other forms of cruel, inhuman or degrading treatment or punishment.</w:t>
      </w:r>
    </w:p>
    <w:p>
      <w:pPr>
        <w:ind w:left="0" w:firstLine="0" w:hanging="0"/>
        <w:jc w:val="center"/>
      </w:pPr>
      <w:r>
        <w:rPr>
          <w:rFonts w:ascii="Times New Roman" w:hAnsi="굴림체" w:cs="굴림체" w:eastAsia="굴림체"/>
          <w:sz w:val="24"/>
        </w:rPr>
        <w:t>IV. Statutes of limitations</w:t>
      </w:r>
    </w:p>
    <w:p>
      <w:pPr>
        <w:ind w:left="0" w:firstLine="0" w:hanging="0"/>
        <w:jc w:val="left"/>
      </w:pPr>
      <w:r>
        <w:rPr>
          <w:rFonts w:ascii="Times New Roman" w:hAnsi="굴림체" w:cs="굴림체" w:eastAsia="굴림체"/>
          <w:sz w:val="24"/>
        </w:rPr>
        <w:t>6. Where so provided for in an applicable treaty or contained in other international legal obligations, statutes of limitations shall not apply to gross violations of international human rights law and serious violations of international humanitarian law which constitute crimes under international law.</w:t>
      </w:r>
    </w:p>
    <w:p>
      <w:pPr>
        <w:ind w:left="0" w:firstLine="0" w:hanging="0"/>
        <w:jc w:val="left"/>
      </w:pPr>
      <w:r>
        <w:rPr>
          <w:rFonts w:ascii="Times New Roman" w:hAnsi="굴림체" w:cs="굴림체" w:eastAsia="굴림체"/>
          <w:sz w:val="24"/>
        </w:rPr>
        <w:t>7. Domestic statutes of limitations for other types of violations that do not constitute crimes under international law, including those time limitations applicable to civil claims and other procedures, should not be unduly restrictive.</w:t>
      </w:r>
    </w:p>
    <w:p>
      <w:pPr>
        <w:ind w:left="0" w:firstLine="0" w:hanging="0"/>
        <w:jc w:val="center"/>
      </w:pPr>
      <w:r>
        <w:rPr>
          <w:rFonts w:ascii="Times New Roman" w:hAnsi="굴림체" w:cs="굴림체" w:eastAsia="굴림체"/>
          <w:sz w:val="24"/>
        </w:rPr>
        <w:t>V. Victims of gross violations of international human rights law and serious violations of international humanitarian law</w:t>
      </w:r>
    </w:p>
    <w:p>
      <w:pPr>
        <w:ind w:left="0" w:firstLine="0" w:hanging="0"/>
        <w:jc w:val="left"/>
      </w:pPr>
      <w:r>
        <w:rPr>
          <w:rFonts w:ascii="Times New Roman" w:hAnsi="굴림체" w:cs="굴림체" w:eastAsia="굴림체"/>
          <w:sz w:val="24"/>
        </w:rPr>
        <w:t>8. For purposes of the present document, victims are persons who individually or collectively suffered harm, including physical or mental injury, emotional suffering, economic loss or substantial impairment of their fundamental rights, through acts or omissions that constitute gross violations of international human rights law, or serious violations of international humanitarian law. Where appropriate, and in accordance with domestic law, the term “victim” also includes the immediate family or dependants of the direct victim and persons who have suffered harm in intervening to assist victims in distress or to prevent victimization.</w:t>
      </w:r>
    </w:p>
    <w:p>
      <w:pPr>
        <w:ind w:left="0" w:firstLine="0" w:hanging="0"/>
        <w:jc w:val="left"/>
      </w:pPr>
      <w:r>
        <w:rPr>
          <w:rFonts w:ascii="Times New Roman" w:hAnsi="굴림체" w:cs="굴림체" w:eastAsia="굴림체"/>
          <w:sz w:val="24"/>
        </w:rPr>
        <w:t>9. A person shall be considered a victim regardless of whether the perpetrator of the violation is identified, apprehended, prosecuted, or convicted and regardless of the familial relationship between the perpetrator and the victim.</w:t>
      </w:r>
    </w:p>
    <w:p>
      <w:pPr>
        <w:ind w:left="0" w:firstLine="0" w:hanging="0"/>
        <w:jc w:val="center"/>
      </w:pPr>
      <w:r>
        <w:rPr>
          <w:rFonts w:ascii="Times New Roman" w:hAnsi="굴림체" w:cs="굴림체" w:eastAsia="굴림체"/>
          <w:sz w:val="24"/>
        </w:rPr>
        <w:t>VI. Treatment of victims</w:t>
      </w:r>
    </w:p>
    <w:p>
      <w:pPr>
        <w:ind w:left="0" w:firstLine="0" w:hanging="0"/>
        <w:jc w:val="left"/>
      </w:pPr>
      <w:r>
        <w:rPr>
          <w:rFonts w:ascii="Times New Roman" w:hAnsi="굴림체" w:cs="굴림체" w:eastAsia="굴림체"/>
          <w:sz w:val="24"/>
        </w:rPr>
        <w:t>10. Victims should be treated with humanity and respect for their dignity and human rights, and appropriate measures should be taken to ensure their safety, physical and psychological well-being and privacy, as well as those of their families. The State should ensure that its domestic laws, to the extent possible, provide that a victim who has suffered violence or trauma should benefit from special consideration and care to avoid his or her re-traumatization in the course of legal and administrative procedures designed to provide justice and reparation.</w:t>
      </w:r>
    </w:p>
    <w:p>
      <w:pPr>
        <w:ind w:left="0" w:firstLine="0" w:hanging="0"/>
        <w:jc w:val="center"/>
      </w:pPr>
      <w:r>
        <w:rPr>
          <w:rFonts w:ascii="Times New Roman" w:hAnsi="굴림체" w:cs="굴림체" w:eastAsia="굴림체"/>
          <w:sz w:val="24"/>
        </w:rPr>
        <w:t>VII. Victims’ right to remedies</w:t>
      </w:r>
    </w:p>
    <w:p>
      <w:pPr>
        <w:ind w:left="0" w:firstLine="0" w:hanging="0"/>
        <w:jc w:val="left"/>
      </w:pPr>
      <w:r>
        <w:rPr>
          <w:rFonts w:ascii="Times New Roman" w:hAnsi="굴림체" w:cs="굴림체" w:eastAsia="굴림체"/>
          <w:sz w:val="24"/>
        </w:rPr>
        <w:t>11. Remedies for gross violations of international human rights law and serious violations of international humanitarian law include the victim’s right to the following as provided for under international law:</w:t>
      </w:r>
    </w:p>
    <w:p>
      <w:pPr>
        <w:ind w:left="0" w:firstLine="0" w:hanging="0"/>
        <w:jc w:val="left"/>
      </w:pPr>
      <w:r>
        <w:rPr>
          <w:rFonts w:ascii="Times New Roman" w:hAnsi="굴림체" w:cs="굴림체" w:eastAsia="굴림체"/>
          <w:sz w:val="24"/>
        </w:rPr>
        <w:t xml:space="preserve">  (a) Equal and effective access to justice;</w:t>
      </w:r>
    </w:p>
    <w:p>
      <w:pPr>
        <w:ind w:left="0" w:firstLine="0" w:hanging="0"/>
        <w:jc w:val="left"/>
      </w:pPr>
      <w:r>
        <w:rPr>
          <w:rFonts w:ascii="Times New Roman" w:hAnsi="굴림체" w:cs="굴림체" w:eastAsia="굴림체"/>
          <w:sz w:val="24"/>
        </w:rPr>
        <w:t xml:space="preserve">  (b) Adequate, effective and prompt reparation for harm suffered;</w:t>
      </w:r>
    </w:p>
    <w:p>
      <w:pPr>
        <w:ind w:left="0" w:firstLine="0" w:hanging="0"/>
        <w:jc w:val="left"/>
      </w:pPr>
      <w:r>
        <w:rPr>
          <w:rFonts w:ascii="Times New Roman" w:hAnsi="굴림체" w:cs="굴림체" w:eastAsia="굴림체"/>
          <w:sz w:val="24"/>
        </w:rPr>
        <w:t xml:space="preserve">  (c) Access to relevant information concerning violations and reparation mechanisms.</w:t>
      </w:r>
    </w:p>
    <w:p>
      <w:pPr>
        <w:ind w:left="0" w:firstLine="0" w:hanging="0"/>
        <w:jc w:val="center"/>
      </w:pPr>
      <w:r>
        <w:rPr>
          <w:rFonts w:ascii="Times New Roman" w:hAnsi="굴림체" w:cs="굴림체" w:eastAsia="굴림체"/>
          <w:sz w:val="24"/>
        </w:rPr>
        <w:t>VIII. Access to justice</w:t>
      </w:r>
    </w:p>
    <w:p>
      <w:pPr>
        <w:ind w:left="0" w:firstLine="0" w:hanging="0"/>
        <w:jc w:val="left"/>
      </w:pPr>
      <w:r>
        <w:rPr>
          <w:rFonts w:ascii="Times New Roman" w:hAnsi="굴림체" w:cs="굴림체" w:eastAsia="굴림체"/>
          <w:sz w:val="24"/>
        </w:rPr>
        <w:t>12. A victim of a gross violation of international human rights law or of a serious violation of international humanitarian law shall have equal access to an effective judicial remedy as provided for under international law. Other remedies available to the victim include access to administrative and other bodies, as well as mechanisms, modalities and proceedings conducted in accordance with domestic law. Obligations arising under international law to secure the right to access justice and fair and impartial proceedings shall be reflected in domestic laws. To that end, States should:</w:t>
      </w:r>
    </w:p>
    <w:p>
      <w:pPr>
        <w:ind w:left="0" w:firstLine="0" w:hanging="0"/>
        <w:jc w:val="left"/>
      </w:pPr>
      <w:r>
        <w:rPr>
          <w:rFonts w:ascii="Times New Roman" w:hAnsi="굴림체" w:cs="굴림체" w:eastAsia="굴림체"/>
          <w:sz w:val="24"/>
        </w:rPr>
        <w:t xml:space="preserve">  (a) Disseminate, through public and private mechanisms, information about all available remedies for gross violations of international human rights law and serious violations of international humanitarian law;</w:t>
      </w:r>
    </w:p>
    <w:p>
      <w:pPr>
        <w:ind w:left="0" w:firstLine="0" w:hanging="0"/>
        <w:jc w:val="left"/>
      </w:pPr>
      <w:r>
        <w:rPr>
          <w:rFonts w:ascii="Times New Roman" w:hAnsi="굴림체" w:cs="굴림체" w:eastAsia="굴림체"/>
          <w:sz w:val="24"/>
        </w:rPr>
        <w:t xml:space="preserve">  (b) Take measures to minimize the inconvenience to victims and their representatives, protect against unlawful interference with their privacy as appropriate and ensure their safety from intimidation and retaliation, as well as that of their families and witnesses, before, during and after judicial, administrative, or other proceedings that affect the interests of victims;</w:t>
      </w:r>
    </w:p>
    <w:p>
      <w:pPr>
        <w:ind w:left="0" w:firstLine="0" w:hanging="0"/>
        <w:jc w:val="left"/>
      </w:pPr>
      <w:r>
        <w:rPr>
          <w:rFonts w:ascii="Times New Roman" w:hAnsi="굴림체" w:cs="굴림체" w:eastAsia="굴림체"/>
          <w:sz w:val="24"/>
        </w:rPr>
        <w:t xml:space="preserve">  (c) Provide proper assistance to victims seeking access to justice;</w:t>
      </w:r>
    </w:p>
    <w:p>
      <w:pPr>
        <w:ind w:left="0" w:firstLine="0" w:hanging="0"/>
        <w:jc w:val="left"/>
      </w:pPr>
      <w:r>
        <w:rPr>
          <w:rFonts w:ascii="Times New Roman" w:hAnsi="굴림체" w:cs="굴림체" w:eastAsia="굴림체"/>
          <w:sz w:val="24"/>
        </w:rPr>
        <w:t xml:space="preserve">  (d) Make available all appropriate legal, diplomatic and consular means to ensure that victims can exercise their rights to remedy for gross violations of international human rights law or serious violations of international humanitarian law.</w:t>
      </w:r>
    </w:p>
    <w:p>
      <w:pPr>
        <w:ind w:left="0" w:firstLine="0" w:hanging="0"/>
        <w:jc w:val="left"/>
      </w:pPr>
      <w:r>
        <w:rPr>
          <w:rFonts w:ascii="Times New Roman" w:hAnsi="굴림체" w:cs="굴림체" w:eastAsia="굴림체"/>
          <w:sz w:val="24"/>
        </w:rPr>
        <w:t>13. In addition to individual access to justice, States should endeavour to develop procedures to allow groups of victims to present claims for reparation and to receive reparation, as appropriate.</w:t>
      </w:r>
    </w:p>
    <w:p>
      <w:pPr>
        <w:ind w:left="0" w:firstLine="0" w:hanging="0"/>
        <w:jc w:val="left"/>
      </w:pPr>
      <w:r>
        <w:rPr>
          <w:rFonts w:ascii="Times New Roman" w:hAnsi="굴림체" w:cs="굴림체" w:eastAsia="굴림체"/>
          <w:sz w:val="24"/>
        </w:rPr>
        <w:t>14. An adequate, effective and prompt remedy for gross violations of international human rights law or serious violations of international humanitarian law should include all available and appropriate international processes in which a person may have legal standing and should be without prejudice to any other domestic remedies.</w:t>
      </w:r>
    </w:p>
    <w:p>
      <w:pPr>
        <w:ind w:left="0" w:firstLine="0" w:hanging="0"/>
        <w:jc w:val="center"/>
      </w:pPr>
      <w:r>
        <w:rPr>
          <w:rFonts w:ascii="Times New Roman" w:hAnsi="굴림체" w:cs="굴림체" w:eastAsia="굴림체"/>
          <w:sz w:val="24"/>
        </w:rPr>
        <w:t>IX. Reparation for harm suffered</w:t>
      </w:r>
    </w:p>
    <w:p>
      <w:pPr>
        <w:ind w:left="0" w:firstLine="0" w:hanging="0"/>
        <w:jc w:val="left"/>
      </w:pPr>
      <w:r>
        <w:rPr>
          <w:rFonts w:ascii="Times New Roman" w:hAnsi="굴림체" w:cs="굴림체" w:eastAsia="굴림체"/>
          <w:sz w:val="24"/>
        </w:rPr>
        <w:t>15. Adequate, effective and prompt reparation is intended to promote justice by redressing gross violations of international human rights law or serious violations of international humanitarian law. Reparation should be proportional to the gravity of the violations and the harm suffered. In accordance with its domestic laws and international legal obligations, a State shall provide reparation to victims for acts or omissions which can be attributed to the State and constitute gross violations of international human rights law or serious violations of international humanitarian law. In cases where a person, a legal person, or other entity is found liable for reparation to a victim, such party should provide reparation to the victim or compensate the State if the State has already provided reparation to the victim.</w:t>
      </w:r>
    </w:p>
    <w:p>
      <w:pPr>
        <w:ind w:left="0" w:firstLine="0" w:hanging="0"/>
        <w:jc w:val="left"/>
      </w:pPr>
      <w:r>
        <w:rPr>
          <w:rFonts w:ascii="Times New Roman" w:hAnsi="굴림체" w:cs="굴림체" w:eastAsia="굴림체"/>
          <w:sz w:val="24"/>
        </w:rPr>
        <w:t>16. States should endeavour to establish national programmes for reparation and other assistance to victims in the event that the parties liable for the harm suffered are unable or unwilling to meet their obligations.</w:t>
      </w:r>
    </w:p>
    <w:p>
      <w:pPr>
        <w:ind w:left="0" w:firstLine="0" w:hanging="0"/>
        <w:jc w:val="left"/>
      </w:pPr>
      <w:r>
        <w:rPr>
          <w:rFonts w:ascii="Times New Roman" w:hAnsi="굴림체" w:cs="굴림체" w:eastAsia="굴림체"/>
          <w:sz w:val="24"/>
        </w:rPr>
        <w:t>17. States shall, with respect to claims by victims, enforce domestic judgements for reparation against individuals or entities liable for the harm suffered and endeavour to enforce valid foreign legal judgements for reparation in accordance with domestic law and international legal obligations. To that end, States should provide under their domestic laws effective mechanisms for the enforcement of reparation judgements.</w:t>
      </w:r>
    </w:p>
    <w:p>
      <w:pPr>
        <w:ind w:left="0" w:firstLine="0" w:hanging="0"/>
        <w:jc w:val="left"/>
      </w:pPr>
      <w:r>
        <w:rPr>
          <w:rFonts w:ascii="Times New Roman" w:hAnsi="굴림체" w:cs="굴림체" w:eastAsia="굴림체"/>
          <w:sz w:val="24"/>
        </w:rPr>
        <w:t>18. In accordance with domestic law and international law, and taking account of individual circumstances, victims of gross violations of international human rights law and serious violations of international humanitarian law should, as appropriate and proportional to the gravity of the violation and the circumstances of each case, be provided with full and effective reparation, as laid out in principles 19 to 23, which include the following forms: restitution, compensation, rehabilitation, satisfaction and guarantees of non-repetition.</w:t>
      </w:r>
    </w:p>
    <w:p>
      <w:pPr>
        <w:ind w:left="0" w:firstLine="0" w:hanging="0"/>
        <w:jc w:val="left"/>
      </w:pPr>
      <w:r>
        <w:rPr>
          <w:rFonts w:ascii="Times New Roman" w:hAnsi="굴림체" w:cs="굴림체" w:eastAsia="굴림체"/>
          <w:sz w:val="24"/>
        </w:rPr>
        <w:t>19. Restitution should, whenever possible, restore the victim to the original situation before the gross violations of international human rights law or serious violations of international humanitarian law occurred. Restitution includes, as appropriate: restoration of liberty, enjoyment of human rights, identity, family life and citizenship, return to one’s place of residence, restoration of employment and return of property.</w:t>
      </w:r>
    </w:p>
    <w:p>
      <w:pPr>
        <w:ind w:left="0" w:firstLine="0" w:hanging="0"/>
        <w:jc w:val="left"/>
      </w:pPr>
      <w:r>
        <w:rPr>
          <w:rFonts w:ascii="Times New Roman" w:hAnsi="굴림체" w:cs="굴림체" w:eastAsia="굴림체"/>
          <w:sz w:val="24"/>
        </w:rPr>
        <w:t>20. Compensation should be provided for any economically assessable damage, as appropriate and proportional to the gravity of the violation and the circumstances of each case, resulting from gross violations of international human rights law and serious violations of international humanitarian law, such as:</w:t>
      </w:r>
    </w:p>
    <w:p>
      <w:pPr>
        <w:ind w:left="0" w:firstLine="0" w:hanging="0"/>
        <w:jc w:val="left"/>
      </w:pPr>
      <w:r>
        <w:rPr>
          <w:rFonts w:ascii="Times New Roman" w:hAnsi="굴림체" w:cs="굴림체" w:eastAsia="굴림체"/>
          <w:sz w:val="24"/>
        </w:rPr>
        <w:t xml:space="preserve">  (a) Physical or mental harm;</w:t>
      </w:r>
    </w:p>
    <w:p>
      <w:pPr>
        <w:ind w:left="0" w:firstLine="0" w:hanging="0"/>
        <w:jc w:val="left"/>
      </w:pPr>
      <w:r>
        <w:rPr>
          <w:rFonts w:ascii="Times New Roman" w:hAnsi="굴림체" w:cs="굴림체" w:eastAsia="굴림체"/>
          <w:sz w:val="24"/>
        </w:rPr>
        <w:t xml:space="preserve">  (b) Lost opportunities, including employment, education and social benefits;</w:t>
      </w:r>
    </w:p>
    <w:p>
      <w:pPr>
        <w:ind w:left="0" w:firstLine="0" w:hanging="0"/>
        <w:jc w:val="left"/>
      </w:pPr>
      <w:r>
        <w:rPr>
          <w:rFonts w:ascii="Times New Roman" w:hAnsi="굴림체" w:cs="굴림체" w:eastAsia="굴림체"/>
          <w:sz w:val="24"/>
        </w:rPr>
        <w:t xml:space="preserve">  (c) Material damages and loss of earnings, including loss of earning potential;</w:t>
      </w:r>
    </w:p>
    <w:p>
      <w:pPr>
        <w:ind w:left="0" w:firstLine="0" w:hanging="0"/>
        <w:jc w:val="left"/>
      </w:pPr>
      <w:r>
        <w:rPr>
          <w:rFonts w:ascii="Times New Roman" w:hAnsi="굴림체" w:cs="굴림체" w:eastAsia="굴림체"/>
          <w:sz w:val="24"/>
        </w:rPr>
        <w:t xml:space="preserve">  (d) Moral damage;</w:t>
      </w:r>
    </w:p>
    <w:p>
      <w:pPr>
        <w:ind w:left="0" w:firstLine="0" w:hanging="0"/>
        <w:jc w:val="left"/>
      </w:pPr>
      <w:r>
        <w:rPr>
          <w:rFonts w:ascii="Times New Roman" w:hAnsi="굴림체" w:cs="굴림체" w:eastAsia="굴림체"/>
          <w:sz w:val="24"/>
        </w:rPr>
        <w:t xml:space="preserve">  (e) Costs required for legal or expert assistance, medicine and medical services, and psychological and social services.</w:t>
      </w:r>
    </w:p>
    <w:p>
      <w:pPr>
        <w:ind w:left="0" w:firstLine="0" w:hanging="0"/>
        <w:jc w:val="left"/>
      </w:pPr>
      <w:r>
        <w:rPr>
          <w:rFonts w:ascii="Times New Roman" w:hAnsi="굴림체" w:cs="굴림체" w:eastAsia="굴림체"/>
          <w:sz w:val="24"/>
        </w:rPr>
        <w:t>21. Rehabilitation should include medical and psychological care as well as legal and social services.</w:t>
      </w:r>
    </w:p>
    <w:p>
      <w:pPr>
        <w:ind w:left="0" w:firstLine="0" w:hanging="0"/>
        <w:jc w:val="left"/>
      </w:pPr>
      <w:r>
        <w:rPr>
          <w:rFonts w:ascii="Times New Roman" w:hAnsi="굴림체" w:cs="굴림체" w:eastAsia="굴림체"/>
          <w:sz w:val="24"/>
        </w:rPr>
        <w:t>22. Satisfaction should include, where applicable, any or all of the following:</w:t>
      </w:r>
    </w:p>
    <w:p>
      <w:pPr>
        <w:ind w:left="0" w:firstLine="0" w:hanging="0"/>
        <w:jc w:val="left"/>
      </w:pPr>
      <w:r>
        <w:rPr>
          <w:rFonts w:ascii="Times New Roman" w:hAnsi="굴림체" w:cs="굴림체" w:eastAsia="굴림체"/>
          <w:sz w:val="24"/>
        </w:rPr>
        <w:t xml:space="preserve">  (a) Effective measures aimed at the cessation of continuing violations;</w:t>
      </w:r>
    </w:p>
    <w:p>
      <w:pPr>
        <w:ind w:left="0" w:firstLine="0" w:hanging="0"/>
        <w:jc w:val="left"/>
      </w:pPr>
      <w:r>
        <w:rPr>
          <w:rFonts w:ascii="Times New Roman" w:hAnsi="굴림체" w:cs="굴림체" w:eastAsia="굴림체"/>
          <w:sz w:val="24"/>
        </w:rPr>
        <w:t xml:space="preserve">  (b) Verification of the facts and full and public disclosure of the truth to the extent that such disclosure does not cause further harm or threaten the safety and interests of the victim, the victim’s relatives, witnesses, or persons who have intervened to assist the victim or prevent the occurrence of further violations;</w:t>
      </w:r>
    </w:p>
    <w:p>
      <w:pPr>
        <w:ind w:left="0" w:firstLine="0" w:hanging="0"/>
        <w:jc w:val="left"/>
      </w:pPr>
      <w:r>
        <w:rPr>
          <w:rFonts w:ascii="Times New Roman" w:hAnsi="굴림체" w:cs="굴림체" w:eastAsia="굴림체"/>
          <w:sz w:val="24"/>
        </w:rPr>
        <w:t xml:space="preserve">  (c) The search for the whereabouts of the disappeared, for the identities of the children abducted, and for the bodies of those killed, and assistance in the recovery, identification and reburial of the bodies in accordance with the expressed or presumed wish of the victims, or the cultural practices of the families and communities;</w:t>
      </w:r>
    </w:p>
    <w:p>
      <w:pPr>
        <w:ind w:left="0" w:firstLine="0" w:hanging="0"/>
        <w:jc w:val="left"/>
      </w:pPr>
      <w:r>
        <w:rPr>
          <w:rFonts w:ascii="Times New Roman" w:hAnsi="굴림체" w:cs="굴림체" w:eastAsia="굴림체"/>
          <w:sz w:val="24"/>
        </w:rPr>
        <w:t xml:space="preserve">  (d) An official declaration or a judicial decision restoring the dignity, the reputation and the rights of the victim and of persons closely connected with the victim;</w:t>
      </w:r>
    </w:p>
    <w:p>
      <w:pPr>
        <w:ind w:left="0" w:firstLine="0" w:hanging="0"/>
        <w:jc w:val="left"/>
      </w:pPr>
      <w:r>
        <w:rPr>
          <w:rFonts w:ascii="Times New Roman" w:hAnsi="굴림체" w:cs="굴림체" w:eastAsia="굴림체"/>
          <w:sz w:val="24"/>
        </w:rPr>
        <w:t xml:space="preserve">  (e) Public apology, including acknowledgement of the facts and acceptance of responsibility;</w:t>
      </w:r>
    </w:p>
    <w:p>
      <w:pPr>
        <w:ind w:left="0" w:firstLine="0" w:hanging="0"/>
        <w:jc w:val="left"/>
      </w:pPr>
      <w:r>
        <w:rPr>
          <w:rFonts w:ascii="Times New Roman" w:hAnsi="굴림체" w:cs="굴림체" w:eastAsia="굴림체"/>
          <w:sz w:val="24"/>
        </w:rPr>
        <w:t xml:space="preserve">  (f) Judicial and administrative sanctions against persons liable for the violations;</w:t>
      </w:r>
    </w:p>
    <w:p>
      <w:pPr>
        <w:ind w:left="0" w:firstLine="0" w:hanging="0"/>
        <w:jc w:val="left"/>
      </w:pPr>
      <w:r>
        <w:rPr>
          <w:rFonts w:ascii="Times New Roman" w:hAnsi="굴림체" w:cs="굴림체" w:eastAsia="굴림체"/>
          <w:sz w:val="24"/>
        </w:rPr>
        <w:t xml:space="preserve">  (g) Commemorations and tributes to the victims;</w:t>
      </w:r>
    </w:p>
    <w:p>
      <w:pPr>
        <w:ind w:left="0" w:firstLine="0" w:hanging="0"/>
        <w:jc w:val="left"/>
      </w:pPr>
      <w:r>
        <w:rPr>
          <w:rFonts w:ascii="Times New Roman" w:hAnsi="굴림체" w:cs="굴림체" w:eastAsia="굴림체"/>
          <w:sz w:val="24"/>
        </w:rPr>
        <w:t xml:space="preserve">  (h) Inclusion of an accurate account of the violations that occurred in international human rights law and international humanitarian law training and in educational material at all levels.</w:t>
      </w:r>
    </w:p>
    <w:p>
      <w:pPr>
        <w:ind w:left="0" w:firstLine="0" w:hanging="0"/>
        <w:jc w:val="left"/>
      </w:pPr>
      <w:r>
        <w:rPr>
          <w:rFonts w:ascii="Times New Roman" w:hAnsi="굴림체" w:cs="굴림체" w:eastAsia="굴림체"/>
          <w:sz w:val="24"/>
        </w:rPr>
        <w:t>23. Guarantees of non-repetition should include, where applicable, any or all of the following measures, which will also contribute to prevention:</w:t>
      </w:r>
    </w:p>
    <w:p>
      <w:pPr>
        <w:ind w:left="0" w:firstLine="0" w:hanging="0"/>
        <w:jc w:val="left"/>
      </w:pPr>
      <w:r>
        <w:rPr>
          <w:rFonts w:ascii="Times New Roman" w:hAnsi="굴림체" w:cs="굴림체" w:eastAsia="굴림체"/>
          <w:sz w:val="24"/>
        </w:rPr>
        <w:t xml:space="preserve">  (a) Ensuring effective civilian control of military and security forces;</w:t>
      </w:r>
    </w:p>
    <w:p>
      <w:pPr>
        <w:ind w:left="0" w:firstLine="0" w:hanging="0"/>
        <w:jc w:val="left"/>
      </w:pPr>
      <w:r>
        <w:rPr>
          <w:rFonts w:ascii="Times New Roman" w:hAnsi="굴림체" w:cs="굴림체" w:eastAsia="굴림체"/>
          <w:sz w:val="24"/>
        </w:rPr>
        <w:t xml:space="preserve">  (b) Ensuring that all civilian and military proceedings abide by international standards of due process, fairness and impartiality;</w:t>
      </w:r>
    </w:p>
    <w:p>
      <w:pPr>
        <w:ind w:left="0" w:firstLine="0" w:hanging="0"/>
        <w:jc w:val="left"/>
      </w:pPr>
      <w:r>
        <w:rPr>
          <w:rFonts w:ascii="Times New Roman" w:hAnsi="굴림체" w:cs="굴림체" w:eastAsia="굴림체"/>
          <w:sz w:val="24"/>
        </w:rPr>
        <w:t xml:space="preserve">  (c) Strengthening the independence of the judiciary;</w:t>
      </w:r>
    </w:p>
    <w:p>
      <w:pPr>
        <w:ind w:left="0" w:firstLine="0" w:hanging="0"/>
        <w:jc w:val="left"/>
      </w:pPr>
      <w:r>
        <w:rPr>
          <w:rFonts w:ascii="Times New Roman" w:hAnsi="굴림체" w:cs="굴림체" w:eastAsia="굴림체"/>
          <w:sz w:val="24"/>
        </w:rPr>
        <w:t xml:space="preserve">  (d) Protecting persons in the legal, medical and health-care professions, the media and other related professions, and human rights defenders;</w:t>
      </w:r>
    </w:p>
    <w:p>
      <w:pPr>
        <w:ind w:left="0" w:firstLine="0" w:hanging="0"/>
        <w:jc w:val="left"/>
      </w:pPr>
      <w:r>
        <w:rPr>
          <w:rFonts w:ascii="Times New Roman" w:hAnsi="굴림체" w:cs="굴림체" w:eastAsia="굴림체"/>
          <w:sz w:val="24"/>
        </w:rPr>
        <w:t xml:space="preserve">  (e) Providing, on a priority and continued basis, human rights and international humanitarian law education to all sectors of society and training for law enforcement officials as well as military and security forces;</w:t>
      </w:r>
    </w:p>
    <w:p>
      <w:pPr>
        <w:ind w:left="0" w:firstLine="0" w:hanging="0"/>
        <w:jc w:val="left"/>
      </w:pPr>
      <w:r>
        <w:rPr>
          <w:rFonts w:ascii="Times New Roman" w:hAnsi="굴림체" w:cs="굴림체" w:eastAsia="굴림체"/>
          <w:sz w:val="24"/>
        </w:rPr>
        <w:t xml:space="preserve">  (f) Promoting the observance of codes of conduct and ethical norms, in particular international standards, by public servants, including law enforcement, correctional, media, medical, psychological, social service and military personnel, as well as by economic enterprises;</w:t>
      </w:r>
    </w:p>
    <w:p>
      <w:pPr>
        <w:ind w:left="0" w:firstLine="0" w:hanging="0"/>
        <w:jc w:val="left"/>
      </w:pPr>
      <w:r>
        <w:rPr>
          <w:rFonts w:ascii="Times New Roman" w:hAnsi="굴림체" w:cs="굴림체" w:eastAsia="굴림체"/>
          <w:sz w:val="24"/>
        </w:rPr>
        <w:t xml:space="preserve">  (g) Promoting mechanisms for preventing and monitoring social conflicts and their resolution;</w:t>
      </w:r>
    </w:p>
    <w:p>
      <w:pPr>
        <w:ind w:left="0" w:firstLine="0" w:hanging="0"/>
        <w:jc w:val="left"/>
      </w:pPr>
      <w:r>
        <w:rPr>
          <w:rFonts w:ascii="Times New Roman" w:hAnsi="굴림체" w:cs="굴림체" w:eastAsia="굴림체"/>
          <w:sz w:val="24"/>
        </w:rPr>
        <w:t xml:space="preserve">  (h) Reviewing and reforming laws contributing to or allowing gross violations of international human rights law and serious violations of international humanitarian law.</w:t>
      </w:r>
    </w:p>
    <w:p>
      <w:pPr>
        <w:ind w:left="0" w:firstLine="0" w:hanging="0"/>
        <w:jc w:val="center"/>
      </w:pPr>
      <w:r>
        <w:rPr>
          <w:rFonts w:ascii="Times New Roman" w:hAnsi="굴림체" w:cs="굴림체" w:eastAsia="굴림체"/>
          <w:sz w:val="24"/>
        </w:rPr>
        <w:t>X. Access to relevant information concerning violations and reparation mechanisms</w:t>
      </w:r>
    </w:p>
    <w:p>
      <w:pPr>
        <w:ind w:left="0" w:firstLine="0" w:hanging="0"/>
        <w:jc w:val="left"/>
      </w:pPr>
      <w:r>
        <w:rPr>
          <w:rFonts w:ascii="Times New Roman" w:hAnsi="굴림체" w:cs="굴림체" w:eastAsia="굴림체"/>
          <w:sz w:val="24"/>
        </w:rPr>
        <w:t>24. States should develop means of informing the general public and, in particular, victims of gross violations of international human rights law and serious violations of international humanitarian law of the rights and remedies addressed by these Basic Principles and Guidelines and of all available legal, medical, psychological, social, administrative and all other services to which victims may have a right of access. Moreover, victims and their representatives should be entitled to seek and obtain information on the causes leading to their victimization and on the causes and conditions pertaining to the gross violations of international human rights law and serious violations of international humanitarian law and to learn the truth in regard to these violations.</w:t>
      </w:r>
    </w:p>
    <w:p>
      <w:pPr>
        <w:ind w:left="0" w:firstLine="0" w:hanging="0"/>
        <w:jc w:val="center"/>
      </w:pPr>
      <w:r>
        <w:rPr>
          <w:rFonts w:ascii="Times New Roman" w:hAnsi="굴림체" w:cs="굴림체" w:eastAsia="굴림체"/>
          <w:sz w:val="24"/>
        </w:rPr>
        <w:t>XI. Non-discrimination</w:t>
      </w:r>
    </w:p>
    <w:p>
      <w:pPr>
        <w:ind w:left="0" w:firstLine="0" w:hanging="0"/>
        <w:jc w:val="left"/>
      </w:pPr>
      <w:r>
        <w:rPr>
          <w:rFonts w:ascii="Times New Roman" w:hAnsi="굴림체" w:cs="굴림체" w:eastAsia="굴림체"/>
          <w:sz w:val="24"/>
        </w:rPr>
        <w:t>25. The application and interpretation of these Basic Principles and Guidelines must be consistent with international human rights law and international humanitarian law and be without any discrimination of any kind or on any ground, without exception.</w:t>
      </w:r>
    </w:p>
    <w:p>
      <w:pPr>
        <w:ind w:left="0" w:firstLine="0" w:hanging="0"/>
        <w:jc w:val="center"/>
      </w:pPr>
      <w:r>
        <w:rPr>
          <w:rFonts w:ascii="Times New Roman" w:hAnsi="굴림체" w:cs="굴림체" w:eastAsia="굴림체"/>
          <w:sz w:val="24"/>
        </w:rPr>
        <w:t>XII. Non-derogation</w:t>
      </w:r>
    </w:p>
    <w:p>
      <w:pPr>
        <w:ind w:left="0" w:firstLine="0" w:hanging="0"/>
        <w:jc w:val="left"/>
      </w:pPr>
      <w:r>
        <w:rPr>
          <w:rFonts w:ascii="Times New Roman" w:hAnsi="굴림체" w:cs="굴림체" w:eastAsia="굴림체"/>
          <w:sz w:val="24"/>
        </w:rPr>
        <w:t>26. Nothing in these Basic Principles and Guidelines shall be construed as restricting or derogating from any rights or obligations arising under domestic and international law. In particular, it is understood that the present Basic Principles and Guidelines are without prejudice to the right to a remedy and reparation for victims of all violations of international human rights law and international humanitarian law. It is further understood that these Basic Principles and Guidelines are without prejudice to special rules of international law.</w:t>
      </w:r>
    </w:p>
    <w:p>
      <w:pPr>
        <w:ind w:left="0" w:firstLine="0" w:hanging="0"/>
        <w:jc w:val="center"/>
      </w:pPr>
      <w:r>
        <w:rPr>
          <w:rFonts w:ascii="Times New Roman" w:hAnsi="굴림체" w:cs="굴림체" w:eastAsia="굴림체"/>
          <w:sz w:val="24"/>
        </w:rPr>
        <w:t>XIII. Rights of others</w:t>
      </w:r>
    </w:p>
    <w:p>
      <w:pPr>
        <w:ind w:left="0" w:firstLine="0" w:hanging="0"/>
        <w:jc w:val="left"/>
      </w:pPr>
      <w:r>
        <w:rPr>
          <w:rFonts w:ascii="Times New Roman" w:hAnsi="굴림체" w:cs="굴림체" w:eastAsia="굴림체"/>
          <w:sz w:val="24"/>
        </w:rPr>
        <w:t>27. Nothing in this document is to be construed as derogating from internationally or nationally protected rights of others, in particular the right of an accused person to benefit from applicable standards of due process.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Resolution 217 A (III).</w:t>
      </w:r>
    </w:p>
    <w:p>
      <w:pPr>
        <w:ind w:left="0" w:firstLine="0" w:hanging="0"/>
        <w:jc w:val="left"/>
      </w:pPr>
      <w:r>
        <w:rPr>
          <w:rFonts w:ascii="Times New Roman" w:hAnsi="굴림체" w:cs="굴림체" w:eastAsia="굴림체"/>
          <w:sz w:val="24"/>
        </w:rPr>
        <w:t>2. Resolution 2200 A (XXI), annex.</w:t>
      </w:r>
    </w:p>
    <w:p>
      <w:pPr>
        <w:ind w:left="0" w:firstLine="0" w:hanging="0"/>
        <w:jc w:val="left"/>
      </w:pPr>
      <w:r>
        <w:rPr>
          <w:rFonts w:ascii="Times New Roman" w:hAnsi="굴림체" w:cs="굴림체" w:eastAsia="굴림체"/>
          <w:sz w:val="24"/>
        </w:rPr>
        <w:t>3. Resolution 2106 A (XX), annex.</w:t>
      </w:r>
    </w:p>
    <w:p>
      <w:pPr>
        <w:ind w:left="0" w:firstLine="0" w:hanging="0"/>
        <w:jc w:val="left"/>
      </w:pPr>
      <w:r>
        <w:rPr>
          <w:rFonts w:ascii="Times New Roman" w:hAnsi="굴림체" w:cs="굴림체" w:eastAsia="굴림체"/>
          <w:sz w:val="24"/>
        </w:rPr>
        <w:t>4. United Nations, Treaty Series, vol. 1465, No. 24841.</w:t>
      </w:r>
    </w:p>
    <w:p>
      <w:pPr>
        <w:ind w:left="0" w:firstLine="0" w:hanging="0"/>
        <w:jc w:val="left"/>
      </w:pPr>
      <w:r>
        <w:rPr>
          <w:rFonts w:ascii="Times New Roman" w:hAnsi="굴림체" w:cs="굴림체" w:eastAsia="굴림체"/>
          <w:sz w:val="24"/>
        </w:rPr>
        <w:t>5. Ibid., vol. 1577, No. 27531.</w:t>
      </w:r>
    </w:p>
    <w:p>
      <w:pPr>
        <w:ind w:left="0" w:firstLine="0" w:hanging="0"/>
        <w:jc w:val="left"/>
      </w:pPr>
      <w:r>
        <w:rPr>
          <w:rFonts w:ascii="Times New Roman" w:hAnsi="굴림체" w:cs="굴림체" w:eastAsia="굴림체"/>
          <w:sz w:val="24"/>
        </w:rPr>
        <w:t>6. See Carnegie Endowment for International Peace, The Hague Conventions and Declarations of 1899 and 1907 (New York, Oxford University Press, 1915).</w:t>
      </w:r>
    </w:p>
    <w:p>
      <w:pPr>
        <w:ind w:left="0" w:firstLine="0" w:hanging="0"/>
        <w:jc w:val="left"/>
      </w:pPr>
      <w:r>
        <w:rPr>
          <w:rFonts w:ascii="Times New Roman" w:hAnsi="굴림체" w:cs="굴림체" w:eastAsia="굴림체"/>
          <w:sz w:val="24"/>
        </w:rPr>
        <w:t>7. United Nations, Treaty Series, vol. 1125, No. 17512.</w:t>
      </w:r>
    </w:p>
    <w:p>
      <w:pPr>
        <w:ind w:left="0" w:firstLine="0" w:hanging="0"/>
        <w:jc w:val="left"/>
      </w:pPr>
      <w:r>
        <w:rPr>
          <w:rFonts w:ascii="Times New Roman" w:hAnsi="굴림체" w:cs="굴림체" w:eastAsia="굴림체"/>
          <w:sz w:val="24"/>
        </w:rPr>
        <w:t>8. Official Records of the United Nations Diplomatic Conference of Plenipotentiaries on the Establishment of an International Criminal Court, Rome, 15 June–17 July 1998, vol. I: Final documents (United Nations publication, Sales No. E.02.I.5), sect. A.</w:t>
      </w:r>
    </w:p>
    <w:p>
      <w:pPr>
        <w:ind w:left="0" w:firstLine="0" w:hanging="0"/>
        <w:jc w:val="left"/>
      </w:pPr>
      <w:r>
        <w:rPr>
          <w:rFonts w:ascii="Times New Roman" w:hAnsi="굴림체" w:cs="굴림체" w:eastAsia="굴림체"/>
          <w:sz w:val="24"/>
        </w:rPr>
        <w:t>9. United Nations, Treaty Series, vol. 1520, No. 26363.</w:t>
      </w:r>
    </w:p>
    <w:p>
      <w:pPr>
        <w:ind w:left="0" w:firstLine="0" w:hanging="0"/>
        <w:jc w:val="left"/>
      </w:pPr>
      <w:r>
        <w:rPr>
          <w:rFonts w:ascii="Times New Roman" w:hAnsi="굴림체" w:cs="굴림체" w:eastAsia="굴림체"/>
          <w:sz w:val="24"/>
        </w:rPr>
        <w:t>10. Ibid., vol. 1144, No. 17955.</w:t>
      </w:r>
    </w:p>
    <w:p>
      <w:pPr>
        <w:ind w:left="0" w:firstLine="0" w:hanging="0"/>
        <w:jc w:val="left"/>
      </w:pPr>
      <w:r>
        <w:rPr>
          <w:rFonts w:ascii="Times New Roman" w:hAnsi="굴림체" w:cs="굴림체" w:eastAsia="굴림체"/>
          <w:sz w:val="24"/>
        </w:rPr>
        <w:t>11. Ibid., vol. 213, No. 2889.</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