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국제연합 초국가적 조직범죄 방지 협약을 보충하는 인신매매, 특히 여성과 아동의 인신매매 방지, 억제 및 처벌을 위한 의정서</w:t>
      </w:r>
    </w:p>
    <w:p>
      <w:pPr>
        <w:ind w:left="0" w:firstLine="0" w:hanging="0"/>
        <w:jc w:val="center"/>
      </w:pPr>
      <w:r>
        <w:rPr>
          <w:rFonts w:ascii="Times New Roman" w:hAnsi="굴림체" w:cs="굴림체" w:eastAsia="굴림체"/>
          <w:sz w:val="24"/>
        </w:rPr>
        <w:t>Protocol to Prevent, Suppress and Punish Trafficking in Persons Especially Women and Children, supplementing the United Nations Convention against Transnational Organized Crime</w:t>
      </w:r>
    </w:p>
    <w:p>
      <w:pPr>
        <w:ind w:left="0" w:firstLine="0" w:hanging="0"/>
        <w:jc w:val="center"/>
      </w:pPr>
      <w:r>
        <w:rPr>
          <w:rFonts w:ascii="Times New Roman" w:hAnsi="굴림체" w:cs="굴림체" w:eastAsia="굴림체"/>
          <w:sz w:val="20"/>
        </w:rPr>
        <w:t>adopted 2000. 11. 15. / enforced 2003. 12. 25.</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A/RES/55/25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Protocol to Prevent, Suppress and Punish Trafficking in Persons Especially Women and Children, supplementing the United Nations Convention against Transnational Organized Crime</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this Protocol,</w:t>
      </w:r>
    </w:p>
    <w:p>
      <w:pPr>
        <w:ind w:left="0" w:firstLine="0" w:hanging="0"/>
        <w:jc w:val="left"/>
      </w:pPr>
      <w:r>
        <w:rPr>
          <w:rFonts w:ascii="Times New Roman" w:hAnsi="굴림체" w:cs="굴림체" w:eastAsia="굴림체"/>
          <w:sz w:val="24"/>
        </w:rPr>
        <w:t>Declaring that effective action to prevent and combat trafficking in persons, especially women and children, requires a comprehensive international approach in the countries of origin, transit and destination that includes measures to prevent such trafficking, to punish the traffickers and to protect the victims of such trafficking, including by protecting their internationally recognized human rights,</w:t>
      </w:r>
    </w:p>
    <w:p>
      <w:pPr>
        <w:ind w:left="0" w:firstLine="0" w:hanging="0"/>
        <w:jc w:val="left"/>
      </w:pPr>
      <w:r>
        <w:rPr>
          <w:rFonts w:ascii="Times New Roman" w:hAnsi="굴림체" w:cs="굴림체" w:eastAsia="굴림체"/>
          <w:sz w:val="24"/>
        </w:rPr>
        <w:t>Taking into account the fact that, despite the existence of a variety of international instruments containing rules and practical measures to combat the exploitation of persons, especially women and children, there is no universal instrument that addresses all aspects of trafficking in persons,</w:t>
      </w:r>
    </w:p>
    <w:p>
      <w:pPr>
        <w:ind w:left="0" w:firstLine="0" w:hanging="0"/>
        <w:jc w:val="left"/>
      </w:pPr>
      <w:r>
        <w:rPr>
          <w:rFonts w:ascii="Times New Roman" w:hAnsi="굴림체" w:cs="굴림체" w:eastAsia="굴림체"/>
          <w:sz w:val="24"/>
        </w:rPr>
        <w:t>Concerned that, in the absence of such an instrument, persons who are vulnerable to trafficking will not be sufficiently protected,</w:t>
      </w:r>
    </w:p>
    <w:p>
      <w:pPr>
        <w:ind w:left="0" w:firstLine="0" w:hanging="0"/>
        <w:jc w:val="left"/>
      </w:pPr>
      <w:r>
        <w:rPr>
          <w:rFonts w:ascii="Times New Roman" w:hAnsi="굴림체" w:cs="굴림체" w:eastAsia="굴림체"/>
          <w:sz w:val="24"/>
        </w:rPr>
        <w:t>Recalling General Assembly resolution 53/111 of 9 December 1998, in which the Assembly decided to establish an open-ended intergovernmental ad hoc committee for the purpose of elaborating a comprehensive international convention against transnational organized crime and of discussing the elaboration of, inter alia, an international instrument addressing trafficking in women and children,</w:t>
      </w:r>
    </w:p>
    <w:p>
      <w:pPr>
        <w:ind w:left="0" w:firstLine="0" w:hanging="0"/>
        <w:jc w:val="left"/>
      </w:pPr>
      <w:r>
        <w:rPr>
          <w:rFonts w:ascii="Times New Roman" w:hAnsi="굴림체" w:cs="굴림체" w:eastAsia="굴림체"/>
          <w:sz w:val="24"/>
        </w:rPr>
        <w:t>Convinced that supplementing the United Nations Convention against Transnational Organized Crime with an international instrument for the prevention, suppression and punishment of trafficking in</w:t>
      </w:r>
    </w:p>
    <w:p>
      <w:pPr>
        <w:ind w:left="0" w:firstLine="0" w:hanging="0"/>
        <w:jc w:val="left"/>
      </w:pPr>
      <w:r>
        <w:rPr>
          <w:rFonts w:ascii="Times New Roman" w:hAnsi="굴림체" w:cs="굴림체" w:eastAsia="굴림체"/>
          <w:sz w:val="24"/>
        </w:rPr>
        <w:t>Have agreed as follows :</w:t>
      </w:r>
    </w:p>
    <w:p>
      <w:pPr>
        <w:ind w:left="0" w:firstLine="0" w:hanging="0"/>
        <w:jc w:val="center"/>
      </w:pPr>
      <w:r>
        <w:rPr>
          <w:rFonts w:ascii="Times New Roman" w:hAnsi="굴림체" w:cs="굴림체" w:eastAsia="굴림체"/>
          <w:sz w:val="24"/>
        </w:rPr>
        <w:t>I. General provisions</w:t>
      </w:r>
    </w:p>
    <w:p>
      <w:pPr>
        <w:ind w:left="0" w:firstLine="0" w:hanging="0"/>
        <w:jc w:val="center"/>
      </w:pPr>
      <w:r>
        <w:rPr>
          <w:rFonts w:ascii="Times New Roman" w:hAnsi="굴림체" w:cs="굴림체" w:eastAsia="굴림체"/>
          <w:sz w:val="24"/>
        </w:rPr>
        <w:t>Article 1 Relation with the United Nations Convention against Transnational Organized Crime</w:t>
      </w:r>
    </w:p>
    <w:p>
      <w:pPr>
        <w:ind w:left="0" w:firstLine="0" w:hanging="0"/>
        <w:jc w:val="left"/>
      </w:pPr>
      <w:r>
        <w:rPr>
          <w:rFonts w:ascii="Times New Roman" w:hAnsi="굴림체" w:cs="굴림체" w:eastAsia="굴림체"/>
          <w:sz w:val="24"/>
        </w:rPr>
        <w:t>1. This Protocol supplements the United Nations Convention against Transnational Organized Crime. It shall be interpreted together with the Convention.</w:t>
      </w:r>
    </w:p>
    <w:p>
      <w:pPr>
        <w:ind w:left="0" w:firstLine="0" w:hanging="0"/>
        <w:jc w:val="left"/>
      </w:pPr>
      <w:r>
        <w:rPr>
          <w:rFonts w:ascii="Times New Roman" w:hAnsi="굴림체" w:cs="굴림체" w:eastAsia="굴림체"/>
          <w:sz w:val="24"/>
        </w:rPr>
        <w:t>2. The provisions of the Convention shall apply, mutatis mutandis, to this Protocol unless otherwise provided herein.</w:t>
      </w:r>
    </w:p>
    <w:p>
      <w:pPr>
        <w:ind w:left="0" w:firstLine="0" w:hanging="0"/>
        <w:jc w:val="left"/>
      </w:pPr>
      <w:r>
        <w:rPr>
          <w:rFonts w:ascii="Times New Roman" w:hAnsi="굴림체" w:cs="굴림체" w:eastAsia="굴림체"/>
          <w:sz w:val="24"/>
        </w:rPr>
        <w:t>3. The offences established in accordance with article 5 of this Protocol shall be regarded as offences established in accordance with the Convention.</w:t>
      </w:r>
    </w:p>
    <w:p>
      <w:pPr>
        <w:ind w:left="0" w:firstLine="0" w:hanging="0"/>
        <w:jc w:val="center"/>
      </w:pPr>
      <w:r>
        <w:rPr>
          <w:rFonts w:ascii="Times New Roman" w:hAnsi="굴림체" w:cs="굴림체" w:eastAsia="굴림체"/>
          <w:sz w:val="24"/>
        </w:rPr>
        <w:t>Article 2 Statement of purpose</w:t>
      </w:r>
    </w:p>
    <w:p>
      <w:pPr>
        <w:ind w:left="0" w:firstLine="0" w:hanging="0"/>
        <w:jc w:val="left"/>
      </w:pPr>
      <w:r>
        <w:rPr>
          <w:rFonts w:ascii="Times New Roman" w:hAnsi="굴림체" w:cs="굴림체" w:eastAsia="굴림체"/>
          <w:sz w:val="24"/>
        </w:rPr>
        <w:t>The purposes of this Protocol are:</w:t>
      </w:r>
    </w:p>
    <w:p>
      <w:pPr>
        <w:ind w:left="0" w:firstLine="0" w:hanging="0"/>
        <w:jc w:val="left"/>
      </w:pPr>
      <w:r>
        <w:rPr>
          <w:rFonts w:ascii="Times New Roman" w:hAnsi="굴림체" w:cs="굴림체" w:eastAsia="굴림체"/>
          <w:sz w:val="24"/>
        </w:rPr>
        <w:t xml:space="preserve">  (a) To prevent and combat trafficking in persons, paying particular attention to women and children;</w:t>
      </w:r>
    </w:p>
    <w:p>
      <w:pPr>
        <w:ind w:left="0" w:firstLine="0" w:hanging="0"/>
        <w:jc w:val="left"/>
      </w:pPr>
      <w:r>
        <w:rPr>
          <w:rFonts w:ascii="Times New Roman" w:hAnsi="굴림체" w:cs="굴림체" w:eastAsia="굴림체"/>
          <w:sz w:val="24"/>
        </w:rPr>
        <w:t xml:space="preserve">  (b) To protect and assist the victims of such trafficking, with full respect for their human rights; and</w:t>
      </w:r>
    </w:p>
    <w:p>
      <w:pPr>
        <w:ind w:left="0" w:firstLine="0" w:hanging="0"/>
        <w:jc w:val="left"/>
      </w:pPr>
      <w:r>
        <w:rPr>
          <w:rFonts w:ascii="Times New Roman" w:hAnsi="굴림체" w:cs="굴림체" w:eastAsia="굴림체"/>
          <w:sz w:val="24"/>
        </w:rPr>
        <w:t xml:space="preserve">  (c) To promote cooperation among States Parties in order to meet those objectives.</w:t>
      </w:r>
    </w:p>
    <w:p>
      <w:pPr>
        <w:ind w:left="0" w:firstLine="0" w:hanging="0"/>
        <w:jc w:val="center"/>
      </w:pPr>
      <w:r>
        <w:rPr>
          <w:rFonts w:ascii="Times New Roman" w:hAnsi="굴림체" w:cs="굴림체" w:eastAsia="굴림체"/>
          <w:sz w:val="24"/>
        </w:rPr>
        <w:t>Article 3 Use of terms</w:t>
      </w:r>
    </w:p>
    <w:p>
      <w:pPr>
        <w:ind w:left="0" w:firstLine="0" w:hanging="0"/>
        <w:jc w:val="left"/>
      </w:pPr>
      <w:r>
        <w:rPr>
          <w:rFonts w:ascii="Times New Roman" w:hAnsi="굴림체" w:cs="굴림체" w:eastAsia="굴림체"/>
          <w:sz w:val="24"/>
        </w:rPr>
        <w:t>For the purposes of this Protocol:</w:t>
      </w:r>
    </w:p>
    <w:p>
      <w:pPr>
        <w:ind w:left="0" w:firstLine="0" w:hanging="0"/>
        <w:jc w:val="left"/>
      </w:pPr>
      <w:r>
        <w:rPr>
          <w:rFonts w:ascii="Times New Roman" w:hAnsi="굴림체" w:cs="굴림체" w:eastAsia="굴림체"/>
          <w:sz w:val="24"/>
        </w:rPr>
        <w:t xml:space="preserve">  (a) "Trafficking in persons" 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pPr>
        <w:ind w:left="0" w:firstLine="0" w:hanging="0"/>
        <w:jc w:val="left"/>
      </w:pPr>
      <w:r>
        <w:rPr>
          <w:rFonts w:ascii="Times New Roman" w:hAnsi="굴림체" w:cs="굴림체" w:eastAsia="굴림체"/>
          <w:sz w:val="24"/>
        </w:rPr>
        <w:t xml:space="preserve">  (b) The consent of a victim of trafficking in persons to the intended exploitation set forth in subparagraph (a) of this article shall be irrelevant where any of the means set forth in subparagraph (a) have been used;</w:t>
      </w:r>
    </w:p>
    <w:p>
      <w:pPr>
        <w:ind w:left="0" w:firstLine="0" w:hanging="0"/>
        <w:jc w:val="left"/>
      </w:pPr>
      <w:r>
        <w:rPr>
          <w:rFonts w:ascii="Times New Roman" w:hAnsi="굴림체" w:cs="굴림체" w:eastAsia="굴림체"/>
          <w:sz w:val="24"/>
        </w:rPr>
        <w:t xml:space="preserve">  (c) The recruitment, transportation, transfer, harbouring or receipt of a child for the purpose of exploitation shall be considered "trafficking in persons" even if this does not involve any of the means set forth in subparagraph (a) of this article;</w:t>
      </w:r>
    </w:p>
    <w:p>
      <w:pPr>
        <w:ind w:left="0" w:firstLine="0" w:hanging="0"/>
        <w:jc w:val="left"/>
      </w:pPr>
      <w:r>
        <w:rPr>
          <w:rFonts w:ascii="Times New Roman" w:hAnsi="굴림체" w:cs="굴림체" w:eastAsia="굴림체"/>
          <w:sz w:val="24"/>
        </w:rPr>
        <w:t xml:space="preserve">  (d) "Child" shall mean any person under eighteen years of age.</w:t>
      </w:r>
    </w:p>
    <w:p>
      <w:pPr>
        <w:ind w:left="0" w:firstLine="0" w:hanging="0"/>
        <w:jc w:val="center"/>
      </w:pPr>
      <w:r>
        <w:rPr>
          <w:rFonts w:ascii="Times New Roman" w:hAnsi="굴림체" w:cs="굴림체" w:eastAsia="굴림체"/>
          <w:sz w:val="24"/>
        </w:rPr>
        <w:t>Article 4 Scope of application</w:t>
      </w:r>
    </w:p>
    <w:p>
      <w:pPr>
        <w:ind w:left="0" w:firstLine="0" w:hanging="0"/>
        <w:jc w:val="left"/>
      </w:pPr>
      <w:r>
        <w:rPr>
          <w:rFonts w:ascii="Times New Roman" w:hAnsi="굴림체" w:cs="굴림체" w:eastAsia="굴림체"/>
          <w:sz w:val="24"/>
        </w:rPr>
        <w:t>This Protocol shall apply, except as otherwise stated herein, to the prevention, investigation and prosecution of the offences established in accordance with article 5 of this Protocol, where those offences are transnational in nature and involve an organized criminal group, as well as to the protection of victims of such offences.</w:t>
      </w:r>
    </w:p>
    <w:p>
      <w:pPr>
        <w:ind w:left="0" w:firstLine="0" w:hanging="0"/>
        <w:jc w:val="center"/>
      </w:pPr>
      <w:r>
        <w:rPr>
          <w:rFonts w:ascii="Times New Roman" w:hAnsi="굴림체" w:cs="굴림체" w:eastAsia="굴림체"/>
          <w:sz w:val="24"/>
        </w:rPr>
        <w:t>Article 5 Criminalization</w:t>
      </w:r>
    </w:p>
    <w:p>
      <w:pPr>
        <w:ind w:left="0" w:firstLine="0" w:hanging="0"/>
        <w:jc w:val="left"/>
      </w:pPr>
      <w:r>
        <w:rPr>
          <w:rFonts w:ascii="Times New Roman" w:hAnsi="굴림체" w:cs="굴림체" w:eastAsia="굴림체"/>
          <w:sz w:val="24"/>
        </w:rPr>
        <w:t>1. Each State Party shall adopt such legislative and other measures as may be necessary to establish as criminal offences the conduct set forth in article 3 of this Protocol, when committed intentionally.</w:t>
      </w:r>
    </w:p>
    <w:p>
      <w:pPr>
        <w:ind w:left="0" w:firstLine="0" w:hanging="0"/>
        <w:jc w:val="left"/>
      </w:pPr>
      <w:r>
        <w:rPr>
          <w:rFonts w:ascii="Times New Roman" w:hAnsi="굴림체" w:cs="굴림체" w:eastAsia="굴림체"/>
          <w:sz w:val="24"/>
        </w:rPr>
        <w:t>2. Each State Party shall also adopt such legislative and other measures as may be necessary to establish as criminal offences:</w:t>
      </w:r>
    </w:p>
    <w:p>
      <w:pPr>
        <w:ind w:left="0" w:firstLine="0" w:hanging="0"/>
        <w:jc w:val="left"/>
      </w:pPr>
      <w:r>
        <w:rPr>
          <w:rFonts w:ascii="Times New Roman" w:hAnsi="굴림체" w:cs="굴림체" w:eastAsia="굴림체"/>
          <w:sz w:val="24"/>
        </w:rPr>
        <w:t xml:space="preserve">  (a) Subject to the basic concepts of its legal system, attempting to commit an offence established in accordance with paragraph 1 of this article;</w:t>
      </w:r>
    </w:p>
    <w:p>
      <w:pPr>
        <w:ind w:left="0" w:firstLine="0" w:hanging="0"/>
        <w:jc w:val="left"/>
      </w:pPr>
      <w:r>
        <w:rPr>
          <w:rFonts w:ascii="Times New Roman" w:hAnsi="굴림체" w:cs="굴림체" w:eastAsia="굴림체"/>
          <w:sz w:val="24"/>
        </w:rPr>
        <w:t xml:space="preserve">  (b) Participating as an accomplice in an offence established in accordance with paragraph 1 of this article; and</w:t>
      </w:r>
    </w:p>
    <w:p>
      <w:pPr>
        <w:ind w:left="0" w:firstLine="0" w:hanging="0"/>
        <w:jc w:val="left"/>
      </w:pPr>
      <w:r>
        <w:rPr>
          <w:rFonts w:ascii="Times New Roman" w:hAnsi="굴림체" w:cs="굴림체" w:eastAsia="굴림체"/>
          <w:sz w:val="24"/>
        </w:rPr>
        <w:t xml:space="preserve">  (c) Organizing or directing other persons to commit an offence established in accordance with paragraph 1 of this article.</w:t>
      </w:r>
    </w:p>
    <w:p>
      <w:pPr>
        <w:ind w:left="0" w:firstLine="0" w:hanging="0"/>
        <w:jc w:val="center"/>
      </w:pPr>
      <w:r>
        <w:rPr>
          <w:rFonts w:ascii="Times New Roman" w:hAnsi="굴림체" w:cs="굴림체" w:eastAsia="굴림체"/>
          <w:sz w:val="24"/>
        </w:rPr>
        <w:t>II. Protection of victims of trafficking in persons</w:t>
      </w:r>
    </w:p>
    <w:p>
      <w:pPr>
        <w:ind w:left="0" w:firstLine="0" w:hanging="0"/>
        <w:jc w:val="center"/>
      </w:pPr>
      <w:r>
        <w:rPr>
          <w:rFonts w:ascii="Times New Roman" w:hAnsi="굴림체" w:cs="굴림체" w:eastAsia="굴림체"/>
          <w:sz w:val="24"/>
        </w:rPr>
        <w:t>Article 6 Assistance to and protection of victims of trafficking in persons</w:t>
      </w:r>
    </w:p>
    <w:p>
      <w:pPr>
        <w:ind w:left="0" w:firstLine="0" w:hanging="0"/>
        <w:jc w:val="left"/>
      </w:pPr>
      <w:r>
        <w:rPr>
          <w:rFonts w:ascii="Times New Roman" w:hAnsi="굴림체" w:cs="굴림체" w:eastAsia="굴림체"/>
          <w:sz w:val="24"/>
        </w:rPr>
        <w:t>4. In appropriate cases and to the extent possible under its domestic law, each State Party shall protect the privacy and identity of victims of trafficking in persons, including, inter alia, by making legal proceedings relating to such trafficking confidential.</w:t>
      </w:r>
    </w:p>
    <w:p>
      <w:pPr>
        <w:ind w:left="0" w:firstLine="0" w:hanging="0"/>
        <w:jc w:val="left"/>
      </w:pPr>
      <w:r>
        <w:rPr>
          <w:rFonts w:ascii="Times New Roman" w:hAnsi="굴림체" w:cs="굴림체" w:eastAsia="굴림체"/>
          <w:sz w:val="24"/>
        </w:rPr>
        <w:t>5. Each State Party shall ensure that its domestic legal or administrative system contains measures that provide to victims of trafficking in persons, in appropriate cases:</w:t>
      </w:r>
    </w:p>
    <w:p>
      <w:pPr>
        <w:ind w:left="0" w:firstLine="0" w:hanging="0"/>
        <w:jc w:val="left"/>
      </w:pPr>
      <w:r>
        <w:rPr>
          <w:rFonts w:ascii="Times New Roman" w:hAnsi="굴림체" w:cs="굴림체" w:eastAsia="굴림체"/>
          <w:sz w:val="24"/>
        </w:rPr>
        <w:t xml:space="preserve">  (a) Information on relevant court and administrative proceedings;</w:t>
      </w:r>
    </w:p>
    <w:p>
      <w:pPr>
        <w:ind w:left="0" w:firstLine="0" w:hanging="0"/>
        <w:jc w:val="left"/>
      </w:pPr>
      <w:r>
        <w:rPr>
          <w:rFonts w:ascii="Times New Roman" w:hAnsi="굴림체" w:cs="굴림체" w:eastAsia="굴림체"/>
          <w:sz w:val="24"/>
        </w:rPr>
        <w:t xml:space="preserve">  (b) Assistance to enable their views and concerns to be presented and considered at appropriate stages of criminal proceedings against offenders, in a manner not prejudicial to the rights of the defence.</w:t>
      </w:r>
    </w:p>
    <w:p>
      <w:pPr>
        <w:ind w:left="0" w:firstLine="0" w:hanging="0"/>
        <w:jc w:val="left"/>
      </w:pPr>
      <w:r>
        <w:rPr>
          <w:rFonts w:ascii="Times New Roman" w:hAnsi="굴림체" w:cs="굴림체" w:eastAsia="굴림체"/>
          <w:sz w:val="24"/>
        </w:rPr>
        <w:t>6. Each State Party shall consider implementing measures to provide for the physical, psychological and social recovery of victims of trafficking in persons, including, in appropriate cases, in cooperation with non-governmental organizations, other relevant organizations and other elements of civil society, and, in particular, the provision of:</w:t>
      </w:r>
    </w:p>
    <w:p>
      <w:pPr>
        <w:ind w:left="0" w:firstLine="0" w:hanging="0"/>
        <w:jc w:val="left"/>
      </w:pPr>
      <w:r>
        <w:rPr>
          <w:rFonts w:ascii="Times New Roman" w:hAnsi="굴림체" w:cs="굴림체" w:eastAsia="굴림체"/>
          <w:sz w:val="24"/>
        </w:rPr>
        <w:t xml:space="preserve">  (a) Appropriate housing;</w:t>
      </w:r>
    </w:p>
    <w:p>
      <w:pPr>
        <w:ind w:left="0" w:firstLine="0" w:hanging="0"/>
        <w:jc w:val="left"/>
      </w:pPr>
      <w:r>
        <w:rPr>
          <w:rFonts w:ascii="Times New Roman" w:hAnsi="굴림체" w:cs="굴림체" w:eastAsia="굴림체"/>
          <w:sz w:val="24"/>
        </w:rPr>
        <w:t xml:space="preserve">  (b) Counselling and information, in particular as regards their legal rights, in a language that the victims of trafficking in persons can understand;</w:t>
      </w:r>
    </w:p>
    <w:p>
      <w:pPr>
        <w:ind w:left="0" w:firstLine="0" w:hanging="0"/>
        <w:jc w:val="left"/>
      </w:pPr>
      <w:r>
        <w:rPr>
          <w:rFonts w:ascii="Times New Roman" w:hAnsi="굴림체" w:cs="굴림체" w:eastAsia="굴림체"/>
          <w:sz w:val="24"/>
        </w:rPr>
        <w:t xml:space="preserve">  (c) Medical, psychological and material assistance; and</w:t>
      </w:r>
    </w:p>
    <w:p>
      <w:pPr>
        <w:ind w:left="0" w:firstLine="0" w:hanging="0"/>
        <w:jc w:val="left"/>
      </w:pPr>
      <w:r>
        <w:rPr>
          <w:rFonts w:ascii="Times New Roman" w:hAnsi="굴림체" w:cs="굴림체" w:eastAsia="굴림체"/>
          <w:sz w:val="24"/>
        </w:rPr>
        <w:t xml:space="preserve">  (d) Employment, educational and training opportunities.</w:t>
      </w:r>
    </w:p>
    <w:p>
      <w:pPr>
        <w:ind w:left="0" w:firstLine="0" w:hanging="0"/>
        <w:jc w:val="left"/>
      </w:pPr>
      <w:r>
        <w:rPr>
          <w:rFonts w:ascii="Times New Roman" w:hAnsi="굴림체" w:cs="굴림체" w:eastAsia="굴림체"/>
          <w:sz w:val="24"/>
        </w:rPr>
        <w:t>7. Each State Party shall take into account, in applying the provisions of this article, the age, gender and special needs of victims of trafficking in persons, in particular the special needs of children, including appropriate housing, education and care.</w:t>
      </w:r>
    </w:p>
    <w:p>
      <w:pPr>
        <w:ind w:left="0" w:firstLine="0" w:hanging="0"/>
        <w:jc w:val="left"/>
      </w:pPr>
      <w:r>
        <w:rPr>
          <w:rFonts w:ascii="Times New Roman" w:hAnsi="굴림체" w:cs="굴림체" w:eastAsia="굴림체"/>
          <w:sz w:val="24"/>
        </w:rPr>
        <w:t>8. Each State Party shall endeavour to provide for the physical safety of victims of trafficking in persons while they are within its territory.</w:t>
      </w:r>
    </w:p>
    <w:p>
      <w:pPr>
        <w:ind w:left="0" w:firstLine="0" w:hanging="0"/>
        <w:jc w:val="left"/>
      </w:pPr>
      <w:r>
        <w:rPr>
          <w:rFonts w:ascii="Times New Roman" w:hAnsi="굴림체" w:cs="굴림체" w:eastAsia="굴림체"/>
          <w:sz w:val="24"/>
        </w:rPr>
        <w:t>9. Each State Party shall ensure that its domestic legal system contains measures that offer victims of trafficking in persons the possibility of obtaining compensation for damage suffered.</w:t>
      </w:r>
    </w:p>
    <w:p>
      <w:pPr>
        <w:ind w:left="0" w:firstLine="0" w:hanging="0"/>
        <w:jc w:val="center"/>
      </w:pPr>
      <w:r>
        <w:rPr>
          <w:rFonts w:ascii="Times New Roman" w:hAnsi="굴림체" w:cs="굴림체" w:eastAsia="굴림체"/>
          <w:sz w:val="24"/>
        </w:rPr>
        <w:t>Article 7 Status of victims of trafficking in persons in receiving States</w:t>
      </w:r>
    </w:p>
    <w:p>
      <w:pPr>
        <w:ind w:left="0" w:firstLine="0" w:hanging="0"/>
        <w:jc w:val="left"/>
      </w:pPr>
      <w:r>
        <w:rPr>
          <w:rFonts w:ascii="Times New Roman" w:hAnsi="굴림체" w:cs="굴림체" w:eastAsia="굴림체"/>
          <w:sz w:val="24"/>
        </w:rPr>
        <w:t>1. In addition to taking measures pursuant to article 6 of this Protocol, each State Party shall consider adopting legislative or other appropriate measures that permit victims of trafficking in persons to remain in its territory, temporarily or permanently, in appropriate cases.</w:t>
      </w:r>
    </w:p>
    <w:p>
      <w:pPr>
        <w:ind w:left="0" w:firstLine="0" w:hanging="0"/>
        <w:jc w:val="left"/>
      </w:pPr>
      <w:r>
        <w:rPr>
          <w:rFonts w:ascii="Times New Roman" w:hAnsi="굴림체" w:cs="굴림체" w:eastAsia="굴림체"/>
          <w:sz w:val="24"/>
        </w:rPr>
        <w:t>2. In implementing the provision contained in paragraph 1 of this article, each State Party shall give appropriate consideration to humanitarian and compassionate factors.</w:t>
      </w:r>
    </w:p>
    <w:p>
      <w:pPr>
        <w:ind w:left="0" w:firstLine="0" w:hanging="0"/>
        <w:jc w:val="center"/>
      </w:pPr>
      <w:r>
        <w:rPr>
          <w:rFonts w:ascii="Times New Roman" w:hAnsi="굴림체" w:cs="굴림체" w:eastAsia="굴림체"/>
          <w:sz w:val="24"/>
        </w:rPr>
        <w:t>Article 8 Repatriation of victims of trafficking in persons</w:t>
      </w:r>
    </w:p>
    <w:p>
      <w:pPr>
        <w:ind w:left="0" w:firstLine="0" w:hanging="0"/>
        <w:jc w:val="left"/>
      </w:pPr>
      <w:r>
        <w:rPr>
          <w:rFonts w:ascii="Times New Roman" w:hAnsi="굴림체" w:cs="굴림체" w:eastAsia="굴림체"/>
          <w:sz w:val="24"/>
        </w:rPr>
        <w:t>1. The State Party of which a victim of trafficking in persons is a national or in which the person had the right of permanent residence at the time of entry into the territory of the receiving State Party shall facilitate and accept, with due regard for the safety of that person, the return of that person without undue or unreasonable delay.</w:t>
      </w:r>
    </w:p>
    <w:p>
      <w:pPr>
        <w:ind w:left="0" w:firstLine="0" w:hanging="0"/>
        <w:jc w:val="left"/>
      </w:pPr>
      <w:r>
        <w:rPr>
          <w:rFonts w:ascii="Times New Roman" w:hAnsi="굴림체" w:cs="굴림체" w:eastAsia="굴림체"/>
          <w:sz w:val="24"/>
        </w:rPr>
        <w:t>2. When a State Party returns a victim of trafficking in persons to a State Party of which that person is a national or in which he or she had, at the time of entry into the territory of the receiving State Party, the right of permanent residence, such return shall be with due regard for the safety of that person and for the status of any legal proceedings related to the fact that the person is a victim of trafficking and shall preferably be voluntary.</w:t>
      </w:r>
    </w:p>
    <w:p>
      <w:pPr>
        <w:ind w:left="0" w:firstLine="0" w:hanging="0"/>
        <w:jc w:val="left"/>
      </w:pPr>
      <w:r>
        <w:rPr>
          <w:rFonts w:ascii="Times New Roman" w:hAnsi="굴림체" w:cs="굴림체" w:eastAsia="굴림체"/>
          <w:sz w:val="24"/>
        </w:rPr>
        <w:t>3. At the request of a receiving State Party, a requested State Party shall, without undue or unreasonable delay, verify whether a person who is a victim of trafficking in persons is its national or had the right of permanent residence in its territory at the time of entry into the territory of the receiving State Party.</w:t>
      </w:r>
    </w:p>
    <w:p>
      <w:pPr>
        <w:ind w:left="0" w:firstLine="0" w:hanging="0"/>
        <w:jc w:val="left"/>
      </w:pPr>
      <w:r>
        <w:rPr>
          <w:rFonts w:ascii="Times New Roman" w:hAnsi="굴림체" w:cs="굴림체" w:eastAsia="굴림체"/>
          <w:sz w:val="24"/>
        </w:rPr>
        <w:t>4. In order to facilitate the return of a victim of trafficking in persons who is without proper documentation, the State Party of which that person is a national or in which he or she had the right of permanent residence at the time of entry into the territory of the receiving State Party shall agree to issue, at the request of the receiving State Party, such travel documents or other authorization as may be necessary to enable the person to travel to and re-enter its territory.</w:t>
      </w:r>
    </w:p>
    <w:p>
      <w:pPr>
        <w:ind w:left="0" w:firstLine="0" w:hanging="0"/>
        <w:jc w:val="left"/>
      </w:pPr>
      <w:r>
        <w:rPr>
          <w:rFonts w:ascii="Times New Roman" w:hAnsi="굴림체" w:cs="굴림체" w:eastAsia="굴림체"/>
          <w:sz w:val="24"/>
        </w:rPr>
        <w:t>5. This article shall be without prejudice to any right afforded to victims of trafficking in persons by any domestic law of the receiving State Party.</w:t>
      </w:r>
    </w:p>
    <w:p>
      <w:pPr>
        <w:ind w:left="0" w:firstLine="0" w:hanging="0"/>
        <w:jc w:val="left"/>
      </w:pPr>
      <w:r>
        <w:rPr>
          <w:rFonts w:ascii="Times New Roman" w:hAnsi="굴림체" w:cs="굴림체" w:eastAsia="굴림체"/>
          <w:sz w:val="24"/>
        </w:rPr>
        <w:t>6. This article shall be without prejudice to any applicable bilateral or multilateral agreement or arrangement that governs, in whole or in part, the return of victims of trafficking in persons.</w:t>
      </w:r>
    </w:p>
    <w:p>
      <w:pPr>
        <w:ind w:left="0" w:firstLine="0" w:hanging="0"/>
        <w:jc w:val="center"/>
      </w:pPr>
      <w:r>
        <w:rPr>
          <w:rFonts w:ascii="Times New Roman" w:hAnsi="굴림체" w:cs="굴림체" w:eastAsia="굴림체"/>
          <w:sz w:val="24"/>
        </w:rPr>
        <w:t>III. Prevention, cooperation and other measures</w:t>
      </w:r>
    </w:p>
    <w:p>
      <w:pPr>
        <w:ind w:left="0" w:firstLine="0" w:hanging="0"/>
        <w:jc w:val="center"/>
      </w:pPr>
      <w:r>
        <w:rPr>
          <w:rFonts w:ascii="Times New Roman" w:hAnsi="굴림체" w:cs="굴림체" w:eastAsia="굴림체"/>
          <w:sz w:val="24"/>
        </w:rPr>
        <w:t>Article 9 Prevention of trafficking in persons</w:t>
      </w:r>
    </w:p>
    <w:p>
      <w:pPr>
        <w:ind w:left="0" w:firstLine="0" w:hanging="0"/>
        <w:jc w:val="left"/>
      </w:pPr>
      <w:r>
        <w:rPr>
          <w:rFonts w:ascii="Times New Roman" w:hAnsi="굴림체" w:cs="굴림체" w:eastAsia="굴림체"/>
          <w:sz w:val="24"/>
        </w:rPr>
        <w:t>1. States Parties shall establish comprehensive policies, programmes and other measures:</w:t>
      </w:r>
    </w:p>
    <w:p>
      <w:pPr>
        <w:ind w:left="0" w:firstLine="0" w:hanging="0"/>
        <w:jc w:val="left"/>
      </w:pPr>
      <w:r>
        <w:rPr>
          <w:rFonts w:ascii="Times New Roman" w:hAnsi="굴림체" w:cs="굴림체" w:eastAsia="굴림체"/>
          <w:sz w:val="24"/>
        </w:rPr>
        <w:t xml:space="preserve">  (a) To prevent and combat trafficking in persons; and</w:t>
      </w:r>
    </w:p>
    <w:p>
      <w:pPr>
        <w:ind w:left="0" w:firstLine="0" w:hanging="0"/>
        <w:jc w:val="left"/>
      </w:pPr>
      <w:r>
        <w:rPr>
          <w:rFonts w:ascii="Times New Roman" w:hAnsi="굴림체" w:cs="굴림체" w:eastAsia="굴림체"/>
          <w:sz w:val="24"/>
        </w:rPr>
        <w:t xml:space="preserve">  (b) To protect victims of trafficking in persons, especially women and children, from revictimization.</w:t>
      </w:r>
    </w:p>
    <w:p>
      <w:pPr>
        <w:ind w:left="0" w:firstLine="0" w:hanging="0"/>
        <w:jc w:val="left"/>
      </w:pPr>
      <w:r>
        <w:rPr>
          <w:rFonts w:ascii="Times New Roman" w:hAnsi="굴림체" w:cs="굴림체" w:eastAsia="굴림체"/>
          <w:sz w:val="24"/>
        </w:rPr>
        <w:t>2. States Parties shall endeavour to undertake measures such as research, information and mass media campaigns and social and economic initiatives to prevent and combat trafficking in persons.</w:t>
      </w:r>
    </w:p>
    <w:p>
      <w:pPr>
        <w:ind w:left="0" w:firstLine="0" w:hanging="0"/>
        <w:jc w:val="left"/>
      </w:pPr>
      <w:r>
        <w:rPr>
          <w:rFonts w:ascii="Times New Roman" w:hAnsi="굴림체" w:cs="굴림체" w:eastAsia="굴림체"/>
          <w:sz w:val="24"/>
        </w:rPr>
        <w:t>3. Policies, programmes and other measures established in accordance with this article shall, as appropriate, include cooperation with non-governmental organizations, other relevant organizations and other elements of civil society.</w:t>
      </w:r>
    </w:p>
    <w:p>
      <w:pPr>
        <w:ind w:left="0" w:firstLine="0" w:hanging="0"/>
        <w:jc w:val="left"/>
      </w:pPr>
      <w:r>
        <w:rPr>
          <w:rFonts w:ascii="Times New Roman" w:hAnsi="굴림체" w:cs="굴림체" w:eastAsia="굴림체"/>
          <w:sz w:val="24"/>
        </w:rPr>
        <w:t>4. States Parties shall take or strengthen measures, including through bilateral or multilateral cooperation, to alleviate the factors that make persons, especially women and children, vulnerable to trafficking, such as poverty, underdevelopment and lack of equal opportunity.</w:t>
      </w:r>
    </w:p>
    <w:p>
      <w:pPr>
        <w:ind w:left="0" w:firstLine="0" w:hanging="0"/>
        <w:jc w:val="left"/>
      </w:pPr>
      <w:r>
        <w:rPr>
          <w:rFonts w:ascii="Times New Roman" w:hAnsi="굴림체" w:cs="굴림체" w:eastAsia="굴림체"/>
          <w:sz w:val="24"/>
        </w:rPr>
        <w:t>5. States Parties shall adopt or strengthen legislative or other measures, such as educational, social or cultural measures, including through bilateral and multilateral cooperation, to discourage the demand that fosters all forms of exploitation of persons, especially women and children, that leads to trafficking.</w:t>
      </w:r>
    </w:p>
    <w:p>
      <w:pPr>
        <w:ind w:left="0" w:firstLine="0" w:hanging="0"/>
        <w:jc w:val="center"/>
      </w:pPr>
      <w:r>
        <w:rPr>
          <w:rFonts w:ascii="Times New Roman" w:hAnsi="굴림체" w:cs="굴림체" w:eastAsia="굴림체"/>
          <w:sz w:val="24"/>
        </w:rPr>
        <w:t>Article 10 Information exchange and training</w:t>
      </w:r>
    </w:p>
    <w:p>
      <w:pPr>
        <w:ind w:left="0" w:firstLine="0" w:hanging="0"/>
        <w:jc w:val="left"/>
      </w:pPr>
      <w:r>
        <w:rPr>
          <w:rFonts w:ascii="Times New Roman" w:hAnsi="굴림체" w:cs="굴림체" w:eastAsia="굴림체"/>
          <w:sz w:val="24"/>
        </w:rPr>
        <w:t>1. Law enforcement, immigration or other relevant authorities of States Parties shall, as appropriate, cooperate with one another by exchanging information, in accordance with their domestic law, to enable them to determine:</w:t>
      </w:r>
    </w:p>
    <w:p>
      <w:pPr>
        <w:ind w:left="0" w:firstLine="0" w:hanging="0"/>
        <w:jc w:val="left"/>
      </w:pPr>
      <w:r>
        <w:rPr>
          <w:rFonts w:ascii="Times New Roman" w:hAnsi="굴림체" w:cs="굴림체" w:eastAsia="굴림체"/>
          <w:sz w:val="24"/>
        </w:rPr>
        <w:t xml:space="preserve">  (a) Whether individuals crossing or attempting to cross an international border with travel documents belonging to other persons or without travel documents are perpetrators or victims of trafficking in persons;</w:t>
      </w:r>
    </w:p>
    <w:p>
      <w:pPr>
        <w:ind w:left="0" w:firstLine="0" w:hanging="0"/>
        <w:jc w:val="left"/>
      </w:pPr>
      <w:r>
        <w:rPr>
          <w:rFonts w:ascii="Times New Roman" w:hAnsi="굴림체" w:cs="굴림체" w:eastAsia="굴림체"/>
          <w:sz w:val="24"/>
        </w:rPr>
        <w:t xml:space="preserve">  (b) The types of travel document that individuals have used or attempted to use to cross an international border for the purpose of trafficking in persons; and</w:t>
      </w:r>
    </w:p>
    <w:p>
      <w:pPr>
        <w:ind w:left="0" w:firstLine="0" w:hanging="0"/>
        <w:jc w:val="left"/>
      </w:pPr>
      <w:r>
        <w:rPr>
          <w:rFonts w:ascii="Times New Roman" w:hAnsi="굴림체" w:cs="굴림체" w:eastAsia="굴림체"/>
          <w:sz w:val="24"/>
        </w:rPr>
        <w:t xml:space="preserve">  (c) The means and methods used by organized criminal groups for the purpose of trafficking in persons, including the recruitment and transportation of victims, routes and links between and among individuals and groups engaged in such rafficking, and possible measures for detecting them.</w:t>
      </w:r>
    </w:p>
    <w:p>
      <w:pPr>
        <w:ind w:left="0" w:firstLine="0" w:hanging="0"/>
        <w:jc w:val="left"/>
      </w:pPr>
      <w:r>
        <w:rPr>
          <w:rFonts w:ascii="Times New Roman" w:hAnsi="굴림체" w:cs="굴림체" w:eastAsia="굴림체"/>
          <w:sz w:val="24"/>
        </w:rPr>
        <w:t>2. States Parties shall provide or strengthen training for law enforcement, immigration and other relevant officials in the prevention of trafficking in persons. The training should focus on methods used in preventing such trafficking, prosecuting the traffickers and protecting the rights of the victims, including protecting the victims from the traffickers. The training should also take into account the need to consider human rights and child- and gender-sensitive issues and it should encourage cooperation with non- governmental organizations, other relevant organizations and other elements of civil society.</w:t>
      </w:r>
    </w:p>
    <w:p>
      <w:pPr>
        <w:ind w:left="0" w:firstLine="0" w:hanging="0"/>
        <w:jc w:val="left"/>
      </w:pPr>
      <w:r>
        <w:rPr>
          <w:rFonts w:ascii="Times New Roman" w:hAnsi="굴림체" w:cs="굴림체" w:eastAsia="굴림체"/>
          <w:sz w:val="24"/>
        </w:rPr>
        <w:t>3. A State Party that receives information shall comply with any request by the State Party that transmitted the information that places restrictions on its use.</w:t>
      </w:r>
    </w:p>
    <w:p>
      <w:pPr>
        <w:ind w:left="0" w:firstLine="0" w:hanging="0"/>
        <w:jc w:val="center"/>
      </w:pPr>
      <w:r>
        <w:rPr>
          <w:rFonts w:ascii="Times New Roman" w:hAnsi="굴림체" w:cs="굴림체" w:eastAsia="굴림체"/>
          <w:sz w:val="24"/>
        </w:rPr>
        <w:t>Article 11 Border measures</w:t>
      </w:r>
    </w:p>
    <w:p>
      <w:pPr>
        <w:ind w:left="0" w:firstLine="0" w:hanging="0"/>
        <w:jc w:val="left"/>
      </w:pPr>
      <w:r>
        <w:rPr>
          <w:rFonts w:ascii="Times New Roman" w:hAnsi="굴림체" w:cs="굴림체" w:eastAsia="굴림체"/>
          <w:sz w:val="24"/>
        </w:rPr>
        <w:t>1. Without prejudice to international commitments in relation to the free movement of people, States Parties shall strengthen, to the extent possible, such border controls as may be necessary to prevent and detect trafficking in persons.</w:t>
      </w:r>
    </w:p>
    <w:p>
      <w:pPr>
        <w:ind w:left="0" w:firstLine="0" w:hanging="0"/>
        <w:jc w:val="left"/>
      </w:pPr>
      <w:r>
        <w:rPr>
          <w:rFonts w:ascii="Times New Roman" w:hAnsi="굴림체" w:cs="굴림체" w:eastAsia="굴림체"/>
          <w:sz w:val="24"/>
        </w:rPr>
        <w:t>2. Each State Party shall adopt legislative or other appropriate measures to prevent, to the extent possible, means of transport operated by commercial carriers from being used in the commission of offences established in accordance with article 5 of this Protocol.</w:t>
      </w:r>
    </w:p>
    <w:p>
      <w:pPr>
        <w:ind w:left="0" w:firstLine="0" w:hanging="0"/>
        <w:jc w:val="left"/>
      </w:pPr>
      <w:r>
        <w:rPr>
          <w:rFonts w:ascii="Times New Roman" w:hAnsi="굴림체" w:cs="굴림체" w:eastAsia="굴림체"/>
          <w:sz w:val="24"/>
        </w:rPr>
        <w:t>3. Where appropriate, and without prejudice to applicable international conventions, such measures shall include establishing the obligation of commercial carriers, including any transportation company or the owner or operator of any means of transport, to ascertain that all passengers are in possession of the travel documents required for entry into the receiving State.</w:t>
      </w:r>
    </w:p>
    <w:p>
      <w:pPr>
        <w:ind w:left="0" w:firstLine="0" w:hanging="0"/>
        <w:jc w:val="left"/>
      </w:pPr>
      <w:r>
        <w:rPr>
          <w:rFonts w:ascii="Times New Roman" w:hAnsi="굴림체" w:cs="굴림체" w:eastAsia="굴림체"/>
          <w:sz w:val="24"/>
        </w:rPr>
        <w:t>4. Each State Party shall take the necessary measures, in accordance with its domestic law, to provide for sanctions in cases of violation of the obligation set forth in paragraph 3 of this article.</w:t>
      </w:r>
    </w:p>
    <w:p>
      <w:pPr>
        <w:ind w:left="0" w:firstLine="0" w:hanging="0"/>
        <w:jc w:val="left"/>
      </w:pPr>
      <w:r>
        <w:rPr>
          <w:rFonts w:ascii="Times New Roman" w:hAnsi="굴림체" w:cs="굴림체" w:eastAsia="굴림체"/>
          <w:sz w:val="24"/>
        </w:rPr>
        <w:t>5. Each State Party shall consider taking measures that permit, in accordance with its domestic law, the denial of entry or revocation of visas of persons implicated in the commission of offences established in accordance with this Protocol.</w:t>
      </w:r>
    </w:p>
    <w:p>
      <w:pPr>
        <w:ind w:left="0" w:firstLine="0" w:hanging="0"/>
        <w:jc w:val="left"/>
      </w:pPr>
      <w:r>
        <w:rPr>
          <w:rFonts w:ascii="Times New Roman" w:hAnsi="굴림체" w:cs="굴림체" w:eastAsia="굴림체"/>
          <w:sz w:val="24"/>
        </w:rPr>
        <w:t>6. Without prejudice to article 27 of the Convention, States Parties shall consider strengthening cooperation among border control agencies by, inter alia, establishing and maintaining direct channels of communication.</w:t>
      </w:r>
    </w:p>
    <w:p>
      <w:pPr>
        <w:ind w:left="0" w:firstLine="0" w:hanging="0"/>
        <w:jc w:val="center"/>
      </w:pPr>
      <w:r>
        <w:rPr>
          <w:rFonts w:ascii="Times New Roman" w:hAnsi="굴림체" w:cs="굴림체" w:eastAsia="굴림체"/>
          <w:sz w:val="24"/>
        </w:rPr>
        <w:t>Article 12 Security and control of documents</w:t>
      </w:r>
    </w:p>
    <w:p>
      <w:pPr>
        <w:ind w:left="0" w:firstLine="0" w:hanging="0"/>
        <w:jc w:val="left"/>
      </w:pPr>
      <w:r>
        <w:rPr>
          <w:rFonts w:ascii="Times New Roman" w:hAnsi="굴림체" w:cs="굴림체" w:eastAsia="굴림체"/>
          <w:sz w:val="24"/>
        </w:rPr>
        <w:t>Each State Party shall take such measures as may be necessary, within available means:</w:t>
      </w:r>
    </w:p>
    <w:p>
      <w:pPr>
        <w:ind w:left="0" w:firstLine="0" w:hanging="0"/>
        <w:jc w:val="left"/>
      </w:pPr>
      <w:r>
        <w:rPr>
          <w:rFonts w:ascii="Times New Roman" w:hAnsi="굴림체" w:cs="굴림체" w:eastAsia="굴림체"/>
          <w:sz w:val="24"/>
        </w:rPr>
        <w:t xml:space="preserve">  (a) To ensure that travel or identity documents issued by it are of such quality that they cannot easily be misused and cannot readily be falsified or unlawfully altered, replicated or issued; and</w:t>
      </w:r>
    </w:p>
    <w:p>
      <w:pPr>
        <w:ind w:left="0" w:firstLine="0" w:hanging="0"/>
        <w:jc w:val="left"/>
      </w:pPr>
      <w:r>
        <w:rPr>
          <w:rFonts w:ascii="Times New Roman" w:hAnsi="굴림체" w:cs="굴림체" w:eastAsia="굴림체"/>
          <w:sz w:val="24"/>
        </w:rPr>
        <w:t xml:space="preserve">  (b) To ensure the integrity and security of travel or identity documents issued by or on behalf of the State Party and to prevent their unlawful creation, issuance and use.</w:t>
      </w:r>
    </w:p>
    <w:p>
      <w:pPr>
        <w:ind w:left="0" w:firstLine="0" w:hanging="0"/>
        <w:jc w:val="center"/>
      </w:pPr>
      <w:r>
        <w:rPr>
          <w:rFonts w:ascii="Times New Roman" w:hAnsi="굴림체" w:cs="굴림체" w:eastAsia="굴림체"/>
          <w:sz w:val="24"/>
        </w:rPr>
        <w:t>Article 13 Legitimacy and validity of documents</w:t>
      </w:r>
    </w:p>
    <w:p>
      <w:pPr>
        <w:ind w:left="0" w:firstLine="0" w:hanging="0"/>
        <w:jc w:val="left"/>
      </w:pPr>
      <w:r>
        <w:rPr>
          <w:rFonts w:ascii="Times New Roman" w:hAnsi="굴림체" w:cs="굴림체" w:eastAsia="굴림체"/>
          <w:sz w:val="24"/>
        </w:rPr>
        <w:t>At the request of another State Party, a State Party shall, in accordance with its domestic law, verify within a reasonable time the legitimacy and validity of travel or identity documents issued or purported to have been issued in its name and suspected of being used for trafficking in persons.</w:t>
      </w:r>
    </w:p>
    <w:p>
      <w:pPr>
        <w:ind w:left="0" w:firstLine="0" w:hanging="0"/>
        <w:jc w:val="center"/>
      </w:pPr>
      <w:r>
        <w:rPr>
          <w:rFonts w:ascii="Times New Roman" w:hAnsi="굴림체" w:cs="굴림체" w:eastAsia="굴림체"/>
          <w:sz w:val="24"/>
        </w:rPr>
        <w:t>IV. Final provisions</w:t>
      </w:r>
    </w:p>
    <w:p>
      <w:pPr>
        <w:ind w:left="0" w:firstLine="0" w:hanging="0"/>
        <w:jc w:val="center"/>
      </w:pPr>
      <w:r>
        <w:rPr>
          <w:rFonts w:ascii="Times New Roman" w:hAnsi="굴림체" w:cs="굴림체" w:eastAsia="굴림체"/>
          <w:sz w:val="24"/>
        </w:rPr>
        <w:t>Article 14 Saving clause</w:t>
      </w:r>
    </w:p>
    <w:p>
      <w:pPr>
        <w:ind w:left="0" w:firstLine="0" w:hanging="0"/>
        <w:jc w:val="left"/>
      </w:pPr>
      <w:r>
        <w:rPr>
          <w:rFonts w:ascii="Times New Roman" w:hAnsi="굴림체" w:cs="굴림체" w:eastAsia="굴림체"/>
          <w:sz w:val="24"/>
        </w:rPr>
        <w:t>1. Nothing in this Protocol shall affect the rights, obligations and responsibilities of States and individuals under international law, including international humanitarian law and international human rights law and, in particular, where applicable, the 1951 Convention and the 1967 Protocol relating to the Status of Refugees and the principle of non-refoulement as contained therein.</w:t>
      </w:r>
    </w:p>
    <w:p>
      <w:pPr>
        <w:ind w:left="0" w:firstLine="0" w:hanging="0"/>
        <w:jc w:val="left"/>
      </w:pPr>
      <w:r>
        <w:rPr>
          <w:rFonts w:ascii="Times New Roman" w:hAnsi="굴림체" w:cs="굴림체" w:eastAsia="굴림체"/>
          <w:sz w:val="24"/>
        </w:rPr>
        <w:t>2. The measures set forth in this Protocol shall be interpreted and applied in a way that is not discriminatory to persons on the ground that they are victims of trafficking in persons. The interpretation and application of those measures shall be consistent with internationally recognized principles of non- discrimination.</w:t>
      </w:r>
    </w:p>
    <w:p>
      <w:pPr>
        <w:ind w:left="0" w:firstLine="0" w:hanging="0"/>
        <w:jc w:val="center"/>
      </w:pPr>
      <w:r>
        <w:rPr>
          <w:rFonts w:ascii="Times New Roman" w:hAnsi="굴림체" w:cs="굴림체" w:eastAsia="굴림체"/>
          <w:sz w:val="24"/>
        </w:rPr>
        <w:t>Article 15 Settlement of disputes</w:t>
      </w:r>
    </w:p>
    <w:p>
      <w:pPr>
        <w:ind w:left="0" w:firstLine="0" w:hanging="0"/>
        <w:jc w:val="left"/>
      </w:pPr>
      <w:r>
        <w:rPr>
          <w:rFonts w:ascii="Times New Roman" w:hAnsi="굴림체" w:cs="굴림체" w:eastAsia="굴림체"/>
          <w:sz w:val="24"/>
        </w:rPr>
        <w:t>1. States Parties shall endeavour to settle disputes concerning the interpretation or application of this Protocol through negotiation.</w:t>
      </w:r>
    </w:p>
    <w:p>
      <w:pPr>
        <w:ind w:left="0" w:firstLine="0" w:hanging="0"/>
        <w:jc w:val="left"/>
      </w:pPr>
      <w:r>
        <w:rPr>
          <w:rFonts w:ascii="Times New Roman" w:hAnsi="굴림체" w:cs="굴림체" w:eastAsia="굴림체"/>
          <w:sz w:val="24"/>
        </w:rPr>
        <w:t>2. Any dispute between two or more States Parties concerning the interpretation or application of this Protocol that cannot be settled through negotiation within a reasonable time shall, at the request of one of those States Parties, be submitted to arbitration. If, six months after the date of the request for arbitration, those States Parties are unable to agree on the organization of the arbitration, any one of those States Parties may refer the dispute to the International Court of Justice by request in accordance with the Statute of the Court.</w:t>
      </w:r>
    </w:p>
    <w:p>
      <w:pPr>
        <w:ind w:left="0" w:firstLine="0" w:hanging="0"/>
        <w:jc w:val="left"/>
      </w:pPr>
      <w:r>
        <w:rPr>
          <w:rFonts w:ascii="Times New Roman" w:hAnsi="굴림체" w:cs="굴림체" w:eastAsia="굴림체"/>
          <w:sz w:val="24"/>
        </w:rPr>
        <w:t>3. Each State Party may, at the time of signature, ratification, acceptance or approval of or accession to this Protocol, declare that it does not consider itself bound by paragraph 2 of this article. The other States Parties shall not be bound by paragraph 2 of this article with respect to any State Party that has made such a reservation.</w:t>
      </w:r>
    </w:p>
    <w:p>
      <w:pPr>
        <w:ind w:left="0" w:firstLine="0" w:hanging="0"/>
        <w:jc w:val="left"/>
      </w:pPr>
      <w:r>
        <w:rPr>
          <w:rFonts w:ascii="Times New Roman" w:hAnsi="굴림체" w:cs="굴림체" w:eastAsia="굴림체"/>
          <w:sz w:val="24"/>
        </w:rPr>
        <w:t>4. Any State Party that has made a reservation in accordance with paragraph 3 of this article may at any time withdraw that reservation by notification to the Secretary-General of the United Nations.</w:t>
      </w:r>
    </w:p>
    <w:p>
      <w:pPr>
        <w:ind w:left="0" w:firstLine="0" w:hanging="0"/>
        <w:jc w:val="center"/>
      </w:pPr>
      <w:r>
        <w:rPr>
          <w:rFonts w:ascii="Times New Roman" w:hAnsi="굴림체" w:cs="굴림체" w:eastAsia="굴림체"/>
          <w:sz w:val="24"/>
        </w:rPr>
        <w:t>Article 16 Signature, ratification, acceptance, approval and accession</w:t>
      </w:r>
    </w:p>
    <w:p>
      <w:pPr>
        <w:ind w:left="0" w:firstLine="0" w:hanging="0"/>
        <w:jc w:val="left"/>
      </w:pPr>
      <w:r>
        <w:rPr>
          <w:rFonts w:ascii="Times New Roman" w:hAnsi="굴림체" w:cs="굴림체" w:eastAsia="굴림체"/>
          <w:sz w:val="24"/>
        </w:rPr>
        <w:t>1. This Protocol shall be open to all States for signature from 12 to 15 December 2000 in Palermo, Italy, and thereafter at United Nations Headquarters in New York until 12 December 2002.</w:t>
      </w:r>
    </w:p>
    <w:p>
      <w:pPr>
        <w:ind w:left="0" w:firstLine="0" w:hanging="0"/>
        <w:jc w:val="left"/>
      </w:pPr>
      <w:r>
        <w:rPr>
          <w:rFonts w:ascii="Times New Roman" w:hAnsi="굴림체" w:cs="굴림체" w:eastAsia="굴림체"/>
          <w:sz w:val="24"/>
        </w:rPr>
        <w:t>2. This Protocol shall also be open for signature by regional economic integration organizations provided that at least one member State of such organization has signed this Protocol in accordance with paragraph 1 of this article.</w:t>
      </w:r>
    </w:p>
    <w:p>
      <w:pPr>
        <w:ind w:left="0" w:firstLine="0" w:hanging="0"/>
        <w:jc w:val="left"/>
      </w:pPr>
      <w:r>
        <w:rPr>
          <w:rFonts w:ascii="Times New Roman" w:hAnsi="굴림체" w:cs="굴림체" w:eastAsia="굴림체"/>
          <w:sz w:val="24"/>
        </w:rPr>
        <w:t>3. This Protocol is subject to ratification, acceptance or approval. Instruments of ratification, acceptance or approval shall be deposited with the Secretary-General of the United Nations. A regional economic integration organization may deposit its instrument of ratification, acceptance or approval if at least one of its member States has done likewise. In that instrument of ratification, acceptance or approval, such organization shall declare the extent of its competence with respect to the matters governed by this Protocol. Such organization shall also inform the depositary of any relevant modification in the extent of its competence.</w:t>
      </w:r>
    </w:p>
    <w:p>
      <w:pPr>
        <w:ind w:left="0" w:firstLine="0" w:hanging="0"/>
        <w:jc w:val="left"/>
      </w:pPr>
      <w:r>
        <w:rPr>
          <w:rFonts w:ascii="Times New Roman" w:hAnsi="굴림체" w:cs="굴림체" w:eastAsia="굴림체"/>
          <w:sz w:val="24"/>
        </w:rPr>
        <w:t>4. This Protocol is open for accession by any State or any regional economic integration organization of which at least one member State is a Party to this Protocol. Instruments of accession shall be deposited with the Secretary-General of the United Nations. At the time of its accession, a regional economic integration organization shall declare the extent of its competence with respect to matters governed by this Protocol. Such organization shall also inform the depositary of any relevant modification in the extent of its competence.</w:t>
      </w:r>
    </w:p>
    <w:p>
      <w:pPr>
        <w:ind w:left="0" w:firstLine="0" w:hanging="0"/>
        <w:jc w:val="center"/>
      </w:pPr>
      <w:r>
        <w:rPr>
          <w:rFonts w:ascii="Times New Roman" w:hAnsi="굴림체" w:cs="굴림체" w:eastAsia="굴림체"/>
          <w:sz w:val="24"/>
        </w:rPr>
        <w:t>Article 17 Entry into force</w:t>
      </w:r>
    </w:p>
    <w:p>
      <w:pPr>
        <w:ind w:left="0" w:firstLine="0" w:hanging="0"/>
        <w:jc w:val="left"/>
      </w:pPr>
      <w:r>
        <w:rPr>
          <w:rFonts w:ascii="Times New Roman" w:hAnsi="굴림체" w:cs="굴림체" w:eastAsia="굴림체"/>
          <w:sz w:val="24"/>
        </w:rPr>
        <w:t>1. This Protocol shall enter into force on the ninetieth day after the date of deposit of the fortieth instrument of ratification, acceptance, approval or accession, except that it shall not enter into force before the entry into force of the Convention. For the purpose of this paragraph, any instrument deposited by a regional economic integration organization shall not be counted as additional to those deposited by member States of such organization.</w:t>
      </w:r>
    </w:p>
    <w:p>
      <w:pPr>
        <w:ind w:left="0" w:firstLine="0" w:hanging="0"/>
        <w:jc w:val="left"/>
      </w:pPr>
      <w:r>
        <w:rPr>
          <w:rFonts w:ascii="Times New Roman" w:hAnsi="굴림체" w:cs="굴림체" w:eastAsia="굴림체"/>
          <w:sz w:val="24"/>
        </w:rPr>
        <w:t>2. For each State or regional economic integration organization ratifying, accepting, approving or acceding to this Protocol after the deposit of the fortieth instrument of such action, this Protocol shall enter into force on the thirtieth day after the date of deposit by such State or organization of the relevant instrument or on the date this Protocol enters into force pursuant to paragraph 1 of this article, whichever is the later.</w:t>
      </w:r>
    </w:p>
    <w:p>
      <w:pPr>
        <w:ind w:left="0" w:firstLine="0" w:hanging="0"/>
        <w:jc w:val="center"/>
      </w:pPr>
      <w:r>
        <w:rPr>
          <w:rFonts w:ascii="Times New Roman" w:hAnsi="굴림체" w:cs="굴림체" w:eastAsia="굴림체"/>
          <w:sz w:val="24"/>
        </w:rPr>
        <w:t>Article 18 Amendment</w:t>
      </w:r>
    </w:p>
    <w:p>
      <w:pPr>
        <w:ind w:left="0" w:firstLine="0" w:hanging="0"/>
        <w:jc w:val="left"/>
      </w:pPr>
      <w:r>
        <w:rPr>
          <w:rFonts w:ascii="Times New Roman" w:hAnsi="굴림체" w:cs="굴림체" w:eastAsia="굴림체"/>
          <w:sz w:val="24"/>
        </w:rPr>
        <w:t>1. After the expiry of five years from the entry into force of this Protocol, a State Party to the Protocol may propose an amendment and file it with the Secretary-General of the United Nations, who shall thereupon communicate the proposed amendment to the States Parties and to the Conference of the Parties to the Convention for the purpose of considering and deciding on the proposal. The States Parties to this Protocol meeting at the Conference of the Parties shall make every effort to achieve consensus on each amendment. If all efforts at consensus have been exhausted and no agreement has been reached, the amendment shall, as a last resort, require for its adoption a two-thirds majority vote of the States Parties to this Protocol present and voting at the meeting of the Conference of the Parties.</w:t>
      </w:r>
    </w:p>
    <w:p>
      <w:pPr>
        <w:ind w:left="0" w:firstLine="0" w:hanging="0"/>
        <w:jc w:val="left"/>
      </w:pPr>
      <w:r>
        <w:rPr>
          <w:rFonts w:ascii="Times New Roman" w:hAnsi="굴림체" w:cs="굴림체" w:eastAsia="굴림체"/>
          <w:sz w:val="24"/>
        </w:rPr>
        <w:t>2. Regional economic integration organizations, in matters within their competence, shall exercise their right to vote under this article with a number of votes equal to the number of their member States that are Parties to this Protocol. Such organizations shall not exercise their right to vote if their member States exercise theirs and vice versa.</w:t>
      </w:r>
    </w:p>
    <w:p>
      <w:pPr>
        <w:ind w:left="0" w:firstLine="0" w:hanging="0"/>
        <w:jc w:val="left"/>
      </w:pPr>
      <w:r>
        <w:rPr>
          <w:rFonts w:ascii="Times New Roman" w:hAnsi="굴림체" w:cs="굴림체" w:eastAsia="굴림체"/>
          <w:sz w:val="24"/>
        </w:rPr>
        <w:t>3. An amendment adopted in accordance with paragraph 1 of this article is subject to ratification, acceptance or approval by States Parties.</w:t>
      </w:r>
    </w:p>
    <w:p>
      <w:pPr>
        <w:ind w:left="0" w:firstLine="0" w:hanging="0"/>
        <w:jc w:val="left"/>
      </w:pPr>
      <w:r>
        <w:rPr>
          <w:rFonts w:ascii="Times New Roman" w:hAnsi="굴림체" w:cs="굴림체" w:eastAsia="굴림체"/>
          <w:sz w:val="24"/>
        </w:rPr>
        <w:t>4. An amendment adopted in accordance with paragraph 1 of this article shall enter into force in respect of a State Party ninety days after the date of the deposit with the Secretary-General of the United Nations of an instrument of ratification, acceptance or approval of such amendment.</w:t>
      </w:r>
    </w:p>
    <w:p>
      <w:pPr>
        <w:ind w:left="0" w:firstLine="0" w:hanging="0"/>
        <w:jc w:val="left"/>
      </w:pPr>
      <w:r>
        <w:rPr>
          <w:rFonts w:ascii="Times New Roman" w:hAnsi="굴림체" w:cs="굴림체" w:eastAsia="굴림체"/>
          <w:sz w:val="24"/>
        </w:rPr>
        <w:t>5. When an amendment enters into force, it shall be binding on those States Parties which have expressed their consent to be bound by it. Other States Parties shall still be bound by the provisions of this Protocol and any earlier amendments that they have ratified, accepted or approved.</w:t>
      </w:r>
    </w:p>
    <w:p>
      <w:pPr>
        <w:ind w:left="0" w:firstLine="0" w:hanging="0"/>
        <w:jc w:val="center"/>
      </w:pPr>
      <w:r>
        <w:rPr>
          <w:rFonts w:ascii="Times New Roman" w:hAnsi="굴림체" w:cs="굴림체" w:eastAsia="굴림체"/>
          <w:sz w:val="24"/>
        </w:rPr>
        <w:t>Article 19 Denunciation</w:t>
      </w:r>
    </w:p>
    <w:p>
      <w:pPr>
        <w:ind w:left="0" w:firstLine="0" w:hanging="0"/>
        <w:jc w:val="left"/>
      </w:pPr>
      <w:r>
        <w:rPr>
          <w:rFonts w:ascii="Times New Roman" w:hAnsi="굴림체" w:cs="굴림체" w:eastAsia="굴림체"/>
          <w:sz w:val="24"/>
        </w:rPr>
        <w:t>1. A State Party may denounce this Protocol by written notification to the Secretary-General of the United Nations. Such denunciation shall become effective one year after the date of receipt of the notification by the Secretary-General.</w:t>
      </w:r>
    </w:p>
    <w:p>
      <w:pPr>
        <w:ind w:left="0" w:firstLine="0" w:hanging="0"/>
        <w:jc w:val="left"/>
      </w:pPr>
      <w:r>
        <w:rPr>
          <w:rFonts w:ascii="Times New Roman" w:hAnsi="굴림체" w:cs="굴림체" w:eastAsia="굴림체"/>
          <w:sz w:val="24"/>
        </w:rPr>
        <w:t>2. A regional economic integration organization shall cease to be a Party to this Protocol when all of its member States have denounced it.</w:t>
      </w:r>
    </w:p>
    <w:p>
      <w:pPr>
        <w:ind w:left="0" w:firstLine="0" w:hanging="0"/>
        <w:jc w:val="center"/>
      </w:pPr>
      <w:r>
        <w:rPr>
          <w:rFonts w:ascii="Times New Roman" w:hAnsi="굴림체" w:cs="굴림체" w:eastAsia="굴림체"/>
          <w:sz w:val="24"/>
        </w:rPr>
        <w:t>Article 20 Depositary and languages</w:t>
      </w:r>
    </w:p>
    <w:p>
      <w:pPr>
        <w:ind w:left="0" w:firstLine="0" w:hanging="0"/>
        <w:jc w:val="left"/>
      </w:pPr>
      <w:r>
        <w:rPr>
          <w:rFonts w:ascii="Times New Roman" w:hAnsi="굴림체" w:cs="굴림체" w:eastAsia="굴림체"/>
          <w:sz w:val="24"/>
        </w:rPr>
        <w:t>1. The Secretary-General of the United Nations is designated depositary of this Protocol.</w:t>
      </w:r>
    </w:p>
    <w:p>
      <w:pPr>
        <w:ind w:left="0" w:firstLine="0" w:hanging="0"/>
        <w:jc w:val="left"/>
      </w:pPr>
      <w:r>
        <w:rPr>
          <w:rFonts w:ascii="Times New Roman" w:hAnsi="굴림체" w:cs="굴림체" w:eastAsia="굴림체"/>
          <w:sz w:val="24"/>
        </w:rPr>
        <w:t>2. The original of this Protocol, of which the Arabic, Chinese, English, French, Russian and Spanish texts are equally authentic, shall be deposited with the Secretary-General of the United Nations.</w:t>
      </w:r>
    </w:p>
    <w:p>
      <w:pPr>
        <w:ind w:left="0" w:firstLine="0" w:hanging="0"/>
        <w:jc w:val="left"/>
      </w:pPr>
      <w:r>
        <w:rPr>
          <w:rFonts w:ascii="Times New Roman" w:hAnsi="굴림체" w:cs="굴림체" w:eastAsia="굴림체"/>
          <w:sz w:val="24"/>
        </w:rPr>
        <w:t>In witness whereof, the undersigned plenipotentiaries, being duly authorized thereto by their respective Governments, have signed this Protocol.</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