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780" w:type="dxa"/>
        <w:tblLayout w:type="fixed"/>
        <w:tblCellMar>
          <w:left w:w="0" w:type="dxa"/>
          <w:right w:w="0" w:type="dxa"/>
        </w:tblCellMar>
        <w:tblLook w:val="01E0" w:firstRow="1" w:lastRow="1" w:firstColumn="1" w:lastColumn="1" w:noHBand="0" w:noVBand="0"/>
      </w:tblPr>
      <w:tblGrid>
        <w:gridCol w:w="1275"/>
        <w:gridCol w:w="2268"/>
        <w:gridCol w:w="3260"/>
        <w:gridCol w:w="2977"/>
      </w:tblGrid>
      <w:tr w:rsidR="005A0798" w:rsidTr="005A0798">
        <w:trPr>
          <w:cantSplit/>
          <w:trHeight w:hRule="exact" w:val="851"/>
        </w:trPr>
        <w:tc>
          <w:tcPr>
            <w:tcW w:w="1276" w:type="dxa"/>
            <w:tcBorders>
              <w:top w:val="nil"/>
              <w:left w:val="nil"/>
              <w:bottom w:val="single" w:sz="4" w:space="0" w:color="auto"/>
              <w:right w:val="nil"/>
            </w:tcBorders>
            <w:vAlign w:val="bottom"/>
          </w:tcPr>
          <w:p w:rsidR="005A0798" w:rsidRDefault="005A0798">
            <w:pPr>
              <w:spacing w:after="80"/>
            </w:pPr>
          </w:p>
        </w:tc>
        <w:tc>
          <w:tcPr>
            <w:tcW w:w="2268" w:type="dxa"/>
            <w:tcBorders>
              <w:top w:val="nil"/>
              <w:left w:val="nil"/>
              <w:bottom w:val="single" w:sz="4" w:space="0" w:color="auto"/>
              <w:right w:val="nil"/>
            </w:tcBorders>
            <w:vAlign w:val="bottom"/>
          </w:tcPr>
          <w:p w:rsidR="005A0798" w:rsidRDefault="005A0798">
            <w:pPr>
              <w:spacing w:after="80" w:line="300" w:lineRule="exact"/>
              <w:rPr>
                <w:b/>
                <w:sz w:val="24"/>
                <w:szCs w:val="24"/>
              </w:rPr>
            </w:pPr>
          </w:p>
        </w:tc>
        <w:tc>
          <w:tcPr>
            <w:tcW w:w="6237" w:type="dxa"/>
            <w:gridSpan w:val="2"/>
            <w:tcBorders>
              <w:top w:val="nil"/>
              <w:left w:val="nil"/>
              <w:bottom w:val="single" w:sz="4" w:space="0" w:color="auto"/>
              <w:right w:val="nil"/>
            </w:tcBorders>
            <w:vAlign w:val="bottom"/>
          </w:tcPr>
          <w:p w:rsidR="005A0798" w:rsidRDefault="005A0798">
            <w:pPr>
              <w:jc w:val="right"/>
            </w:pPr>
          </w:p>
        </w:tc>
      </w:tr>
      <w:tr w:rsidR="005A0798" w:rsidTr="005A0798">
        <w:trPr>
          <w:cantSplit/>
          <w:trHeight w:hRule="exact" w:val="2835"/>
        </w:trPr>
        <w:tc>
          <w:tcPr>
            <w:tcW w:w="1276" w:type="dxa"/>
            <w:tcBorders>
              <w:top w:val="single" w:sz="4" w:space="0" w:color="auto"/>
              <w:left w:val="nil"/>
              <w:bottom w:val="single" w:sz="12" w:space="0" w:color="auto"/>
              <w:right w:val="nil"/>
            </w:tcBorders>
          </w:tcPr>
          <w:p w:rsidR="005A0798" w:rsidRDefault="005A0798">
            <w:pPr>
              <w:spacing w:before="120"/>
            </w:pPr>
          </w:p>
        </w:tc>
        <w:tc>
          <w:tcPr>
            <w:tcW w:w="5528" w:type="dxa"/>
            <w:gridSpan w:val="2"/>
            <w:tcBorders>
              <w:top w:val="single" w:sz="4" w:space="0" w:color="auto"/>
              <w:left w:val="nil"/>
              <w:bottom w:val="single" w:sz="12" w:space="0" w:color="auto"/>
              <w:right w:val="nil"/>
            </w:tcBorders>
            <w:hideMark/>
          </w:tcPr>
          <w:p w:rsidR="005A0798" w:rsidRDefault="005A0798">
            <w:pPr>
              <w:spacing w:before="120" w:line="380" w:lineRule="exact"/>
              <w:rPr>
                <w:sz w:val="34"/>
              </w:rPr>
            </w:pPr>
            <w:r>
              <w:rPr>
                <w:sz w:val="34"/>
              </w:rPr>
              <w:t>ADVANCE UNEDITED VERSION</w:t>
            </w:r>
          </w:p>
        </w:tc>
        <w:tc>
          <w:tcPr>
            <w:tcW w:w="2977" w:type="dxa"/>
            <w:tcBorders>
              <w:top w:val="single" w:sz="4" w:space="0" w:color="auto"/>
              <w:left w:val="nil"/>
              <w:bottom w:val="single" w:sz="12" w:space="0" w:color="auto"/>
              <w:right w:val="nil"/>
            </w:tcBorders>
          </w:tcPr>
          <w:p w:rsidR="005A0798" w:rsidRDefault="005A0798">
            <w:pPr>
              <w:spacing w:line="240" w:lineRule="exact"/>
            </w:pPr>
          </w:p>
        </w:tc>
      </w:tr>
    </w:tbl>
    <w:p w:rsidR="005A0798" w:rsidRDefault="005A0798" w:rsidP="005A0798">
      <w:pPr>
        <w:spacing w:before="120"/>
        <w:rPr>
          <w:b/>
          <w:sz w:val="24"/>
          <w:szCs w:val="24"/>
        </w:rPr>
      </w:pPr>
      <w:r>
        <w:rPr>
          <w:b/>
          <w:sz w:val="24"/>
          <w:szCs w:val="24"/>
        </w:rPr>
        <w:t>Human Rights Committee</w:t>
      </w:r>
    </w:p>
    <w:p w:rsidR="005A0798" w:rsidRDefault="005A0798" w:rsidP="005A0798">
      <w:pPr>
        <w:rPr>
          <w:b/>
        </w:rPr>
      </w:pPr>
      <w:r>
        <w:rPr>
          <w:b/>
        </w:rPr>
        <w:t>115th session</w:t>
      </w:r>
    </w:p>
    <w:p w:rsidR="005A0798" w:rsidRDefault="005A0798" w:rsidP="005A0798">
      <w:r>
        <w:t>19 October–6 November 2015</w:t>
      </w:r>
    </w:p>
    <w:p w:rsidR="005A0798" w:rsidRDefault="005A0798" w:rsidP="005A0798">
      <w:r>
        <w:t>Item 5 of the provisional agenda</w:t>
      </w:r>
    </w:p>
    <w:p w:rsidR="005A0798" w:rsidRDefault="005A0798" w:rsidP="005A0798">
      <w:pPr>
        <w:rPr>
          <w:b/>
        </w:rPr>
      </w:pPr>
      <w:r>
        <w:rPr>
          <w:b/>
        </w:rPr>
        <w:t>Consideration of reports submitted by States parties</w:t>
      </w:r>
      <w:r>
        <w:rPr>
          <w:b/>
        </w:rPr>
        <w:br/>
        <w:t>under article 40 of the Covenant</w:t>
      </w:r>
    </w:p>
    <w:p w:rsidR="005A0798" w:rsidRDefault="005A0798" w:rsidP="005A0798">
      <w:pPr>
        <w:pStyle w:val="HChG"/>
      </w:pPr>
      <w:r>
        <w:tab/>
      </w:r>
      <w:r>
        <w:tab/>
        <w:t>List of issues in relation to the fourth periodic report of the Republic of Korea</w:t>
      </w:r>
    </w:p>
    <w:p w:rsidR="005A0798" w:rsidRDefault="005A0798" w:rsidP="005A0798">
      <w:pPr>
        <w:pStyle w:val="H23G"/>
      </w:pPr>
      <w:r>
        <w:tab/>
      </w:r>
      <w:r>
        <w:tab/>
        <w:t>Addendum</w:t>
      </w:r>
    </w:p>
    <w:p w:rsidR="005A0798" w:rsidRDefault="005A0798" w:rsidP="005A0798">
      <w:pPr>
        <w:pStyle w:val="HChG"/>
      </w:pPr>
      <w:r>
        <w:tab/>
      </w:r>
      <w:r>
        <w:tab/>
        <w:t>Replies of the Republic of Korea to the list of issues</w:t>
      </w:r>
      <w:r>
        <w:rPr>
          <w:rStyle w:val="FootnoteReference"/>
          <w:b w:val="0"/>
          <w:bCs/>
          <w:sz w:val="20"/>
        </w:rPr>
        <w:footnoteReference w:customMarkFollows="1" w:id="2"/>
        <w:t>*</w:t>
      </w:r>
    </w:p>
    <w:p w:rsidR="005A0798" w:rsidRDefault="005A0798" w:rsidP="005A0798">
      <w:pPr>
        <w:pStyle w:val="SingleTxtG"/>
        <w:jc w:val="right"/>
      </w:pPr>
      <w:r>
        <w:t>[Date received: 31 July 2015]</w:t>
      </w:r>
    </w:p>
    <w:p w:rsidR="005A0798" w:rsidRDefault="005A0798" w:rsidP="005A0798">
      <w:pPr>
        <w:pStyle w:val="H1G"/>
      </w:pPr>
      <w:r>
        <w:tab/>
      </w:r>
      <w:r>
        <w:tab/>
        <w:t>Issue 1</w:t>
      </w:r>
    </w:p>
    <w:p w:rsidR="005A0798" w:rsidRDefault="005A0798" w:rsidP="005A0798">
      <w:pPr>
        <w:pStyle w:val="SingleTxtG"/>
      </w:pPr>
      <w:r>
        <w:t>1.</w:t>
      </w:r>
      <w:r>
        <w:tab/>
        <w:t xml:space="preserve">As the Government of the Republic of Korea </w:t>
      </w:r>
      <w:r>
        <w:rPr>
          <w:szCs w:val="24"/>
        </w:rPr>
        <w:t>reiterates its position</w:t>
      </w:r>
      <w:r>
        <w:t xml:space="preserve"> in Paragraph 276 of the initial report and Paragraphs 311-314 of the fourth periodic report, the prohibition of public officials of grade 5 or above from joining trade unions </w:t>
      </w:r>
      <w:r>
        <w:rPr>
          <w:szCs w:val="24"/>
        </w:rPr>
        <w:t>has due reasons. They</w:t>
      </w:r>
      <w:r>
        <w:t xml:space="preserve"> generally engage in policy making</w:t>
      </w:r>
      <w:r>
        <w:rPr>
          <w:szCs w:val="24"/>
        </w:rPr>
        <w:t xml:space="preserve"> process and</w:t>
      </w:r>
      <w:r>
        <w:t xml:space="preserve"> carry out the role of directing and supervising </w:t>
      </w:r>
      <w:r>
        <w:rPr>
          <w:szCs w:val="24"/>
        </w:rPr>
        <w:t xml:space="preserve">lower ranking </w:t>
      </w:r>
      <w:r>
        <w:t xml:space="preserve">officials, and are thereby included in the employer category. </w:t>
      </w:r>
      <w:r>
        <w:rPr>
          <w:szCs w:val="24"/>
        </w:rPr>
        <w:t>Therefore</w:t>
      </w:r>
      <w:r>
        <w:t xml:space="preserve"> the Government </w:t>
      </w:r>
      <w:r>
        <w:rPr>
          <w:szCs w:val="24"/>
        </w:rPr>
        <w:t xml:space="preserve">finds it difficult </w:t>
      </w:r>
      <w:r>
        <w:t xml:space="preserve">to withdraw </w:t>
      </w:r>
      <w:r>
        <w:rPr>
          <w:szCs w:val="24"/>
        </w:rPr>
        <w:t>the</w:t>
      </w:r>
      <w:r>
        <w:t xml:space="preserve"> reservation to Article 22 of the Covenant. </w:t>
      </w:r>
    </w:p>
    <w:p w:rsidR="005A0798" w:rsidRDefault="005A0798" w:rsidP="005A0798">
      <w:pPr>
        <w:pStyle w:val="SingleTxtG"/>
      </w:pPr>
      <w:r>
        <w:t>2.</w:t>
      </w:r>
      <w:r>
        <w:tab/>
      </w:r>
      <w:r>
        <w:rPr>
          <w:szCs w:val="24"/>
        </w:rPr>
        <w:t>Having conducted research and broad consultations on ways to implement the Committee’s Views, as</w:t>
      </w:r>
      <w:r>
        <w:t xml:space="preserve"> mentioned in </w:t>
      </w:r>
      <w:r>
        <w:rPr>
          <w:szCs w:val="24"/>
        </w:rPr>
        <w:t>Paragraph</w:t>
      </w:r>
      <w:r>
        <w:t xml:space="preserve"> 29 of the fourth periodic report, the Government </w:t>
      </w:r>
      <w:r>
        <w:rPr>
          <w:szCs w:val="24"/>
        </w:rPr>
        <w:t>has found</w:t>
      </w:r>
      <w:r>
        <w:t xml:space="preserve"> it difficult to </w:t>
      </w:r>
      <w:r>
        <w:rPr>
          <w:szCs w:val="24"/>
        </w:rPr>
        <w:t>recognize</w:t>
      </w:r>
      <w:r>
        <w:t xml:space="preserve"> direct legal effect </w:t>
      </w:r>
      <w:r>
        <w:rPr>
          <w:szCs w:val="24"/>
        </w:rPr>
        <w:t>of</w:t>
      </w:r>
      <w:r>
        <w:t xml:space="preserve"> the </w:t>
      </w:r>
      <w:r>
        <w:rPr>
          <w:szCs w:val="24"/>
        </w:rPr>
        <w:t>Views</w:t>
      </w:r>
      <w:r>
        <w:t xml:space="preserve">. Nonetheless, the Government continues to </w:t>
      </w:r>
      <w:r>
        <w:rPr>
          <w:szCs w:val="24"/>
        </w:rPr>
        <w:t>examine how to implement the Views, which encompasses</w:t>
      </w:r>
      <w:r>
        <w:t xml:space="preserve"> various measures including </w:t>
      </w:r>
      <w:r>
        <w:rPr>
          <w:szCs w:val="24"/>
        </w:rPr>
        <w:t>amendment of relevant laws</w:t>
      </w:r>
      <w:r>
        <w:t xml:space="preserve">, compensation, return of articles, cancellation of criminal records, and amnesty. In the meantime, every decision was translated into Korean and published in the official gazette and the website. The author of the communication No. 1908/2009 has been granted a legitimate visa status. </w:t>
      </w:r>
    </w:p>
    <w:p w:rsidR="005A0798" w:rsidRDefault="005A0798" w:rsidP="005A0798">
      <w:pPr>
        <w:pStyle w:val="H1G"/>
      </w:pPr>
      <w:r>
        <w:lastRenderedPageBreak/>
        <w:tab/>
      </w:r>
      <w:r>
        <w:tab/>
        <w:t>Issue 2</w:t>
      </w:r>
    </w:p>
    <w:p w:rsidR="005A0798" w:rsidRDefault="005A0798" w:rsidP="005A0798">
      <w:pPr>
        <w:pStyle w:val="SingleTxtG"/>
      </w:pPr>
      <w:r>
        <w:t>3.</w:t>
      </w:r>
      <w:r>
        <w:tab/>
        <w:t>To address the concerns, the National Human Rights Commission of Korea (NHRCK) has taken several measures. First, the NHRCK drafted the Partial Amendment to the National Human Rights Commission Act, which includes more specific provisions regarding the procedures for selection and appointment of members of NHRCK, membership qualification and criteria for candidates. The NHRCK recommended this draft Amendment to the Speaker of National Assembly and Prime Minister for their review. As of July 2015, the draft Amendment is currently under review by the relevant ministries. Second, the NHRCK recommended Guidelines on Selection and Appointment of Members of the NHRCK to the relevant authorities involved in the selection process, so that they set forth their own regulations accordingly. Third, the NHRCK introduced a new internal regulation in 2014, which enables the NHRCK to publicize vacancies of the members three months prior to the event, receive recommendations on candidates from the general public, and deliver them to the appointing authorities.</w:t>
      </w:r>
    </w:p>
    <w:p w:rsidR="005A0798" w:rsidRDefault="005A0798" w:rsidP="005A0798">
      <w:pPr>
        <w:pStyle w:val="H1G"/>
      </w:pPr>
      <w:r>
        <w:tab/>
      </w:r>
      <w:r>
        <w:tab/>
        <w:t xml:space="preserve">Issue 3 </w:t>
      </w:r>
    </w:p>
    <w:p w:rsidR="005A0798" w:rsidRDefault="005A0798" w:rsidP="005A0798">
      <w:pPr>
        <w:pStyle w:val="SingleTxtG"/>
      </w:pPr>
      <w:r>
        <w:t>4.</w:t>
      </w:r>
      <w:r>
        <w:tab/>
        <w:t>In general, all businesses domiciled in Korea may be held liable for torts regarding human rights violations that occur in the course of their domestic and overseas activities. Overseas Korean businesses or a Korean employee affiliated with the business may be criminally liable if their actions committed abroad are a crime under the</w:t>
      </w:r>
      <w:r>
        <w:rPr>
          <w:i/>
        </w:rPr>
        <w:t xml:space="preserve"> Criminal Act</w:t>
      </w:r>
      <w:r>
        <w:t xml:space="preserve"> or the special criminal laws. Corporations may also be held responsible in cases where joint penalty is prescribed. Currently, the Government has no plans to adopt a separate law to regulate the activities of corporations regarding human rights standards. However, the Ministry of Trade, Industry, and Energy has installed a national contact point for the implementation of the </w:t>
      </w:r>
      <w:r>
        <w:rPr>
          <w:highlight w:val="white"/>
        </w:rPr>
        <w:t xml:space="preserve">OECD Guidelines for Multinational Enterprises and operates an arbitration committee while educating companies about their responsibility to conform to standards regarding human rights, labor, and environmental protection. </w:t>
      </w:r>
    </w:p>
    <w:p w:rsidR="005A0798" w:rsidRDefault="005A0798" w:rsidP="005A0798">
      <w:pPr>
        <w:pStyle w:val="SingleTxtG"/>
        <w:rPr>
          <w:highlight w:val="white"/>
        </w:rPr>
      </w:pPr>
      <w:r>
        <w:rPr>
          <w:highlight w:val="white"/>
        </w:rPr>
        <w:t>5.</w:t>
      </w:r>
      <w:r>
        <w:rPr>
          <w:highlight w:val="white"/>
        </w:rPr>
        <w:tab/>
        <w:t>With regard to the concerns raised by Special Procedures and civil society on the investment project of POSCO to build a steel processing plant in India, the Government has consulted with POSCO to respect human rights standards.</w:t>
      </w:r>
      <w:r>
        <w:rPr>
          <w:color w:val="002060"/>
          <w:highlight w:val="white"/>
        </w:rPr>
        <w:t xml:space="preserve"> </w:t>
      </w:r>
      <w:r>
        <w:rPr>
          <w:highlight w:val="white"/>
        </w:rPr>
        <w:t xml:space="preserve">Investments have not been made in earnest as the project is in promotional stage and the Government has not provided any support to POSCO </w:t>
      </w:r>
      <w:r>
        <w:t>although</w:t>
      </w:r>
      <w:r>
        <w:rPr>
          <w:highlight w:val="white"/>
        </w:rPr>
        <w:t xml:space="preserve"> it has communicated with POSCO about the concerns of the Special Procedures and of the NGO’s so that human rights standards are respected. </w:t>
      </w:r>
    </w:p>
    <w:p w:rsidR="005A0798" w:rsidRDefault="005A0798" w:rsidP="005A0798">
      <w:pPr>
        <w:pStyle w:val="SingleTxtG"/>
      </w:pPr>
      <w:r>
        <w:t>6.</w:t>
      </w:r>
      <w:r>
        <w:tab/>
      </w:r>
      <w:r>
        <w:rPr>
          <w:highlight w:val="white"/>
        </w:rPr>
        <w:t>Korea Minting, Security Printing &amp; ID Card Operating Corporation (KOMSCO) set up a joint venture with Daewoo International and established a subsidiary in Uzbekistan in 2010.  KOMSCO was made aware of the issue of forced child labor and undertook countermeasures. In December 2012, KOMSCO delivered its concern about forced child labor to the Embassy of Uzbekistan in Korea and consulted the Uzbekistan Chamber of Commerce and Industry which is responsible for the implementation of ILO conventions in 2014. As part of an execution plan to improve labor rights issues in Uzbekistan, KOMSCO has been promoting cooperation with the World Bank since 2015. Meanwhile, the ILO conducted large-scale monitoring in 2013 and 2014 regarding the use of child labor in Uzbekistan when harvesting cotton. The ILO found some juvenile workers but no systematic forced child labor.</w:t>
      </w:r>
    </w:p>
    <w:p w:rsidR="005A0798" w:rsidRDefault="005A0798" w:rsidP="005A0798">
      <w:pPr>
        <w:pStyle w:val="H1G"/>
      </w:pPr>
      <w:r>
        <w:tab/>
      </w:r>
      <w:r>
        <w:tab/>
        <w:t xml:space="preserve">Issue 4 </w:t>
      </w:r>
    </w:p>
    <w:p w:rsidR="005A0798" w:rsidRDefault="005A0798" w:rsidP="005A0798">
      <w:pPr>
        <w:pStyle w:val="SingleTxtG"/>
      </w:pPr>
      <w:r>
        <w:t>7.</w:t>
      </w:r>
      <w:r>
        <w:tab/>
      </w:r>
      <w:r>
        <w:rPr>
          <w:szCs w:val="24"/>
        </w:rPr>
        <w:t xml:space="preserve">Following </w:t>
      </w:r>
      <w:r>
        <w:t xml:space="preserve">the developments mentioned in </w:t>
      </w:r>
      <w:r>
        <w:rPr>
          <w:szCs w:val="24"/>
        </w:rPr>
        <w:t>Paragraphs</w:t>
      </w:r>
      <w:r>
        <w:t xml:space="preserve"> 377 and 378 of the fourth periodic report, anti-discrimination legislation was </w:t>
      </w:r>
      <w:r>
        <w:rPr>
          <w:szCs w:val="24"/>
        </w:rPr>
        <w:t xml:space="preserve">adopted as one of </w:t>
      </w:r>
      <w:r>
        <w:t xml:space="preserve">the government’s </w:t>
      </w:r>
      <w:r>
        <w:rPr>
          <w:szCs w:val="24"/>
        </w:rPr>
        <w:t xml:space="preserve">new </w:t>
      </w:r>
      <w:r>
        <w:lastRenderedPageBreak/>
        <w:t>national policy agenda</w:t>
      </w:r>
      <w:r>
        <w:rPr>
          <w:szCs w:val="24"/>
        </w:rPr>
        <w:t xml:space="preserve"> in May 2013</w:t>
      </w:r>
      <w:r>
        <w:t xml:space="preserve">. The Ministry of Justice created a task force for </w:t>
      </w:r>
      <w:r>
        <w:rPr>
          <w:szCs w:val="24"/>
        </w:rPr>
        <w:t>the</w:t>
      </w:r>
      <w:r>
        <w:t xml:space="preserve"> legislation and discussed a variety of </w:t>
      </w:r>
      <w:r>
        <w:rPr>
          <w:szCs w:val="24"/>
        </w:rPr>
        <w:t xml:space="preserve">relevant </w:t>
      </w:r>
      <w:r>
        <w:t xml:space="preserve">issues. </w:t>
      </w:r>
      <w:r>
        <w:rPr>
          <w:szCs w:val="24"/>
        </w:rPr>
        <w:t>In addition, relevant reviews are currently underway for</w:t>
      </w:r>
      <w:r>
        <w:t xml:space="preserve"> further scrupulous examinations regarding the grounds and areas of discrimination, etc. </w:t>
      </w:r>
    </w:p>
    <w:p w:rsidR="005A0798" w:rsidRDefault="005A0798" w:rsidP="005A0798">
      <w:pPr>
        <w:pStyle w:val="H1G"/>
      </w:pPr>
      <w:r>
        <w:tab/>
      </w:r>
      <w:r>
        <w:tab/>
        <w:t xml:space="preserve">Issue 5 </w:t>
      </w:r>
    </w:p>
    <w:p w:rsidR="005A0798" w:rsidRDefault="005A0798" w:rsidP="005A0798">
      <w:pPr>
        <w:pStyle w:val="SingleTxtG"/>
      </w:pPr>
      <w:r>
        <w:t>8.</w:t>
      </w:r>
      <w:r>
        <w:tab/>
        <w:t xml:space="preserve">Physical violence such as assault or injury that is racially motivated is a crime that is punishable by relevant laws and the motivation of the violence affects sentencing. While discrimination or discriminatory expressions targeting foreigners may be criminally punishable when it falls under the criminal offenses of insult or defamation, there is no separate criminal provision that provides for racial discrimination as an element of a crime. Racially discriminatory or xenophobic speeches on the internet are also punishable when it meets the elements of defamation under the </w:t>
      </w:r>
      <w:r>
        <w:rPr>
          <w:i/>
        </w:rPr>
        <w:t>Act on Promotion of Information and Communications Network Utilization and Information Protection, etc</w:t>
      </w:r>
      <w:r>
        <w:t xml:space="preserve">. The </w:t>
      </w:r>
      <w:r>
        <w:rPr>
          <w:highlight w:val="white"/>
        </w:rPr>
        <w:t xml:space="preserve">Korea Communications Standards Commission will review the information on internet upon report of an infringement and take corrective measures such as deletion of the contents. Rules such as the Broadcasting Review Regulations deal with racial discrimination and hate speech in broadcasting, which requires the cases of violation are made public along with their cause, the violated rule and measures taken. </w:t>
      </w:r>
      <w:r>
        <w:t xml:space="preserve">Draft bills that criminalize racially-motivated hate speech are introduced in the National Assembly. But while acknowledging the need to address racially-motivated expressions, there are discussions regarding the constitutional principle of </w:t>
      </w:r>
      <w:r>
        <w:rPr>
          <w:i/>
        </w:rPr>
        <w:t xml:space="preserve">nulla poena sine lege </w:t>
      </w:r>
      <w:r>
        <w:t>and ways to balance with the freedom of expression when criminalizing these acts.</w:t>
      </w:r>
    </w:p>
    <w:p w:rsidR="005A0798" w:rsidRDefault="005A0798" w:rsidP="005A0798">
      <w:pPr>
        <w:pStyle w:val="SingleTxtG"/>
      </w:pPr>
      <w:r>
        <w:t>9.</w:t>
      </w:r>
      <w:r>
        <w:tab/>
        <w:t xml:space="preserve">Due to the surge of international marriages in the early 2000s, the Government pursued multicultural family policies. The policy target was expanded from families consisting of an immigrant married to a Korean national, regardless of gender, in its initial stage, to families of recognized and naturalized citizens in 2011. Multicultural family support services have been </w:t>
      </w:r>
      <w:r>
        <w:rPr>
          <w:highlight w:val="white"/>
        </w:rPr>
        <w:t xml:space="preserve">extended to the </w:t>
      </w:r>
      <w:r>
        <w:t xml:space="preserve">families of foreigners and foreign students </w:t>
      </w:r>
      <w:r>
        <w:rPr>
          <w:highlight w:val="white"/>
        </w:rPr>
        <w:t>since 2012</w:t>
      </w:r>
      <w:r>
        <w:t xml:space="preserve">. </w:t>
      </w:r>
    </w:p>
    <w:p w:rsidR="005A0798" w:rsidRDefault="005A0798" w:rsidP="005A0798">
      <w:pPr>
        <w:pStyle w:val="H1G"/>
      </w:pPr>
      <w:r>
        <w:tab/>
      </w:r>
      <w:r>
        <w:tab/>
        <w:t xml:space="preserve">Issue 6 </w:t>
      </w:r>
    </w:p>
    <w:p w:rsidR="005A0798" w:rsidRDefault="005A0798" w:rsidP="005A0798">
      <w:pPr>
        <w:pStyle w:val="SingleTxtG"/>
      </w:pPr>
      <w:r>
        <w:t>10.</w:t>
      </w:r>
      <w:r>
        <w:tab/>
      </w:r>
      <w:r>
        <w:rPr>
          <w:szCs w:val="24"/>
        </w:rPr>
        <w:t>Fifty eight</w:t>
      </w:r>
      <w:r>
        <w:t xml:space="preserve"> welfare facilities for unwed mothers provide support for residence, medical services </w:t>
      </w:r>
      <w:r>
        <w:rPr>
          <w:szCs w:val="24"/>
        </w:rPr>
        <w:t>including</w:t>
      </w:r>
      <w:r>
        <w:t xml:space="preserve"> childbirth</w:t>
      </w:r>
      <w:r>
        <w:rPr>
          <w:szCs w:val="24"/>
        </w:rPr>
        <w:t xml:space="preserve"> care, and </w:t>
      </w:r>
      <w:r>
        <w:t xml:space="preserve">childcare </w:t>
      </w:r>
      <w:r>
        <w:rPr>
          <w:szCs w:val="24"/>
        </w:rPr>
        <w:t xml:space="preserve">services to unwed mothers along with the increased subsidy for living expenses. </w:t>
      </w:r>
      <w:r>
        <w:t>In an effort to eradicate prejudice</w:t>
      </w:r>
      <w:r>
        <w:rPr>
          <w:szCs w:val="24"/>
        </w:rPr>
        <w:t xml:space="preserve"> against unwed mothers, training of</w:t>
      </w:r>
      <w:r>
        <w:t xml:space="preserve"> public officials in charge of welfare duties and campaigns </w:t>
      </w:r>
      <w:r>
        <w:rPr>
          <w:szCs w:val="24"/>
        </w:rPr>
        <w:t>to raise</w:t>
      </w:r>
      <w:r>
        <w:t xml:space="preserve"> public </w:t>
      </w:r>
      <w:r>
        <w:rPr>
          <w:szCs w:val="24"/>
        </w:rPr>
        <w:t xml:space="preserve">awareness </w:t>
      </w:r>
      <w:r>
        <w:t xml:space="preserve">are conducted. A research was commissioned in 2013 to examine legislation and policy to </w:t>
      </w:r>
      <w:r>
        <w:rPr>
          <w:szCs w:val="24"/>
        </w:rPr>
        <w:t>protect</w:t>
      </w:r>
      <w:r>
        <w:t xml:space="preserve"> HIV-infected persons from discrimination and </w:t>
      </w:r>
      <w:r>
        <w:rPr>
          <w:szCs w:val="24"/>
        </w:rPr>
        <w:t>media campaigns</w:t>
      </w:r>
      <w:r>
        <w:t xml:space="preserve"> are strengthened to eradicate prejudice and discrimination against infected persons.</w:t>
      </w:r>
    </w:p>
    <w:p w:rsidR="005A0798" w:rsidRDefault="005A0798" w:rsidP="005A0798">
      <w:pPr>
        <w:pStyle w:val="SingleTxtG"/>
      </w:pPr>
      <w:r>
        <w:t>11.</w:t>
      </w:r>
      <w:r>
        <w:tab/>
        <w:t xml:space="preserve">The same sex sexual activities in the military are still prohibited to maintain discipline considering the nature of the communal living in the barracks.  A bill on the relevant amendment to the </w:t>
      </w:r>
      <w:r>
        <w:rPr>
          <w:i/>
        </w:rPr>
        <w:t>Military Criminal Act</w:t>
      </w:r>
      <w:r>
        <w:rPr>
          <w:i/>
          <w:szCs w:val="24"/>
        </w:rPr>
        <w:t>,</w:t>
      </w:r>
      <w:r>
        <w:rPr>
          <w:szCs w:val="24"/>
        </w:rPr>
        <w:t xml:space="preserve"> which calls for </w:t>
      </w:r>
      <w:r>
        <w:t xml:space="preserve">inserting the element of </w:t>
      </w:r>
      <w:r>
        <w:rPr>
          <w:i/>
        </w:rPr>
        <w:t>in invitum</w:t>
      </w:r>
      <w:r>
        <w:t xml:space="preserve"> to the current crime,</w:t>
      </w:r>
      <w:r>
        <w:rPr>
          <w:szCs w:val="24"/>
        </w:rPr>
        <w:t xml:space="preserve"> is presented to the National Assembly, and relevant discussion is underway.</w:t>
      </w:r>
      <w:r>
        <w:t xml:space="preserve"> </w:t>
      </w:r>
    </w:p>
    <w:p w:rsidR="005A0798" w:rsidRDefault="005A0798" w:rsidP="005A0798">
      <w:pPr>
        <w:pStyle w:val="SingleTxtG"/>
      </w:pPr>
      <w:r>
        <w:t>12.</w:t>
      </w:r>
      <w:r>
        <w:tab/>
      </w:r>
      <w:r>
        <w:rPr>
          <w:highlight w:val="white"/>
        </w:rPr>
        <w:t xml:space="preserve">The </w:t>
      </w:r>
      <w:r>
        <w:rPr>
          <w:i/>
          <w:highlight w:val="white"/>
        </w:rPr>
        <w:t xml:space="preserve">Criminal Act </w:t>
      </w:r>
      <w:r>
        <w:rPr>
          <w:highlight w:val="white"/>
        </w:rPr>
        <w:t xml:space="preserve">was amended in December 2012 </w:t>
      </w:r>
      <w:r>
        <w:rPr>
          <w:szCs w:val="24"/>
          <w:highlight w:val="white"/>
        </w:rPr>
        <w:t>to change</w:t>
      </w:r>
      <w:r>
        <w:rPr>
          <w:highlight w:val="white"/>
        </w:rPr>
        <w:t xml:space="preserve"> the </w:t>
      </w:r>
      <w:r>
        <w:rPr>
          <w:szCs w:val="24"/>
          <w:highlight w:val="white"/>
        </w:rPr>
        <w:t>object</w:t>
      </w:r>
      <w:r>
        <w:rPr>
          <w:highlight w:val="white"/>
        </w:rPr>
        <w:t xml:space="preserve"> of rape defined in Article 297 from ‘women’ to ‘person’, and </w:t>
      </w:r>
      <w:r>
        <w:rPr>
          <w:szCs w:val="24"/>
          <w:highlight w:val="white"/>
        </w:rPr>
        <w:t xml:space="preserve">created </w:t>
      </w:r>
      <w:r>
        <w:rPr>
          <w:highlight w:val="white"/>
        </w:rPr>
        <w:t>Article 297-2</w:t>
      </w:r>
      <w:r>
        <w:rPr>
          <w:szCs w:val="24"/>
          <w:highlight w:val="white"/>
        </w:rPr>
        <w:t xml:space="preserve"> to define a separate crime of imitative rape</w:t>
      </w:r>
      <w:r>
        <w:rPr>
          <w:highlight w:val="white"/>
        </w:rPr>
        <w:t xml:space="preserve">. Rape </w:t>
      </w:r>
      <w:r>
        <w:rPr>
          <w:szCs w:val="24"/>
          <w:highlight w:val="white"/>
        </w:rPr>
        <w:t xml:space="preserve">and imitative rape are </w:t>
      </w:r>
      <w:r>
        <w:rPr>
          <w:highlight w:val="white"/>
        </w:rPr>
        <w:t xml:space="preserve">punishable </w:t>
      </w:r>
      <w:r>
        <w:rPr>
          <w:szCs w:val="24"/>
          <w:highlight w:val="white"/>
        </w:rPr>
        <w:t>with</w:t>
      </w:r>
      <w:r>
        <w:rPr>
          <w:highlight w:val="white"/>
        </w:rPr>
        <w:t xml:space="preserve"> at least three years </w:t>
      </w:r>
      <w:r>
        <w:rPr>
          <w:szCs w:val="24"/>
          <w:highlight w:val="white"/>
        </w:rPr>
        <w:t xml:space="preserve">and </w:t>
      </w:r>
      <w:r>
        <w:rPr>
          <w:highlight w:val="white"/>
        </w:rPr>
        <w:t>two years of imprisonment</w:t>
      </w:r>
      <w:r>
        <w:rPr>
          <w:szCs w:val="24"/>
          <w:highlight w:val="white"/>
        </w:rPr>
        <w:t xml:space="preserve"> respectively.</w:t>
      </w:r>
      <w:r>
        <w:rPr>
          <w:highlight w:val="white"/>
        </w:rPr>
        <w:t xml:space="preserve"> The prescribed sentences do not </w:t>
      </w:r>
      <w:r>
        <w:rPr>
          <w:highlight w:val="white"/>
        </w:rPr>
        <w:lastRenderedPageBreak/>
        <w:t xml:space="preserve">represent differentiated treatment of opposite-sex and same-sex rape. Rather, the term of two year imprisonment is the lower limit for the imitative rape </w:t>
      </w:r>
      <w:r>
        <w:rPr>
          <w:szCs w:val="24"/>
          <w:highlight w:val="white"/>
        </w:rPr>
        <w:t>which covers</w:t>
      </w:r>
      <w:r>
        <w:rPr>
          <w:highlight w:val="white"/>
        </w:rPr>
        <w:t xml:space="preserve"> various </w:t>
      </w:r>
      <w:r>
        <w:rPr>
          <w:szCs w:val="24"/>
          <w:highlight w:val="white"/>
        </w:rPr>
        <w:t xml:space="preserve">acts and aspects including the insertion of his/her </w:t>
      </w:r>
      <w:r>
        <w:rPr>
          <w:highlight w:val="white"/>
        </w:rPr>
        <w:t xml:space="preserve">sexual </w:t>
      </w:r>
      <w:r>
        <w:rPr>
          <w:szCs w:val="24"/>
          <w:highlight w:val="white"/>
        </w:rPr>
        <w:t>organ into another’s bodily part, and the insertion of other bodily part or any instrument into another’s genital organ or anus.</w:t>
      </w:r>
      <w:r>
        <w:rPr>
          <w:highlight w:val="white"/>
        </w:rPr>
        <w:t xml:space="preserve"> The upper limit of imprisonment</w:t>
      </w:r>
      <w:r>
        <w:rPr>
          <w:szCs w:val="24"/>
          <w:highlight w:val="white"/>
        </w:rPr>
        <w:t>, which is 30 years, applies</w:t>
      </w:r>
      <w:r>
        <w:rPr>
          <w:highlight w:val="white"/>
        </w:rPr>
        <w:t xml:space="preserve"> the same for both crimes. In actual cases, sentences will be rendered taking into account the specific criminal offense. </w:t>
      </w:r>
      <w:r>
        <w:rPr>
          <w:szCs w:val="24"/>
          <w:highlight w:val="white"/>
        </w:rPr>
        <w:t>Victims</w:t>
      </w:r>
      <w:r>
        <w:rPr>
          <w:highlight w:val="white"/>
        </w:rPr>
        <w:t xml:space="preserve"> of rape and </w:t>
      </w:r>
      <w:r>
        <w:rPr>
          <w:szCs w:val="24"/>
          <w:highlight w:val="white"/>
        </w:rPr>
        <w:t>imitative</w:t>
      </w:r>
      <w:r>
        <w:rPr>
          <w:highlight w:val="white"/>
        </w:rPr>
        <w:t xml:space="preserve"> rape are equally </w:t>
      </w:r>
      <w:r>
        <w:rPr>
          <w:szCs w:val="24"/>
          <w:highlight w:val="white"/>
        </w:rPr>
        <w:t>provided with protective measures and support as stipulated in the relevant laws</w:t>
      </w:r>
      <w:r>
        <w:rPr>
          <w:highlight w:val="white"/>
        </w:rPr>
        <w:t xml:space="preserve">. </w:t>
      </w:r>
    </w:p>
    <w:p w:rsidR="005A0798" w:rsidRDefault="005A0798" w:rsidP="005A0798">
      <w:pPr>
        <w:pStyle w:val="H1G"/>
      </w:pPr>
      <w:r>
        <w:tab/>
      </w:r>
      <w:r>
        <w:tab/>
        <w:t xml:space="preserve">Issue 7 </w:t>
      </w:r>
    </w:p>
    <w:p w:rsidR="005A0798" w:rsidRDefault="005A0798" w:rsidP="005A0798">
      <w:pPr>
        <w:pStyle w:val="SingleTxtG"/>
      </w:pPr>
      <w:r>
        <w:t>13.</w:t>
      </w:r>
      <w:r>
        <w:tab/>
        <w:t xml:space="preserve">Through 217 Multicultural Families Support Centers across the nation, the Government provides services tailored to the settlement stage of married immigrant women. All foreigners married to Korean nationals are entitled to participate in an early adaptation program for creating strong family bonds. Vocational education and training, conflict resolution counseling via call center, and emergency support and protection services in connection with immigrant women protection facilities are also provided. Trainings on human rights and violence response for counselors in the Multicultural Families Support Centers have been expanded. Public awareness programs are also in place such as campaigns and education for understanding diverse cultures. </w:t>
      </w:r>
    </w:p>
    <w:p w:rsidR="005A0798" w:rsidRDefault="005A0798" w:rsidP="005A0798">
      <w:pPr>
        <w:pStyle w:val="SingleTxtG"/>
      </w:pPr>
      <w:r>
        <w:t>Foreigners married to Korean nationals are allowed to stay in Korea when he/she cannot lead a regular marriage life due to reasons not attributable to them such as their Korean spouse's death or missing, or raises underage children born in their marriage.</w:t>
      </w:r>
    </w:p>
    <w:p w:rsidR="005A0798" w:rsidRDefault="005A0798" w:rsidP="005A0798">
      <w:pPr>
        <w:pStyle w:val="SingleTxtG"/>
      </w:pPr>
      <w:r>
        <w:t>14.</w:t>
      </w:r>
      <w:r>
        <w:tab/>
        <w:t xml:space="preserve">The ratio of female judges and that of female prosecutors increased from 6.8% in 2000 to 27.4% in 2013 and from 1.8% to 25.4%, respectively. Such statistics continue to follow a growing trend. The content of the amendment of the </w:t>
      </w:r>
      <w:r>
        <w:rPr>
          <w:i/>
        </w:rPr>
        <w:t xml:space="preserve">Public Official Election Act </w:t>
      </w:r>
      <w:r>
        <w:t>is as described in Paragraph 56 of the fourth report. Under the goal of increasing the proportion of female public servants above Grade V in local governments from 9.9% in late 2012 to 15.1% in 2016, the Third Plan for Expanding Appointment of Female Public Officials in Managerial Positions has been pursued. More than one female public servant was recommended to be appointed as director, director-general, and vice head of the local government. The following statistics shows the recent increase in the representation of women in political and public life.</w:t>
      </w:r>
    </w:p>
    <w:p w:rsidR="005A0798" w:rsidRDefault="005A0798" w:rsidP="005A0798">
      <w:pPr>
        <w:pStyle w:val="H4G"/>
      </w:pPr>
      <w:r>
        <w:tab/>
      </w:r>
      <w:r>
        <w:tab/>
        <w:t>&lt;Table&gt; Ratio of participation of Women in Local Politics</w:t>
      </w:r>
    </w:p>
    <w:tbl>
      <w:tblPr>
        <w:tblW w:w="7370" w:type="dxa"/>
        <w:tblInd w:w="1134" w:type="dxa"/>
        <w:tblBorders>
          <w:top w:val="single" w:sz="4" w:space="0" w:color="auto"/>
        </w:tblBorders>
        <w:tblCellMar>
          <w:left w:w="0" w:type="dxa"/>
        </w:tblCellMar>
        <w:tblLook w:val="0600" w:firstRow="0" w:lastRow="0" w:firstColumn="0" w:lastColumn="0" w:noHBand="1" w:noVBand="1"/>
      </w:tblPr>
      <w:tblGrid>
        <w:gridCol w:w="1024"/>
        <w:gridCol w:w="1389"/>
        <w:gridCol w:w="1428"/>
        <w:gridCol w:w="1158"/>
        <w:gridCol w:w="1234"/>
        <w:gridCol w:w="1137"/>
      </w:tblGrid>
      <w:tr w:rsidR="005A0798" w:rsidTr="005A0798">
        <w:trPr>
          <w:trHeight w:val="240"/>
          <w:tblHeader/>
        </w:trPr>
        <w:tc>
          <w:tcPr>
            <w:tcW w:w="1174" w:type="dxa"/>
            <w:vMerge w:val="restart"/>
            <w:tcBorders>
              <w:top w:val="single" w:sz="4" w:space="0" w:color="auto"/>
              <w:left w:val="nil"/>
              <w:bottom w:val="nil"/>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Classification</w:t>
            </w:r>
          </w:p>
        </w:tc>
        <w:tc>
          <w:tcPr>
            <w:tcW w:w="3406" w:type="dxa"/>
            <w:gridSpan w:val="2"/>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Name of Election</w:t>
            </w:r>
          </w:p>
        </w:tc>
        <w:tc>
          <w:tcPr>
            <w:tcW w:w="1537" w:type="dxa"/>
            <w:vMerge w:val="restart"/>
            <w:tcBorders>
              <w:top w:val="single" w:sz="4" w:space="0" w:color="auto"/>
              <w:left w:val="nil"/>
              <w:bottom w:val="nil"/>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Total</w:t>
            </w:r>
            <w:r>
              <w:rPr>
                <w:rFonts w:ascii="Times New Roman" w:eastAsia="Times New Roman" w:hAnsi="Times New Roman" w:cs="Times New Roman"/>
                <w:i/>
                <w:color w:val="auto"/>
                <w:sz w:val="16"/>
                <w:szCs w:val="18"/>
              </w:rPr>
              <w:t>(person)</w:t>
            </w:r>
          </w:p>
        </w:tc>
        <w:tc>
          <w:tcPr>
            <w:tcW w:w="3282" w:type="dxa"/>
            <w:gridSpan w:val="2"/>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Sex</w:t>
            </w:r>
            <w:r>
              <w:rPr>
                <w:rFonts w:ascii="Times New Roman" w:eastAsia="Times New Roman" w:hAnsi="Times New Roman" w:cs="Times New Roman"/>
                <w:i/>
                <w:color w:val="auto"/>
                <w:sz w:val="16"/>
                <w:szCs w:val="18"/>
              </w:rPr>
              <w:t>(person)</w:t>
            </w:r>
          </w:p>
        </w:tc>
      </w:tr>
      <w:tr w:rsidR="005A0798" w:rsidTr="005A0798">
        <w:trPr>
          <w:trHeight w:val="240"/>
          <w:tblHeader/>
        </w:trPr>
        <w:tc>
          <w:tcPr>
            <w:tcW w:w="0" w:type="auto"/>
            <w:vMerge/>
            <w:tcBorders>
              <w:top w:val="single" w:sz="4" w:space="0" w:color="auto"/>
              <w:left w:val="nil"/>
              <w:bottom w:val="nil"/>
              <w:right w:val="nil"/>
            </w:tcBorders>
            <w:vAlign w:val="center"/>
            <w:hideMark/>
          </w:tcPr>
          <w:p w:rsidR="005A0798" w:rsidRDefault="005A0798">
            <w:pPr>
              <w:suppressAutoHyphens w:val="0"/>
              <w:spacing w:line="240" w:lineRule="auto"/>
              <w:rPr>
                <w:rFonts w:eastAsia="Malgun Gothic"/>
                <w:i/>
                <w:sz w:val="16"/>
                <w:szCs w:val="22"/>
                <w:lang w:val="en-US" w:eastAsia="ko-KR"/>
              </w:rPr>
            </w:pPr>
          </w:p>
        </w:tc>
        <w:tc>
          <w:tcPr>
            <w:tcW w:w="3406" w:type="dxa"/>
            <w:gridSpan w:val="2"/>
            <w:tcBorders>
              <w:top w:val="single" w:sz="12" w:space="0" w:color="auto"/>
              <w:left w:val="nil"/>
              <w:bottom w:val="nil"/>
              <w:right w:val="nil"/>
            </w:tcBorders>
            <w:tcMar>
              <w:top w:w="20" w:type="dxa"/>
              <w:left w:w="20" w:type="dxa"/>
              <w:bottom w:w="20" w:type="dxa"/>
              <w:right w:w="20" w:type="dxa"/>
            </w:tcMar>
          </w:tcPr>
          <w:p w:rsidR="005A0798" w:rsidRDefault="005A0798">
            <w:pPr>
              <w:pStyle w:val="1"/>
              <w:widowControl/>
              <w:spacing w:before="40" w:after="120" w:line="220" w:lineRule="exact"/>
              <w:jc w:val="left"/>
              <w:rPr>
                <w:rFonts w:ascii="Times New Roman" w:hAnsi="Times New Roman" w:cs="Times New Roman"/>
                <w:color w:val="auto"/>
                <w:sz w:val="20"/>
              </w:rPr>
            </w:pPr>
          </w:p>
        </w:tc>
        <w:tc>
          <w:tcPr>
            <w:tcW w:w="0" w:type="auto"/>
            <w:vMerge/>
            <w:tcBorders>
              <w:top w:val="single" w:sz="4" w:space="0" w:color="auto"/>
              <w:left w:val="nil"/>
              <w:bottom w:val="nil"/>
              <w:right w:val="nil"/>
            </w:tcBorders>
            <w:vAlign w:val="center"/>
            <w:hideMark/>
          </w:tcPr>
          <w:p w:rsidR="005A0798" w:rsidRDefault="005A0798">
            <w:pPr>
              <w:suppressAutoHyphens w:val="0"/>
              <w:spacing w:line="240" w:lineRule="auto"/>
              <w:rPr>
                <w:rFonts w:eastAsia="Malgun Gothic"/>
                <w:i/>
                <w:sz w:val="16"/>
                <w:szCs w:val="22"/>
                <w:lang w:val="en-US" w:eastAsia="ko-KR"/>
              </w:rPr>
            </w:pPr>
          </w:p>
        </w:tc>
        <w:tc>
          <w:tcPr>
            <w:tcW w:w="1648"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Male (%)</w:t>
            </w:r>
          </w:p>
        </w:tc>
        <w:tc>
          <w:tcPr>
            <w:tcW w:w="1634" w:type="dxa"/>
            <w:tcBorders>
              <w:top w:val="single" w:sz="12" w:space="0" w:color="auto"/>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Female (%)</w:t>
            </w:r>
          </w:p>
        </w:tc>
      </w:tr>
      <w:tr w:rsidR="005A0798" w:rsidTr="005A0798">
        <w:trPr>
          <w:trHeight w:val="240"/>
        </w:trPr>
        <w:tc>
          <w:tcPr>
            <w:tcW w:w="1174"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4th Election</w:t>
            </w:r>
          </w:p>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(2006)</w:t>
            </w: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Total (Percentage)</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3,867</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3,338</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529 (13.0)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Mayor/Governor </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Head of Autonomous District, City, District</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230</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227</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 (1.0)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Member of </w:t>
            </w:r>
            <w:r>
              <w:rPr>
                <w:rFonts w:ascii="Times New Roman" w:eastAsia="Times New Roman" w:hAnsi="Times New Roman" w:cs="Times New Roman"/>
                <w:color w:val="auto"/>
                <w:sz w:val="20"/>
                <w:szCs w:val="18"/>
                <w:highlight w:val="white"/>
              </w:rPr>
              <w:lastRenderedPageBreak/>
              <w:t xml:space="preserve">city/provincial council </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lastRenderedPageBreak/>
              <w:t>Local</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655</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623</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32 (4.0)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78</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21</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57 (73.0)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Member of city/ district/ provincial council</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Local</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2,513</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2,403</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110 (4.0)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375</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48</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327 (87.0)</w:t>
            </w:r>
          </w:p>
        </w:tc>
      </w:tr>
      <w:tr w:rsidR="005A0798" w:rsidTr="005A0798">
        <w:trPr>
          <w:trHeight w:val="240"/>
        </w:trPr>
        <w:tc>
          <w:tcPr>
            <w:tcW w:w="1174"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5th Election</w:t>
            </w:r>
          </w:p>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(2010)</w:t>
            </w: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Total (Percentage)</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3,893</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3,148(80.0)</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745 (20.0)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Mayor/Governor </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Head of Autonomous District, City, District</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228</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222</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6(2.6)</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Member of city/provincial council </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Local</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680</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625</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55(8.0)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81</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23</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58(71.0)</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Member of city/ district/ provincial council</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Local </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2,512</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2,238</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274(9.2)</w:t>
            </w:r>
          </w:p>
        </w:tc>
      </w:tr>
      <w:tr w:rsidR="005A0798" w:rsidTr="005A0798">
        <w:trPr>
          <w:trHeight w:val="240"/>
        </w:trPr>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376</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24</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352(93.0)</w:t>
            </w:r>
          </w:p>
        </w:tc>
      </w:tr>
      <w:tr w:rsidR="005A0798" w:rsidTr="005A0798">
        <w:trPr>
          <w:trHeight w:val="240"/>
        </w:trPr>
        <w:tc>
          <w:tcPr>
            <w:tcW w:w="1174" w:type="dxa"/>
            <w:vMerge w:val="restart"/>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6th Election</w:t>
            </w:r>
          </w:p>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(2014)</w:t>
            </w: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Total (Percentage)</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3,930</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3,076</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854(21.7)</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Mayor/Governor </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17</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17</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3406" w:type="dxa"/>
            <w:gridSpan w:val="2"/>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Head of Autonomous District, City, District</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226</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217</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9(4.0)</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Member of city/provincial council </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 xml:space="preserve">Local </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705</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647</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58(8.2)</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nil"/>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84</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29</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55(65.5)</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1678" w:type="dxa"/>
            <w:vMerge w:val="restart"/>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Member of city/ district/ provincial council</w:t>
            </w:r>
          </w:p>
        </w:tc>
        <w:tc>
          <w:tcPr>
            <w:tcW w:w="1728"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Local</w:t>
            </w:r>
          </w:p>
        </w:tc>
        <w:tc>
          <w:tcPr>
            <w:tcW w:w="1537"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2,519</w:t>
            </w:r>
          </w:p>
        </w:tc>
        <w:tc>
          <w:tcPr>
            <w:tcW w:w="1648"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2,150</w:t>
            </w:r>
          </w:p>
        </w:tc>
        <w:tc>
          <w:tcPr>
            <w:tcW w:w="1634"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369(14.6)</w:t>
            </w:r>
          </w:p>
        </w:tc>
      </w:tr>
      <w:tr w:rsidR="005A0798" w:rsidTr="005A0798">
        <w:trPr>
          <w:trHeight w:val="240"/>
        </w:trPr>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0" w:type="auto"/>
            <w:vMerge/>
            <w:tcBorders>
              <w:top w:val="nil"/>
              <w:left w:val="nil"/>
              <w:bottom w:val="single" w:sz="12" w:space="0" w:color="auto"/>
              <w:right w:val="nil"/>
            </w:tcBorders>
            <w:vAlign w:val="center"/>
            <w:hideMark/>
          </w:tcPr>
          <w:p w:rsidR="005A0798" w:rsidRDefault="005A0798">
            <w:pPr>
              <w:suppressAutoHyphens w:val="0"/>
              <w:spacing w:line="240" w:lineRule="auto"/>
              <w:rPr>
                <w:rFonts w:eastAsia="Malgun Gothic"/>
                <w:szCs w:val="22"/>
                <w:lang w:val="en-US" w:eastAsia="ko-KR"/>
              </w:rPr>
            </w:pPr>
          </w:p>
        </w:tc>
        <w:tc>
          <w:tcPr>
            <w:tcW w:w="1728"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Proportional Representation</w:t>
            </w:r>
          </w:p>
        </w:tc>
        <w:tc>
          <w:tcPr>
            <w:tcW w:w="1537" w:type="dxa"/>
            <w:tcBorders>
              <w:top w:val="nil"/>
              <w:left w:val="nil"/>
              <w:bottom w:val="single" w:sz="12" w:space="0" w:color="auto"/>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379</w:t>
            </w:r>
          </w:p>
        </w:tc>
        <w:tc>
          <w:tcPr>
            <w:tcW w:w="1648"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w:t>
            </w:r>
          </w:p>
        </w:tc>
        <w:tc>
          <w:tcPr>
            <w:tcW w:w="1634"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363(95.8)</w:t>
            </w:r>
          </w:p>
        </w:tc>
      </w:tr>
    </w:tbl>
    <w:p w:rsidR="005A0798" w:rsidRDefault="005A0798" w:rsidP="005A0798">
      <w:pPr>
        <w:pStyle w:val="H4G"/>
      </w:pPr>
      <w:r>
        <w:lastRenderedPageBreak/>
        <w:tab/>
      </w:r>
      <w:r>
        <w:tab/>
        <w:t>&lt;Table&gt;Representation of the increase in female public officials of administrative positions of local governments</w:t>
      </w:r>
    </w:p>
    <w:tbl>
      <w:tblPr>
        <w:tblW w:w="7370" w:type="dxa"/>
        <w:tblInd w:w="1134" w:type="dxa"/>
        <w:tblBorders>
          <w:top w:val="single" w:sz="4" w:space="0" w:color="auto"/>
        </w:tblBorders>
        <w:tblCellMar>
          <w:left w:w="0" w:type="dxa"/>
        </w:tblCellMar>
        <w:tblLook w:val="0600" w:firstRow="0" w:lastRow="0" w:firstColumn="0" w:lastColumn="0" w:noHBand="1" w:noVBand="1"/>
      </w:tblPr>
      <w:tblGrid>
        <w:gridCol w:w="2310"/>
        <w:gridCol w:w="1805"/>
        <w:gridCol w:w="1489"/>
        <w:gridCol w:w="1766"/>
      </w:tblGrid>
      <w:tr w:rsidR="005A0798" w:rsidTr="005A0798">
        <w:trPr>
          <w:trHeight w:val="240"/>
          <w:tblHeader/>
        </w:trPr>
        <w:tc>
          <w:tcPr>
            <w:tcW w:w="3158"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rPr>
              <w:t>Year</w:t>
            </w:r>
          </w:p>
        </w:tc>
        <w:tc>
          <w:tcPr>
            <w:tcW w:w="2329"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rPr>
              <w:t>Total</w:t>
            </w:r>
          </w:p>
        </w:tc>
        <w:tc>
          <w:tcPr>
            <w:tcW w:w="1891"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rPr>
              <w:t>Female</w:t>
            </w:r>
          </w:p>
        </w:tc>
        <w:tc>
          <w:tcPr>
            <w:tcW w:w="2182"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rPr>
              <w:t>Percentage</w:t>
            </w:r>
          </w:p>
        </w:tc>
      </w:tr>
      <w:tr w:rsidR="005A0798" w:rsidTr="005A0798">
        <w:trPr>
          <w:trHeight w:val="240"/>
        </w:trPr>
        <w:tc>
          <w:tcPr>
            <w:tcW w:w="3158"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2007</w:t>
            </w:r>
          </w:p>
        </w:tc>
        <w:tc>
          <w:tcPr>
            <w:tcW w:w="2329"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18,959</w:t>
            </w:r>
          </w:p>
        </w:tc>
        <w:tc>
          <w:tcPr>
            <w:tcW w:w="1891"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1,349</w:t>
            </w:r>
          </w:p>
        </w:tc>
        <w:tc>
          <w:tcPr>
            <w:tcW w:w="2182"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7.1</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2008</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19,076</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1,457</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7.6</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2009</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19,579</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1,595</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8.1</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2010</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20,078</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1,730</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8.6</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2011</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20,390</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1,869</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9.2</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2012</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20,934</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2,064</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9.9</w:t>
            </w:r>
          </w:p>
        </w:tc>
      </w:tr>
      <w:tr w:rsidR="005A0798" w:rsidTr="005A0798">
        <w:trPr>
          <w:trHeight w:val="240"/>
        </w:trPr>
        <w:tc>
          <w:tcPr>
            <w:tcW w:w="3158"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2013</w:t>
            </w:r>
          </w:p>
        </w:tc>
        <w:tc>
          <w:tcPr>
            <w:tcW w:w="2329"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21,512</w:t>
            </w:r>
          </w:p>
        </w:tc>
        <w:tc>
          <w:tcPr>
            <w:tcW w:w="1891"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2,296</w:t>
            </w:r>
          </w:p>
        </w:tc>
        <w:tc>
          <w:tcPr>
            <w:tcW w:w="2182" w:type="dxa"/>
            <w:tcBorders>
              <w:top w:val="nil"/>
              <w:left w:val="nil"/>
              <w:bottom w:val="nil"/>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rPr>
              <w:t>10.7</w:t>
            </w:r>
          </w:p>
        </w:tc>
      </w:tr>
      <w:tr w:rsidR="005A0798" w:rsidTr="005A0798">
        <w:trPr>
          <w:trHeight w:val="240"/>
        </w:trPr>
        <w:tc>
          <w:tcPr>
            <w:tcW w:w="3158"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Arimo" w:hAnsi="Times New Roman" w:cs="Times New Roman"/>
                <w:color w:val="auto"/>
                <w:sz w:val="20"/>
                <w:szCs w:val="18"/>
              </w:rPr>
              <w:t>2014</w:t>
            </w:r>
          </w:p>
        </w:tc>
        <w:tc>
          <w:tcPr>
            <w:tcW w:w="2329"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21,805</w:t>
            </w:r>
          </w:p>
        </w:tc>
        <w:tc>
          <w:tcPr>
            <w:tcW w:w="1891"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2,527</w:t>
            </w:r>
          </w:p>
        </w:tc>
        <w:tc>
          <w:tcPr>
            <w:tcW w:w="2182"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11.6</w:t>
            </w:r>
          </w:p>
        </w:tc>
      </w:tr>
    </w:tbl>
    <w:p w:rsidR="005A0798" w:rsidRDefault="005A0798" w:rsidP="005A0798">
      <w:pPr>
        <w:pStyle w:val="H4G"/>
      </w:pPr>
      <w:r>
        <w:rPr>
          <w:rFonts w:ascii="MS Gothic" w:eastAsia="MS Gothic" w:hAnsi="MS Gothic" w:cs="MS Gothic" w:hint="eastAsia"/>
        </w:rPr>
        <w:tab/>
      </w:r>
      <w:r>
        <w:rPr>
          <w:rFonts w:ascii="MS Gothic" w:eastAsia="MS Gothic" w:hAnsi="MS Gothic" w:cs="MS Gothic" w:hint="eastAsia"/>
          <w:lang w:val="en-US"/>
        </w:rPr>
        <w:t>＊</w:t>
      </w:r>
      <w:r>
        <w:rPr>
          <w:rFonts w:eastAsia="Arial"/>
        </w:rPr>
        <w:tab/>
      </w:r>
      <w:r>
        <w:rPr>
          <w:highlight w:val="white"/>
        </w:rPr>
        <w:t xml:space="preserve">Senior public officials, Regular position (including regular term position) Grade I~V, regular term position Grade VI, Researcher/Instructor, Special Governmental position Grade I~ Grade V, </w:t>
      </w:r>
      <w:r>
        <w:rPr>
          <w:rFonts w:eastAsia="Arimo"/>
          <w:highlight w:val="white"/>
        </w:rPr>
        <w:t>Specialists</w:t>
      </w:r>
      <w:r>
        <w:rPr>
          <w:highlight w:val="white"/>
        </w:rPr>
        <w:t>, Exclusive Positions of Grade V or higher</w:t>
      </w:r>
    </w:p>
    <w:p w:rsidR="005A0798" w:rsidRDefault="005A0798" w:rsidP="005A0798">
      <w:pPr>
        <w:pStyle w:val="SingleTxtG"/>
      </w:pPr>
      <w:r>
        <w:t>15.</w:t>
      </w:r>
      <w:r>
        <w:tab/>
      </w:r>
      <w:r>
        <w:rPr>
          <w:highlight w:val="white"/>
        </w:rPr>
        <w:t xml:space="preserve">In 2014, the rate of participation in economic activities by females above age 15 was 57.0%. Female workers, however, quit their jobs or experience interruption in their career due to childbirth and care, which, in turn, generates a gender gap in wage. From 2010 to 2013, gender pay gap slightly decreased from 39.6% to 36.6%. The Government promotes various policies to prevent women’s career interruption by strengthened work-life balance policies such as reducing work hours, subsidizing the installation of childcare facilities, and raising the allowance for childcare leave. Meanwhile, the Equal Employment Opportunity and Work-Family Balance Assistance Act provides for equal wage for work of equal-value within the </w:t>
      </w:r>
      <w:r>
        <w:t>identical business, and if business places are found in violation of this article through guidance, inspection and handling of a reported case, he/she shall be punished by a fine not exceeding twenty million KRW. Discrimination in money and goods other than wages are punishable by a fine not exceeding five million KRW.</w:t>
      </w:r>
    </w:p>
    <w:p w:rsidR="005A0798" w:rsidRDefault="005A0798" w:rsidP="005A0798">
      <w:pPr>
        <w:pStyle w:val="H1G"/>
      </w:pPr>
      <w:r>
        <w:tab/>
      </w:r>
      <w:r>
        <w:tab/>
        <w:t>Issue 8</w:t>
      </w:r>
    </w:p>
    <w:p w:rsidR="005A0798" w:rsidRDefault="005A0798" w:rsidP="005A0798">
      <w:pPr>
        <w:pStyle w:val="SingleTxtG"/>
      </w:pPr>
      <w:r>
        <w:t>16.</w:t>
      </w:r>
      <w:r>
        <w:tab/>
        <w:t xml:space="preserve">In December 2012, the object of rape in the Criminal Act was amended from ‘women’ to ‘person’. The Court also advances from its 2009 ruling that spousal rape is recognized “when a marriage fails,” to the recognition in May 2013 that the crime of rape is established when the husband had sexual intercourse with his wife by disabling or hindering resistance through violence or intimidation in a sustained marriage (Supreme Court judgment 2012DO14788). </w:t>
      </w:r>
    </w:p>
    <w:p w:rsidR="005A0798" w:rsidRDefault="005A0798" w:rsidP="005A0798">
      <w:pPr>
        <w:pStyle w:val="SingleTxtG"/>
      </w:pPr>
      <w:r>
        <w:t>17.</w:t>
      </w:r>
      <w:r>
        <w:tab/>
        <w:t xml:space="preserve">The Government considers domestic violence and sexual violence serious criminal offenses. In 2013, the new Government adopted the elimination of domestic and sexual violence as a national agenda, under which relevant government bodies cooperate to execute comprehensive measures to address them. In December 2012, the provisions that rendered sexual crimes as offense subject to prosecution on complaint were repealed and, on-site police response to any reports of domestic violence has been mandated so that necessary measures are undertaken on the scene. The police promote education and publicity to improve awareness of domestic violence and to stimulate reporting. </w:t>
      </w:r>
    </w:p>
    <w:p w:rsidR="005A0798" w:rsidRDefault="005A0798" w:rsidP="005A0798">
      <w:pPr>
        <w:pStyle w:val="SingleTxtG"/>
      </w:pPr>
      <w:r>
        <w:lastRenderedPageBreak/>
        <w:t>18.</w:t>
      </w:r>
      <w:r>
        <w:tab/>
        <w:t>The prosecutor’s office prevents recommitment of crime through active imposition of criminal punishment and edification measures accompanied with substantial protection and support for the victims. In accordance with relevant guidelines, the Government strengthened punishment of offenders by introducing three strikes principle, increased suspension of indictment conditioned upon the completion of education or counseling, and provided enhanced protection and support for the victims of domestic violence in multicultural families. Standards for demanding penalty and appeal have been toughened and various policies to strengthen punishment against sexual offenders and prevent recommitment are being pursued such as public dissemination of the identities of sexual offenders and special education of specialized prosecutors and investigators for sexual crimes. For victims of sexual violence, the Government assigned state-appointed attorneys, extended medical and legal support services, and increased sexual violence counseling centers and victim protection facilities. The Government also operates a 24-hour hotline for early intervention and protection of victims and, to raise national awareness, promotes publicity by disseminating materials and planned broadcasting in collaboration with broadcasts.</w:t>
      </w:r>
    </w:p>
    <w:p w:rsidR="005A0798" w:rsidRDefault="005A0798" w:rsidP="005A0798">
      <w:pPr>
        <w:pStyle w:val="SingleTxtG"/>
      </w:pPr>
      <w:r>
        <w:t>19.</w:t>
      </w:r>
      <w:r>
        <w:tab/>
        <w:t xml:space="preserve">The policy of disclosing the identities of sexual offenders was expanded and the records are publicized on the internet and locals are notified by mail. Sexual offenders are prohibited to manage or work for child-related business for ten years. In September 2014, the Act on Special Cases of Punishing Child Abuse Crimes was introduced, under which new protective measures are taken as follows; to provide for aggravated punishment of persons engaged in child welfare facilities regarding child abuse, serious injury and habitual offender; to expand occupational groups that have a duty to report child abuse; to introduce policies such as on-site police response accompanied by specialized agency for child protection, emergency measures, emergency temporary relief, and system of child victim protection order; to expand support of assistants, statement assistants, and state-appointed attorneys for the child victims; to educate police officers on the seriousness of child abuse in 2014; to develop a response manual for all types of child abuse; to educate teachers and staff members of elementary, middle, and high schools on their duty to report child abuse; to pursue projects for the enactment/amendment of reasonable school rules. </w:t>
      </w:r>
    </w:p>
    <w:p w:rsidR="005A0798" w:rsidRDefault="005A0798" w:rsidP="005A0798">
      <w:pPr>
        <w:pStyle w:val="SingleTxtG"/>
        <w:rPr>
          <w:rFonts w:eastAsia="휴먼명조"/>
        </w:rPr>
      </w:pPr>
      <w:r>
        <w:rPr>
          <w:rFonts w:eastAsia="휴먼명조"/>
        </w:rPr>
        <w:t>20.</w:t>
      </w:r>
      <w:r>
        <w:rPr>
          <w:rFonts w:eastAsia="휴먼명조"/>
        </w:rPr>
        <w:tab/>
      </w:r>
      <w:r>
        <w:t>With the amendment of the Act on Special Cases Concerning the Punishment, etc. of Sexual Crimes in June 2013, the Statement Assistant System was introduced. The system is designed to prevent secondary injury of child victims of sexual violence or abuse by means of the statement assistant’s participation in investigation or trial and mediation or assistance of the victim’s communication. The system allowed only the disabled and child victims under the age of 13 to have a statement assistant, but the eligibility expanded to include all victims of child abuse in 2014.</w:t>
      </w:r>
      <w:r>
        <w:rPr>
          <w:rFonts w:eastAsia="휴먼명조"/>
        </w:rPr>
        <w:t xml:space="preserve"> </w:t>
      </w:r>
    </w:p>
    <w:p w:rsidR="005A0798" w:rsidRDefault="005A0798" w:rsidP="005A0798">
      <w:pPr>
        <w:pStyle w:val="SingleTxtG"/>
        <w:rPr>
          <w:rFonts w:eastAsia="휴먼명조"/>
        </w:rPr>
      </w:pPr>
      <w:r>
        <w:rPr>
          <w:rFonts w:eastAsia="휴먼명조"/>
        </w:rPr>
        <w:t>21.</w:t>
      </w:r>
      <w:r>
        <w:rPr>
          <w:rFonts w:eastAsia="휴먼명조"/>
        </w:rPr>
        <w:tab/>
      </w:r>
      <w:r>
        <w:t xml:space="preserve">Since 2012, the state-appointed attorney for crime victims has provided child and juvenile victims under the age of 19 with legal assistance of a case from the early stages of incident to investigations and trials. In 2014, the eligibility for the system was further expanded to include all victims of child abuse. A prosecutor appoints an attorney from the prospective by the request of a victim or suo motu. As of July 2015, fifteen public defenders are working exclusively for victim support and receiving professional education regarding child victims of violence. </w:t>
      </w:r>
    </w:p>
    <w:p w:rsidR="005A0798" w:rsidRDefault="005A0798" w:rsidP="005A0798">
      <w:pPr>
        <w:pStyle w:val="SingleTxtG"/>
      </w:pPr>
      <w:r>
        <w:t>22.</w:t>
      </w:r>
      <w:r>
        <w:tab/>
        <w:t xml:space="preserve">Since the enactment of the Act on the Prevention of and Countermeasures against Violence in Schools in 2004, comprehensive inter-ministerial measures have been established and promoted. In 2011 when the Second Basic Plan (2010-2014) was being promoted, violence in schools drew heightened social attention in the aftermath of a student’s suicide. The Government enacted the Comprehensive Measures to Stop School Violence to raise awareness so that schools respond thoroughly in a way that recognizes even a mere harassment as crime. Under the current administration, prevention of school </w:t>
      </w:r>
      <w:r>
        <w:lastRenderedPageBreak/>
        <w:t xml:space="preserve">violence was selected as a major national agenda and the 2015-2019 Third Basic Plan for Prevention of School Violence is being promoted. To this end, the Government carried out the following measures; to conduct experiential education that develops students’ skills in empathy and communication and a Student Court program in which students naturally acquire legal consciousness by discussing, defending, and ruling at firsthand; to support autonomous school violence prevention activities of individual schools; to create safe school environment by expanding CCTV in school grounds. The prosecutor’s office also establishes general measures for school violence, implements various conditional suspensions of indictment systems such as alternative education and guidance by probation officers and crime prevention volunteers, and appropriately conducts disposition by listening to the teacher’s opinion before the prosecutor’s decision when handling relevant cases.   </w:t>
      </w:r>
    </w:p>
    <w:p w:rsidR="005A0798" w:rsidRDefault="005A0798" w:rsidP="005A0798">
      <w:pPr>
        <w:pStyle w:val="H1G"/>
      </w:pPr>
      <w:r>
        <w:tab/>
      </w:r>
      <w:r>
        <w:tab/>
        <w:t>Issue 9</w:t>
      </w:r>
    </w:p>
    <w:p w:rsidR="005A0798" w:rsidRDefault="005A0798" w:rsidP="005A0798">
      <w:pPr>
        <w:pStyle w:val="SingleTxtG"/>
        <w:rPr>
          <w:color w:val="1F497D"/>
        </w:rPr>
      </w:pPr>
      <w:r>
        <w:rPr>
          <w:color w:val="1F497D"/>
        </w:rPr>
        <w:t>23.</w:t>
      </w:r>
      <w:r>
        <w:rPr>
          <w:color w:val="1F497D"/>
        </w:rPr>
        <w:tab/>
      </w:r>
      <w:r>
        <w:rPr>
          <w:szCs w:val="24"/>
        </w:rPr>
        <w:t xml:space="preserve">Refer to Paragraphs 16-19 of the fourth state report. </w:t>
      </w:r>
      <w:r>
        <w:t xml:space="preserve">While the acts of terror are regulated by the Criminal Act, the Act on the Punishment of Violence, the Act on Prohibition on the Offences of Public Intimidation and Proliferation of Weapons of Mass-Destruction, three </w:t>
      </w:r>
      <w:r>
        <w:rPr>
          <w:szCs w:val="24"/>
        </w:rPr>
        <w:t xml:space="preserve">drafts on basic framework on counter-terrorism and two drafts on counter-cyber terrorism are pending in the 19th National Assembly. All pending drafts stipulate the definition of terrorism based on the actions defined as crimes under international treaties and relevant domestic laws, and strictly provide for procedures to ensure that fundamental rights are not infringed in an array of measures against terrorism. </w:t>
      </w:r>
    </w:p>
    <w:p w:rsidR="005A0798" w:rsidRDefault="005A0798" w:rsidP="005A0798">
      <w:pPr>
        <w:pStyle w:val="H1G"/>
      </w:pPr>
      <w:r>
        <w:tab/>
      </w:r>
      <w:r>
        <w:tab/>
        <w:t>Issue 10</w:t>
      </w:r>
    </w:p>
    <w:p w:rsidR="005A0798" w:rsidRDefault="005A0798" w:rsidP="005A0798">
      <w:pPr>
        <w:pStyle w:val="SingleTxtG"/>
      </w:pPr>
      <w:r>
        <w:t>24.</w:t>
      </w:r>
      <w:r>
        <w:tab/>
      </w:r>
      <w:r>
        <w:rPr>
          <w:szCs w:val="24"/>
        </w:rPr>
        <w:t>In</w:t>
      </w:r>
      <w:r>
        <w:t xml:space="preserve"> 2004, the Government established and implemented the </w:t>
      </w:r>
      <w:r>
        <w:rPr>
          <w:szCs w:val="24"/>
        </w:rPr>
        <w:t>Five-</w:t>
      </w:r>
      <w:r>
        <w:t xml:space="preserve">year Basic Plan for Suicide Prevention and the </w:t>
      </w:r>
      <w:r>
        <w:rPr>
          <w:i/>
        </w:rPr>
        <w:t>Act for the Prevention of Suicide and the Creation of Culture of Respect for Life</w:t>
      </w:r>
      <w:r>
        <w:t xml:space="preserve"> </w:t>
      </w:r>
      <w:r>
        <w:rPr>
          <w:szCs w:val="24"/>
        </w:rPr>
        <w:t>came into</w:t>
      </w:r>
      <w:r>
        <w:t xml:space="preserve"> effect </w:t>
      </w:r>
      <w:r>
        <w:rPr>
          <w:szCs w:val="24"/>
        </w:rPr>
        <w:t>in</w:t>
      </w:r>
      <w:r>
        <w:t xml:space="preserve"> 2012. In accordance with </w:t>
      </w:r>
      <w:r>
        <w:rPr>
          <w:szCs w:val="24"/>
        </w:rPr>
        <w:t>the</w:t>
      </w:r>
      <w:r>
        <w:t xml:space="preserve"> law, the Government established </w:t>
      </w:r>
      <w:r>
        <w:rPr>
          <w:szCs w:val="24"/>
        </w:rPr>
        <w:t>suicide-prevention policies tai</w:t>
      </w:r>
      <w:r>
        <w:t xml:space="preserve">lored to </w:t>
      </w:r>
      <w:r>
        <w:rPr>
          <w:szCs w:val="24"/>
        </w:rPr>
        <w:t xml:space="preserve">each stage of </w:t>
      </w:r>
      <w:r>
        <w:t xml:space="preserve">the life cycle from children, juveniles, middle-aged persons, to elderly people, and developed suicide prevention programs </w:t>
      </w:r>
      <w:r>
        <w:rPr>
          <w:szCs w:val="24"/>
        </w:rPr>
        <w:t>for</w:t>
      </w:r>
      <w:r>
        <w:t xml:space="preserve"> juveniles, office workers, and elderly people who show the highest rate of suicide. To </w:t>
      </w:r>
      <w:r>
        <w:rPr>
          <w:szCs w:val="24"/>
        </w:rPr>
        <w:t>curb</w:t>
      </w:r>
      <w:r>
        <w:t xml:space="preserve"> the suicide of high-risk groups, </w:t>
      </w:r>
      <w:r>
        <w:rPr>
          <w:szCs w:val="24"/>
        </w:rPr>
        <w:t xml:space="preserve">in 2013, the Government implemented </w:t>
      </w:r>
      <w:r>
        <w:t xml:space="preserve">elderly suicide prevention programs </w:t>
      </w:r>
      <w:r>
        <w:rPr>
          <w:szCs w:val="24"/>
        </w:rPr>
        <w:t>founded on</w:t>
      </w:r>
      <w:r>
        <w:t xml:space="preserve"> local </w:t>
      </w:r>
      <w:r>
        <w:rPr>
          <w:szCs w:val="24"/>
        </w:rPr>
        <w:t>society</w:t>
      </w:r>
      <w:r>
        <w:t xml:space="preserve"> and </w:t>
      </w:r>
      <w:r>
        <w:rPr>
          <w:szCs w:val="24"/>
        </w:rPr>
        <w:t>case</w:t>
      </w:r>
      <w:r>
        <w:rPr>
          <w:color w:val="FF0000"/>
          <w:szCs w:val="24"/>
        </w:rPr>
        <w:t xml:space="preserve"> </w:t>
      </w:r>
      <w:r>
        <w:t xml:space="preserve">management </w:t>
      </w:r>
      <w:r>
        <w:rPr>
          <w:szCs w:val="24"/>
        </w:rPr>
        <w:t>programs for suicide attempters founded</w:t>
      </w:r>
      <w:r>
        <w:t xml:space="preserve"> on emergency rooms</w:t>
      </w:r>
      <w:r>
        <w:rPr>
          <w:szCs w:val="24"/>
        </w:rPr>
        <w:t xml:space="preserve">. The Government also conducted </w:t>
      </w:r>
      <w:r>
        <w:t xml:space="preserve">fact-finding surveys on suicide in 2013 and </w:t>
      </w:r>
      <w:r>
        <w:rPr>
          <w:szCs w:val="24"/>
        </w:rPr>
        <w:t xml:space="preserve">have pushed for </w:t>
      </w:r>
      <w:r>
        <w:t xml:space="preserve">psychological autopsy </w:t>
      </w:r>
      <w:r>
        <w:rPr>
          <w:szCs w:val="24"/>
        </w:rPr>
        <w:t>since 2014 with a view to identifying</w:t>
      </w:r>
      <w:r>
        <w:t xml:space="preserve"> the </w:t>
      </w:r>
      <w:r>
        <w:rPr>
          <w:szCs w:val="24"/>
        </w:rPr>
        <w:t>causes</w:t>
      </w:r>
      <w:r>
        <w:t xml:space="preserve"> of </w:t>
      </w:r>
      <w:r>
        <w:rPr>
          <w:szCs w:val="24"/>
        </w:rPr>
        <w:t xml:space="preserve">suicide and devising suicide </w:t>
      </w:r>
      <w:r>
        <w:t>prevention policies</w:t>
      </w:r>
      <w:r>
        <w:rPr>
          <w:szCs w:val="24"/>
        </w:rPr>
        <w:t>.</w:t>
      </w:r>
    </w:p>
    <w:p w:rsidR="005A0798" w:rsidRDefault="005A0798" w:rsidP="005A0798">
      <w:pPr>
        <w:pStyle w:val="SingleTxtG"/>
      </w:pPr>
      <w:r>
        <w:t>25.</w:t>
      </w:r>
      <w:r>
        <w:tab/>
        <w:t xml:space="preserve">The current criminal </w:t>
      </w:r>
      <w:r>
        <w:rPr>
          <w:szCs w:val="24"/>
        </w:rPr>
        <w:t xml:space="preserve">law </w:t>
      </w:r>
      <w:r>
        <w:t xml:space="preserve">system </w:t>
      </w:r>
      <w:r>
        <w:rPr>
          <w:szCs w:val="24"/>
        </w:rPr>
        <w:t>establishes its order placing</w:t>
      </w:r>
      <w:r>
        <w:t xml:space="preserve"> the death penalty as the highest sentence and thus it is extremely intricate to abolish the death penalty </w:t>
      </w:r>
      <w:r>
        <w:rPr>
          <w:szCs w:val="24"/>
        </w:rPr>
        <w:t>as it requires a</w:t>
      </w:r>
      <w:r>
        <w:t xml:space="preserve"> review of individual crimes and </w:t>
      </w:r>
      <w:r>
        <w:rPr>
          <w:szCs w:val="24"/>
        </w:rPr>
        <w:t xml:space="preserve">their </w:t>
      </w:r>
      <w:r>
        <w:t xml:space="preserve">corresponding penalties. The question </w:t>
      </w:r>
      <w:r>
        <w:rPr>
          <w:szCs w:val="24"/>
        </w:rPr>
        <w:t>concerned with</w:t>
      </w:r>
      <w:r>
        <w:t xml:space="preserve"> the abolishment or the execution of the death penalty is a matter of fundamental significance in terms of the criminal jurisdiction of a state. Accordingly, the issue will remain under careful review through comprehensive evaluation of public opinion and legal perception, social </w:t>
      </w:r>
      <w:r>
        <w:rPr>
          <w:szCs w:val="24"/>
        </w:rPr>
        <w:t>reality</w:t>
      </w:r>
      <w:r>
        <w:t xml:space="preserve">, as well as the function of the death penalty in criminal policy. A </w:t>
      </w:r>
      <w:r>
        <w:rPr>
          <w:szCs w:val="24"/>
        </w:rPr>
        <w:t>draft bill</w:t>
      </w:r>
      <w:r>
        <w:t xml:space="preserve"> on the abolishment of the death penalty has been tabled to the National Assembly </w:t>
      </w:r>
      <w:r>
        <w:rPr>
          <w:szCs w:val="24"/>
        </w:rPr>
        <w:t>on</w:t>
      </w:r>
      <w:r>
        <w:t xml:space="preserve"> 6 July 2015. </w:t>
      </w:r>
    </w:p>
    <w:p w:rsidR="005A0798" w:rsidRDefault="005A0798" w:rsidP="005A0798">
      <w:pPr>
        <w:pStyle w:val="H1G"/>
      </w:pPr>
      <w:r>
        <w:lastRenderedPageBreak/>
        <w:tab/>
      </w:r>
      <w:r>
        <w:tab/>
        <w:t>Issue 11</w:t>
      </w:r>
    </w:p>
    <w:p w:rsidR="005A0798" w:rsidRDefault="005A0798" w:rsidP="005A0798">
      <w:pPr>
        <w:pStyle w:val="SingleTxtG"/>
      </w:pPr>
      <w:r>
        <w:t>26.</w:t>
      </w:r>
      <w:r>
        <w:tab/>
      </w:r>
      <w:r>
        <w:rPr>
          <w:highlight w:val="white"/>
        </w:rPr>
        <w:t xml:space="preserve">Although no </w:t>
      </w:r>
      <w:r>
        <w:rPr>
          <w:szCs w:val="24"/>
          <w:highlight w:val="white"/>
        </w:rPr>
        <w:t>amendment</w:t>
      </w:r>
      <w:r>
        <w:rPr>
          <w:highlight w:val="white"/>
        </w:rPr>
        <w:t xml:space="preserve"> for codifying torture as a separate crime was made, certain types of torture were codified as crimes under Article 124 (illegal arrest and confinement), and Article 125 (violence and cruel acts) of the </w:t>
      </w:r>
      <w:r>
        <w:rPr>
          <w:i/>
          <w:highlight w:val="white"/>
        </w:rPr>
        <w:t xml:space="preserve">Criminal Act </w:t>
      </w:r>
      <w:r>
        <w:rPr>
          <w:highlight w:val="white"/>
        </w:rPr>
        <w:t xml:space="preserve">and special criminal acts. </w:t>
      </w:r>
    </w:p>
    <w:p w:rsidR="005A0798" w:rsidRDefault="005A0798" w:rsidP="005A0798">
      <w:pPr>
        <w:pStyle w:val="SingleTxtG"/>
      </w:pPr>
      <w:r>
        <w:t>27.</w:t>
      </w:r>
      <w:r>
        <w:tab/>
        <w:t>Regarding torture and cruel treatment, an independent national human rights institution investigates the complaints and</w:t>
      </w:r>
      <w:r>
        <w:rPr>
          <w:i/>
        </w:rPr>
        <w:t xml:space="preserve"> </w:t>
      </w:r>
      <w:r>
        <w:t>makes</w:t>
      </w:r>
      <w:r>
        <w:rPr>
          <w:i/>
        </w:rPr>
        <w:t xml:space="preserve"> </w:t>
      </w:r>
      <w:r>
        <w:t>recommendations under the</w:t>
      </w:r>
      <w:r>
        <w:rPr>
          <w:szCs w:val="24"/>
        </w:rPr>
        <w:t xml:space="preserve"> procedure and</w:t>
      </w:r>
      <w:r>
        <w:t xml:space="preserve"> authority of the </w:t>
      </w:r>
      <w:r>
        <w:rPr>
          <w:i/>
        </w:rPr>
        <w:t xml:space="preserve">National Human Rights Commission Act. </w:t>
      </w:r>
      <w:r>
        <w:t>For the Prosecutors’ Office, an inspector prosecutor carries out inquiries</w:t>
      </w:r>
      <w:r>
        <w:rPr>
          <w:szCs w:val="24"/>
        </w:rPr>
        <w:t>,</w:t>
      </w:r>
      <w:r>
        <w:t xml:space="preserve"> and a special mandate prosecutor shall be appointed to carry out investigations for certain cases. A victim of torture may file a complaint with the </w:t>
      </w:r>
      <w:r>
        <w:rPr>
          <w:szCs w:val="24"/>
        </w:rPr>
        <w:t>investigation</w:t>
      </w:r>
      <w:r>
        <w:t xml:space="preserve"> authority or with the Human Rights Hotline Center of the Ministry of Justice, or petition to the Minister of Justice, etc. The National Policy Agency also investigates accusation against police</w:t>
      </w:r>
      <w:r>
        <w:rPr>
          <w:szCs w:val="24"/>
        </w:rPr>
        <w:t xml:space="preserve"> officers</w:t>
      </w:r>
      <w:r>
        <w:t xml:space="preserve">, adhering to the principle that investigations </w:t>
      </w:r>
      <w:r>
        <w:rPr>
          <w:szCs w:val="24"/>
        </w:rPr>
        <w:t>shall be</w:t>
      </w:r>
      <w:r>
        <w:t xml:space="preserve"> carried out at </w:t>
      </w:r>
      <w:r>
        <w:rPr>
          <w:szCs w:val="24"/>
        </w:rPr>
        <w:t>a</w:t>
      </w:r>
      <w:r>
        <w:t xml:space="preserve"> police station </w:t>
      </w:r>
      <w:r>
        <w:rPr>
          <w:szCs w:val="24"/>
        </w:rPr>
        <w:t xml:space="preserve">where the </w:t>
      </w:r>
      <w:r>
        <w:t xml:space="preserve">police officer </w:t>
      </w:r>
      <w:r>
        <w:rPr>
          <w:szCs w:val="24"/>
        </w:rPr>
        <w:t xml:space="preserve">in question </w:t>
      </w:r>
      <w:r>
        <w:t xml:space="preserve">is </w:t>
      </w:r>
      <w:r>
        <w:rPr>
          <w:szCs w:val="24"/>
        </w:rPr>
        <w:t xml:space="preserve">not </w:t>
      </w:r>
      <w:r>
        <w:t xml:space="preserve">affiliated. </w:t>
      </w:r>
    </w:p>
    <w:p w:rsidR="005A0798" w:rsidRDefault="005A0798" w:rsidP="005A0798">
      <w:pPr>
        <w:pStyle w:val="SingleTxtG"/>
      </w:pPr>
      <w:r>
        <w:t>28.</w:t>
      </w:r>
      <w:r>
        <w:tab/>
        <w:t>From 2012 to July 2015, the police took disciplinary measure against one case in 2012, one case in 2013 and one case concerning the alleged acts of violence in the performance of duties in 2014, resulted in the discharge of the policemen in two cases and one official reprimand. The following table outlines the number of cases of prosecution under Articles 124 and 125 of the</w:t>
      </w:r>
      <w:r>
        <w:rPr>
          <w:i/>
        </w:rPr>
        <w:t xml:space="preserve"> Criminal Act </w:t>
      </w:r>
      <w:r>
        <w:t xml:space="preserve">since 2011. </w:t>
      </w:r>
    </w:p>
    <w:tbl>
      <w:tblPr>
        <w:tblW w:w="7370" w:type="dxa"/>
        <w:tblInd w:w="1134" w:type="dxa"/>
        <w:tblBorders>
          <w:top w:val="single" w:sz="4" w:space="0" w:color="auto"/>
          <w:bottom w:val="single" w:sz="12" w:space="0" w:color="auto"/>
          <w:insideH w:val="single" w:sz="12" w:space="0" w:color="auto"/>
        </w:tblBorders>
        <w:tblCellMar>
          <w:left w:w="0" w:type="dxa"/>
        </w:tblCellMar>
        <w:tblLook w:val="0600" w:firstRow="0" w:lastRow="0" w:firstColumn="0" w:lastColumn="0" w:noHBand="1" w:noVBand="1"/>
      </w:tblPr>
      <w:tblGrid>
        <w:gridCol w:w="1766"/>
        <w:gridCol w:w="1109"/>
        <w:gridCol w:w="1119"/>
        <w:gridCol w:w="1062"/>
        <w:gridCol w:w="1138"/>
        <w:gridCol w:w="1176"/>
      </w:tblGrid>
      <w:tr w:rsidR="005A0798" w:rsidTr="005A0798">
        <w:trPr>
          <w:trHeight w:val="240"/>
          <w:tblHeader/>
        </w:trPr>
        <w:tc>
          <w:tcPr>
            <w:tcW w:w="213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highlight w:val="white"/>
              </w:rPr>
              <w:t>Year</w:t>
            </w:r>
          </w:p>
        </w:tc>
        <w:tc>
          <w:tcPr>
            <w:tcW w:w="1455"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highlight w:val="yellow"/>
              </w:rPr>
            </w:pPr>
            <w:r>
              <w:rPr>
                <w:rFonts w:ascii="Times New Roman" w:eastAsia="Times New Roman" w:hAnsi="Times New Roman" w:cs="Times New Roman"/>
                <w:i/>
                <w:color w:val="auto"/>
                <w:sz w:val="16"/>
                <w:highlight w:val="white"/>
              </w:rPr>
              <w:t>2011</w:t>
            </w:r>
          </w:p>
        </w:tc>
        <w:tc>
          <w:tcPr>
            <w:tcW w:w="147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highlight w:val="white"/>
              </w:rPr>
              <w:t>2012</w:t>
            </w:r>
          </w:p>
        </w:tc>
        <w:tc>
          <w:tcPr>
            <w:tcW w:w="138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highlight w:val="white"/>
              </w:rPr>
              <w:t>2013</w:t>
            </w:r>
          </w:p>
        </w:tc>
        <w:tc>
          <w:tcPr>
            <w:tcW w:w="150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highlight w:val="white"/>
              </w:rPr>
              <w:t>2014</w:t>
            </w:r>
          </w:p>
        </w:tc>
        <w:tc>
          <w:tcPr>
            <w:tcW w:w="156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highlight w:val="yellow"/>
              </w:rPr>
            </w:pPr>
            <w:r>
              <w:rPr>
                <w:rFonts w:ascii="Times New Roman" w:hAnsi="Times New Roman" w:cs="Times New Roman"/>
                <w:i/>
                <w:color w:val="auto"/>
                <w:sz w:val="16"/>
              </w:rPr>
              <w:t>May 2015</w:t>
            </w:r>
          </w:p>
        </w:tc>
      </w:tr>
      <w:tr w:rsidR="005A0798" w:rsidTr="005A0798">
        <w:trPr>
          <w:trHeight w:val="240"/>
        </w:trPr>
        <w:tc>
          <w:tcPr>
            <w:tcW w:w="2130"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highlight w:val="white"/>
              </w:rPr>
              <w:t xml:space="preserve">Number of cases of Prosecution </w:t>
            </w:r>
          </w:p>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highlight w:val="white"/>
              </w:rPr>
              <w:t>(</w:t>
            </w:r>
            <w:r>
              <w:rPr>
                <w:rFonts w:ascii="Times New Roman" w:hAnsi="Times New Roman" w:cs="Times New Roman"/>
                <w:color w:val="auto"/>
                <w:sz w:val="20"/>
              </w:rPr>
              <w:t>brought to trial)</w:t>
            </w:r>
          </w:p>
        </w:tc>
        <w:tc>
          <w:tcPr>
            <w:tcW w:w="1455"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highlight w:val="yellow"/>
              </w:rPr>
            </w:pPr>
            <w:r>
              <w:rPr>
                <w:rFonts w:ascii="Times New Roman" w:hAnsi="Times New Roman" w:cs="Times New Roman"/>
                <w:color w:val="auto"/>
                <w:sz w:val="20"/>
              </w:rPr>
              <w:t>2</w:t>
            </w:r>
            <w:r>
              <w:rPr>
                <w:rFonts w:ascii="Times New Roman" w:hAnsi="Times New Roman" w:cs="Times New Roman"/>
                <w:color w:val="auto"/>
                <w:sz w:val="20"/>
                <w:highlight w:val="yellow"/>
              </w:rPr>
              <w:t xml:space="preserve"> </w:t>
            </w:r>
          </w:p>
        </w:tc>
        <w:tc>
          <w:tcPr>
            <w:tcW w:w="1470"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highlight w:val="white"/>
              </w:rPr>
              <w:t xml:space="preserve">1 </w:t>
            </w:r>
          </w:p>
        </w:tc>
        <w:tc>
          <w:tcPr>
            <w:tcW w:w="1380"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highlight w:val="white"/>
              </w:rPr>
              <w:t xml:space="preserve">1 </w:t>
            </w:r>
          </w:p>
        </w:tc>
        <w:tc>
          <w:tcPr>
            <w:tcW w:w="1500"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highlight w:val="white"/>
              </w:rPr>
              <w:t xml:space="preserve">1 </w:t>
            </w:r>
          </w:p>
        </w:tc>
        <w:tc>
          <w:tcPr>
            <w:tcW w:w="1560" w:type="dxa"/>
            <w:tcBorders>
              <w:top w:val="single" w:sz="12" w:space="0" w:color="auto"/>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highlight w:val="yellow"/>
              </w:rPr>
            </w:pPr>
            <w:r>
              <w:rPr>
                <w:rFonts w:ascii="Times New Roman" w:hAnsi="Times New Roman" w:cs="Times New Roman"/>
                <w:color w:val="auto"/>
                <w:sz w:val="20"/>
              </w:rPr>
              <w:t xml:space="preserve">1 </w:t>
            </w:r>
          </w:p>
        </w:tc>
      </w:tr>
    </w:tbl>
    <w:p w:rsidR="005A0798" w:rsidRDefault="005A0798" w:rsidP="005A0798">
      <w:pPr>
        <w:pStyle w:val="SingleTxtG"/>
      </w:pPr>
      <w:r>
        <w:t>29.</w:t>
      </w:r>
      <w:r>
        <w:tab/>
        <w:t xml:space="preserve">Articles 97-99 of the </w:t>
      </w:r>
      <w:r>
        <w:rPr>
          <w:i/>
        </w:rPr>
        <w:t xml:space="preserve">Administration and Treatment of Correctional Institution Inmates Act </w:t>
      </w:r>
      <w:r>
        <w:t xml:space="preserve">clearly </w:t>
      </w:r>
      <w:r>
        <w:rPr>
          <w:szCs w:val="24"/>
        </w:rPr>
        <w:t>stipulates the</w:t>
      </w:r>
      <w:r>
        <w:t xml:space="preserve"> conditions </w:t>
      </w:r>
      <w:r>
        <w:rPr>
          <w:szCs w:val="24"/>
        </w:rPr>
        <w:t>under</w:t>
      </w:r>
      <w:r>
        <w:t xml:space="preserve"> which protective devices may be used, types </w:t>
      </w:r>
      <w:r>
        <w:rPr>
          <w:szCs w:val="24"/>
        </w:rPr>
        <w:t xml:space="preserve">and requirements </w:t>
      </w:r>
      <w:r>
        <w:t xml:space="preserve">of the use of protective devices, and the prohibition of abuse of protective devices. Article 99(2) of the Act prescribes that “no protective devices shall be used as </w:t>
      </w:r>
      <w:r>
        <w:rPr>
          <w:szCs w:val="24"/>
        </w:rPr>
        <w:t xml:space="preserve">a </w:t>
      </w:r>
      <w:r>
        <w:t>means of punitive action.” The procedures for using protective devices are</w:t>
      </w:r>
      <w:r>
        <w:rPr>
          <w:szCs w:val="24"/>
        </w:rPr>
        <w:t>;</w:t>
      </w:r>
      <w:r>
        <w:t xml:space="preserve"> notifying a prisoner of the reason for the use of protective devices before </w:t>
      </w:r>
      <w:r>
        <w:rPr>
          <w:szCs w:val="24"/>
        </w:rPr>
        <w:t>they are</w:t>
      </w:r>
      <w:r>
        <w:t xml:space="preserve"> used; calming him/her through psychological counseling</w:t>
      </w:r>
      <w:r>
        <w:rPr>
          <w:szCs w:val="24"/>
        </w:rPr>
        <w:t>;</w:t>
      </w:r>
      <w:r>
        <w:t xml:space="preserve"> using protective devices within the minimum necessary extent. The use of protective devices shall be stopped upon the termination of the relevant reason. If a correctional officer uses protective equipment against any prisoner within a correctional institution, the relevant medical officer shall regularly check the health status of the relevant prisoner. A forfeiture of rights may be imposed as a disciplinary action that entails a solitary confinement. When a forfeiture of rights is enforced, the relevant medical officer shall regularly check the health status of the relevant prisoner before and during the enforcement. Communications through writing, letters, interviews or outside activities may be permitted if necessary. </w:t>
      </w:r>
    </w:p>
    <w:p w:rsidR="005A0798" w:rsidRDefault="005A0798" w:rsidP="005A0798">
      <w:pPr>
        <w:pStyle w:val="H1G"/>
      </w:pPr>
      <w:r>
        <w:tab/>
      </w:r>
      <w:r>
        <w:tab/>
        <w:t>Issue 12</w:t>
      </w:r>
    </w:p>
    <w:p w:rsidR="005A0798" w:rsidRDefault="005A0798" w:rsidP="005A0798">
      <w:pPr>
        <w:pStyle w:val="SingleTxtG"/>
      </w:pPr>
      <w:r>
        <w:t>30.</w:t>
      </w:r>
      <w:r>
        <w:tab/>
        <w:t xml:space="preserve">A draft bill, the </w:t>
      </w:r>
      <w:r>
        <w:rPr>
          <w:i/>
        </w:rPr>
        <w:t>Mental Health Promotion Act</w:t>
      </w:r>
      <w:r>
        <w:t xml:space="preserve">, was submitted to the National Assembly in January 2014, in order to shift the paradigm of the mental health policy from the hospitalization of severely mentally ill persons to the early detection and treatment of mentally ill persons. The Act envisages a decrease in the number of involuntary hospitalization by making it mandatory for the Mental Health Promotion Council to evaluate the necessity of hospitalization in three and six months after the first day of a patient’s hospitalization, which is currently carried out every six months. In addition, to </w:t>
      </w:r>
      <w:r>
        <w:lastRenderedPageBreak/>
        <w:t xml:space="preserve">protect hospitalized persons from solitary confinement and physical violence, the </w:t>
      </w:r>
      <w:r>
        <w:rPr>
          <w:i/>
        </w:rPr>
        <w:t>Mental Health Act</w:t>
      </w:r>
      <w:r>
        <w:t xml:space="preserve"> bans any coercion of labor, violent and cruel treatment, and arbitrary confinement, with an exception of medical or rehabilitative activities instructed by the neuropsychiatrist.</w:t>
      </w:r>
    </w:p>
    <w:p w:rsidR="005A0798" w:rsidRDefault="005A0798" w:rsidP="005A0798">
      <w:pPr>
        <w:pStyle w:val="SingleTxtG"/>
      </w:pPr>
      <w:r>
        <w:t>31.</w:t>
      </w:r>
      <w:r>
        <w:tab/>
        <w:t xml:space="preserve">As of December 2013, of 1194 applications filed for habeas corpus under the </w:t>
      </w:r>
      <w:r>
        <w:rPr>
          <w:i/>
        </w:rPr>
        <w:t>Habeas Corpus Act</w:t>
      </w:r>
      <w:r>
        <w:t>, described in Paragraphs 167 and 168 in the forth state report, 94 cases were decided in applicants’ favor. The Government submitted an amendment of the</w:t>
      </w:r>
      <w:r>
        <w:rPr>
          <w:i/>
        </w:rPr>
        <w:t xml:space="preserve"> Habeas Corpus Act</w:t>
      </w:r>
      <w:r>
        <w:t xml:space="preserve"> to the National Assembly in July 2014 in order to allow an officer for habeas corpus to directly inspect confinement facilities for any illegal confinement and to file an application to the court through a prosecutor when such violation is found.</w:t>
      </w:r>
    </w:p>
    <w:p w:rsidR="005A0798" w:rsidRDefault="005A0798" w:rsidP="005A0798">
      <w:pPr>
        <w:pStyle w:val="SingleTxtG"/>
      </w:pPr>
      <w:r>
        <w:t>32.</w:t>
      </w:r>
      <w:r>
        <w:tab/>
        <w:t>Forced sterilization or abortion is not allowed under any circumstances in the Republic of Korea. In 1973, with the enactment of the</w:t>
      </w:r>
      <w:r>
        <w:rPr>
          <w:i/>
        </w:rPr>
        <w:t xml:space="preserve"> Mother and Child Health Act, </w:t>
      </w:r>
      <w:r>
        <w:t xml:space="preserve">a policy was introduced to allow the Government to force sterilization on patients with genetic physical or mental illness. The policy was abolished in 1999, however, due to controversies over human rights violations. </w:t>
      </w:r>
    </w:p>
    <w:p w:rsidR="005A0798" w:rsidRDefault="005A0798" w:rsidP="005A0798">
      <w:pPr>
        <w:pStyle w:val="H1G"/>
      </w:pPr>
      <w:r>
        <w:tab/>
      </w:r>
      <w:r>
        <w:tab/>
        <w:t>Issue 13</w:t>
      </w:r>
    </w:p>
    <w:p w:rsidR="005A0798" w:rsidRDefault="005A0798" w:rsidP="005A0798">
      <w:pPr>
        <w:pStyle w:val="SingleTxtG"/>
      </w:pPr>
      <w:r>
        <w:t>33.</w:t>
      </w:r>
      <w:r>
        <w:tab/>
        <w:t xml:space="preserve">The Ministry of National Defense heavily punishes violence within the army while a legislative action to </w:t>
      </w:r>
      <w:r>
        <w:rPr>
          <w:szCs w:val="24"/>
        </w:rPr>
        <w:t>criminalize</w:t>
      </w:r>
      <w:r>
        <w:t xml:space="preserve"> violence </w:t>
      </w:r>
      <w:r>
        <w:rPr>
          <w:szCs w:val="24"/>
        </w:rPr>
        <w:t>inside barrack</w:t>
      </w:r>
      <w:r>
        <w:t xml:space="preserve"> is currently in progress. Stronger monitoring within the army is continuously carried out through </w:t>
      </w:r>
      <w:r>
        <w:rPr>
          <w:szCs w:val="24"/>
        </w:rPr>
        <w:t xml:space="preserve">the </w:t>
      </w:r>
      <w:r>
        <w:t xml:space="preserve">appointment of counseling officers for human rights and communal living in the barracks, </w:t>
      </w:r>
      <w:r>
        <w:rPr>
          <w:szCs w:val="24"/>
        </w:rPr>
        <w:t>the organization of</w:t>
      </w:r>
      <w:r>
        <w:t xml:space="preserve"> a monitoring team for human rights, and </w:t>
      </w:r>
      <w:r>
        <w:rPr>
          <w:szCs w:val="24"/>
        </w:rPr>
        <w:t>the operation of</w:t>
      </w:r>
      <w:r>
        <w:t xml:space="preserve"> a military help-call system. Military judicial officers and military human rights instructors regularly provide human rights education in the army. Furthermore, </w:t>
      </w:r>
      <w:r>
        <w:rPr>
          <w:szCs w:val="24"/>
        </w:rPr>
        <w:t xml:space="preserve">there are </w:t>
      </w:r>
      <w:r>
        <w:t xml:space="preserve">efforts to enact the </w:t>
      </w:r>
      <w:r>
        <w:rPr>
          <w:i/>
        </w:rPr>
        <w:t>Human Rights Act for Military Personnel</w:t>
      </w:r>
      <w:r>
        <w:t xml:space="preserve"> </w:t>
      </w:r>
      <w:r>
        <w:rPr>
          <w:szCs w:val="24"/>
        </w:rPr>
        <w:t>to protect</w:t>
      </w:r>
      <w:r>
        <w:t xml:space="preserve"> human right, promote human rights awareness and prevent violence</w:t>
      </w:r>
      <w:r>
        <w:rPr>
          <w:szCs w:val="24"/>
        </w:rPr>
        <w:t xml:space="preserve"> in the army</w:t>
      </w:r>
      <w:r>
        <w:t xml:space="preserve">.    </w:t>
      </w:r>
    </w:p>
    <w:p w:rsidR="005A0798" w:rsidRDefault="005A0798" w:rsidP="005A0798">
      <w:pPr>
        <w:pStyle w:val="SingleTxtG"/>
      </w:pPr>
      <w:r>
        <w:t>34.</w:t>
      </w:r>
      <w:r>
        <w:tab/>
        <w:t xml:space="preserve">Regarding compensation for </w:t>
      </w:r>
      <w:r>
        <w:rPr>
          <w:szCs w:val="24"/>
        </w:rPr>
        <w:t>victims</w:t>
      </w:r>
      <w:r>
        <w:t>, a victim may be compensated in the form of state compensation only if a direct causal relationship of the Government</w:t>
      </w:r>
      <w:r>
        <w:rPr>
          <w:szCs w:val="24"/>
        </w:rPr>
        <w:t xml:space="preserve"> such as the commander’s acquiescence or abetment in a crime is acknowledged</w:t>
      </w:r>
      <w:r>
        <w:t xml:space="preserve">. </w:t>
      </w:r>
    </w:p>
    <w:p w:rsidR="005A0798" w:rsidRDefault="005A0798" w:rsidP="005A0798">
      <w:pPr>
        <w:pStyle w:val="SingleTxtG"/>
      </w:pPr>
      <w:r>
        <w:t>35.</w:t>
      </w:r>
      <w:r>
        <w:tab/>
        <w:t xml:space="preserve">Meanwhile on 31 October 2014, the National Assembly inspected the causes for the frequent occurrences of cruel acts and sexual crimes within the army and organized the </w:t>
      </w:r>
      <w:r>
        <w:rPr>
          <w:i/>
        </w:rPr>
        <w:t>Ad-hoc Committee on Improvement of human rights and Progressing the Culture in the Military</w:t>
      </w:r>
      <w:r>
        <w:t xml:space="preserve"> in order to prevent recurrences of such acts and introduce measures that would help improve the system that manages those crimes. The Committee, </w:t>
      </w:r>
      <w:r>
        <w:rPr>
          <w:szCs w:val="24"/>
        </w:rPr>
        <w:t>which will be active until</w:t>
      </w:r>
      <w:r>
        <w:t xml:space="preserve"> 31 July 2015, has adopted 23 policy tasks such as improvement in the military judicial system, the evaluation system that identifies those disqualified for military service, the managing system of those who have difficulty adapting to barrack life, measures against military sexual violence, the military medical  system and educational system for military personnel that aims to foster innovation within the military personnel culture, and the implementation of the military ombudsman system. It has submitted about ten relevant bills to the National Assembly</w:t>
      </w:r>
      <w:r>
        <w:rPr>
          <w:szCs w:val="24"/>
        </w:rPr>
        <w:t>, all of which</w:t>
      </w:r>
      <w:r>
        <w:t xml:space="preserve"> are under discussion. </w:t>
      </w:r>
    </w:p>
    <w:p w:rsidR="005A0798" w:rsidRDefault="005A0798" w:rsidP="005A0798">
      <w:pPr>
        <w:pStyle w:val="H1G"/>
      </w:pPr>
      <w:r>
        <w:tab/>
      </w:r>
      <w:r>
        <w:tab/>
        <w:t>Issue 14</w:t>
      </w:r>
    </w:p>
    <w:p w:rsidR="005A0798" w:rsidRDefault="005A0798" w:rsidP="005A0798">
      <w:pPr>
        <w:pStyle w:val="SingleTxtG"/>
      </w:pPr>
      <w:r>
        <w:t>36.</w:t>
      </w:r>
      <w:r>
        <w:tab/>
        <w:t xml:space="preserve">The relevant information is provided in </w:t>
      </w:r>
      <w:r>
        <w:rPr>
          <w:szCs w:val="24"/>
        </w:rPr>
        <w:t>Paragraphs</w:t>
      </w:r>
      <w:r>
        <w:t xml:space="preserve"> 159-164 </w:t>
      </w:r>
      <w:r>
        <w:rPr>
          <w:szCs w:val="24"/>
        </w:rPr>
        <w:t>of</w:t>
      </w:r>
      <w:r>
        <w:t xml:space="preserve"> the fourth state report. </w:t>
      </w:r>
      <w:r>
        <w:rPr>
          <w:szCs w:val="24"/>
        </w:rPr>
        <w:t>The</w:t>
      </w:r>
      <w:r>
        <w:t xml:space="preserve"> specific conditions and procedures are prescribed in the </w:t>
      </w:r>
      <w:r>
        <w:rPr>
          <w:szCs w:val="24"/>
        </w:rPr>
        <w:t xml:space="preserve">Constitution and the </w:t>
      </w:r>
      <w:r>
        <w:rPr>
          <w:i/>
          <w:szCs w:val="24"/>
        </w:rPr>
        <w:t>Criminal Procedure Act.</w:t>
      </w:r>
      <w:r>
        <w:rPr>
          <w:szCs w:val="24"/>
        </w:rPr>
        <w:t xml:space="preserve"> The</w:t>
      </w:r>
      <w:r>
        <w:t xml:space="preserve"> court </w:t>
      </w:r>
      <w:r>
        <w:rPr>
          <w:szCs w:val="24"/>
        </w:rPr>
        <w:t>which receives a request for issuance of a</w:t>
      </w:r>
      <w:r>
        <w:t xml:space="preserve"> detention warrant </w:t>
      </w:r>
      <w:r>
        <w:rPr>
          <w:szCs w:val="24"/>
        </w:rPr>
        <w:t>shall hold a hearing and</w:t>
      </w:r>
      <w:r>
        <w:t xml:space="preserve"> examine all suspects by the next day of the request</w:t>
      </w:r>
      <w:r>
        <w:rPr>
          <w:szCs w:val="24"/>
        </w:rPr>
        <w:t xml:space="preserve"> if no special circumstances exist (</w:t>
      </w:r>
      <w:r>
        <w:rPr>
          <w:i/>
        </w:rPr>
        <w:t>Criminal Procedure Act</w:t>
      </w:r>
      <w:r>
        <w:t xml:space="preserve">, Article 201-2). Also, any arrested or </w:t>
      </w:r>
      <w:r>
        <w:lastRenderedPageBreak/>
        <w:t>detained person is entitled to request review on lawfulness of his arrest or detention and the judge shall examine the request within 48 hours</w:t>
      </w:r>
      <w:r>
        <w:rPr>
          <w:szCs w:val="24"/>
        </w:rPr>
        <w:t xml:space="preserve"> (</w:t>
      </w:r>
      <w:r>
        <w:rPr>
          <w:i/>
          <w:szCs w:val="24"/>
        </w:rPr>
        <w:t>Criminal Procedure Act</w:t>
      </w:r>
      <w:r>
        <w:rPr>
          <w:szCs w:val="24"/>
        </w:rPr>
        <w:t>, Article214-2).</w:t>
      </w:r>
      <w:r>
        <w:t xml:space="preserve"> </w:t>
      </w:r>
    </w:p>
    <w:p w:rsidR="005A0798" w:rsidRDefault="005A0798" w:rsidP="005A0798">
      <w:pPr>
        <w:pStyle w:val="SingleTxtG"/>
      </w:pPr>
      <w:r>
        <w:t>37.</w:t>
      </w:r>
      <w:r>
        <w:tab/>
        <w:t xml:space="preserve">If a person is imprisoned during the investigation, he/she may be subject to investigations while imprisoned until prosecution for a </w:t>
      </w:r>
      <w:r>
        <w:rPr>
          <w:szCs w:val="24"/>
        </w:rPr>
        <w:t>maximum of</w:t>
      </w:r>
      <w:r>
        <w:t xml:space="preserve"> 30 days for ordinary crimes and for a </w:t>
      </w:r>
      <w:r>
        <w:rPr>
          <w:szCs w:val="24"/>
        </w:rPr>
        <w:t>maximum of</w:t>
      </w:r>
      <w:r>
        <w:t xml:space="preserve"> 50 days for the offences under the </w:t>
      </w:r>
      <w:r>
        <w:rPr>
          <w:i/>
        </w:rPr>
        <w:t>National Security Act.</w:t>
      </w:r>
      <w:r>
        <w:t xml:space="preserve"> After a prosecution, the period of imprisonment is set to two months, which is renewable twice for each instance. If an additional hearing is needed in </w:t>
      </w:r>
      <w:r>
        <w:rPr>
          <w:szCs w:val="24"/>
        </w:rPr>
        <w:t>the</w:t>
      </w:r>
      <w:r>
        <w:t xml:space="preserve"> proceeding of appeal, the period of imprisonment may be renewed a maximum of three times according to Article 92</w:t>
      </w:r>
      <w:r>
        <w:rPr>
          <w:szCs w:val="24"/>
        </w:rPr>
        <w:t xml:space="preserve"> of the</w:t>
      </w:r>
      <w:r>
        <w:t xml:space="preserve"> </w:t>
      </w:r>
      <w:r>
        <w:rPr>
          <w:i/>
        </w:rPr>
        <w:t>Criminal Procedure Act</w:t>
      </w:r>
      <w:r>
        <w:t>. This principle does not mean that a decision must be made within the period. Rather its purpose is to set a time period where a defendant may be tried under custody. A sentence of an imprisoned defendant is usually made during the period in which imprisonment is permitted. The number of days in confinement before imposition of sentence shall be included into the finalized sentence of imprisonment (</w:t>
      </w:r>
      <w:r>
        <w:rPr>
          <w:i/>
        </w:rPr>
        <w:t>Criminal Act</w:t>
      </w:r>
      <w:r>
        <w:t>, Article 57</w:t>
      </w:r>
      <w:r>
        <w:rPr>
          <w:i/>
        </w:rPr>
        <w:t>)</w:t>
      </w:r>
      <w:r>
        <w:t xml:space="preserve">.  </w:t>
      </w:r>
      <w:r>
        <w:tab/>
      </w:r>
    </w:p>
    <w:p w:rsidR="005A0798" w:rsidRDefault="005A0798" w:rsidP="005A0798">
      <w:pPr>
        <w:pStyle w:val="H1G"/>
      </w:pPr>
      <w:r>
        <w:tab/>
      </w:r>
      <w:r>
        <w:tab/>
        <w:t>Issue 15</w:t>
      </w:r>
    </w:p>
    <w:p w:rsidR="005A0798" w:rsidRDefault="005A0798" w:rsidP="005A0798">
      <w:pPr>
        <w:pStyle w:val="SingleTxtG"/>
      </w:pPr>
      <w:r>
        <w:t>38.</w:t>
      </w:r>
      <w:r>
        <w:tab/>
        <w:t xml:space="preserve">Through the approval by the Minister of Justice to extend protection explained in Paragraph 154 of the fourth periodic report, the Minister of Justice prevents illegal or abusive protection by conducting regular reviews of detention which evaluates whether the protection order of the head of regional immigration/foreigner office is illegal or unfair. </w:t>
      </w:r>
    </w:p>
    <w:p w:rsidR="005A0798" w:rsidRDefault="005A0798" w:rsidP="005A0798">
      <w:pPr>
        <w:pStyle w:val="SingleTxtG"/>
      </w:pPr>
      <w:r>
        <w:t>The protection order is only a waiting procedure for the departure of foreigners against whom the deportation order is made. Under the protection order, the protected foreigner may leave the country any time he/she wishes to. Therefore, the purpose and aspects of the protection order are different from those of confinement of criminal procedures. In addition, the objection against one’s custody, judicial review through the administrative litigation seeking revocation of the protection order, and the request of a temporary release are provided so that the legal procedures on the duration of custody to protect the rights of the detained foreigners subject to deportation are ensured. Further to limiting duration of detention, the officer executing the protection order must present the written order to the foreigner and also notify him/her of the facts regarding protection of a foreigner to his/her legal representative in writing. These procedures of protection of foreigners are in line with the provisions applicable to the procedures of non-criminal nature under Article 9 of the ICCPR.</w:t>
      </w:r>
    </w:p>
    <w:p w:rsidR="005A0798" w:rsidRDefault="005A0798" w:rsidP="005A0798">
      <w:pPr>
        <w:pStyle w:val="SingleTxtG"/>
      </w:pPr>
      <w:r>
        <w:t>39.</w:t>
      </w:r>
      <w:r>
        <w:tab/>
        <w:t xml:space="preserve">In principle, children seeking asylum are not placed under custody in the immigration detention facilities and custodial protection is also restrained for other children regardless of their guardian’s accompaniment. When detention in immigration detention facilities is inevitable, children are placed in special rooms and an officer is designated to take care of the children under custody and minimize any inconveniences. The repatriation process is expedited by supporting issuance of travel document, and the average period of custody over the past three years is 7.8 days. Therefore, the allegation on the detention of asylum-seeking children, including unaccompanied children, lacks grounds. </w:t>
      </w:r>
    </w:p>
    <w:p w:rsidR="005A0798" w:rsidRDefault="005A0798" w:rsidP="005A0798">
      <w:pPr>
        <w:pStyle w:val="SingleTxtG"/>
      </w:pPr>
      <w:r>
        <w:t>40.</w:t>
      </w:r>
      <w:r>
        <w:tab/>
      </w:r>
      <w:r>
        <w:rPr>
          <w:highlight w:val="white"/>
        </w:rPr>
        <w:t xml:space="preserve">If a person subject to a deportation order for violating the </w:t>
      </w:r>
      <w:r>
        <w:rPr>
          <w:i/>
          <w:highlight w:val="white"/>
        </w:rPr>
        <w:t>Immigration Control Act</w:t>
      </w:r>
      <w:r>
        <w:rPr>
          <w:highlight w:val="white"/>
        </w:rPr>
        <w:t xml:space="preserve"> and voluntarily expresses his/her wish to leave the country, an order of departure is issued rather than an order of deportation. An immigration detainee may be temporarily released if he/she has humanitarian reasons such as seeking remedy against infringement of his/her rights or illness. Moreover, in order to shorten the detention period, efforts to identify and solve problems such as overdue wages are made. Financial support is provided from the state budget for early departure if the foreigner has insufficient money to pay for his/her departure. Therefore, detention in immigration detention centers as a last resort for the securement of executive force of compulsory deportation is used only when a person </w:t>
      </w:r>
      <w:r>
        <w:rPr>
          <w:highlight w:val="white"/>
        </w:rPr>
        <w:lastRenderedPageBreak/>
        <w:t xml:space="preserve">subject to deportation does not express any wish to voluntarily leave the country and concerns that the person may flee exist. Even in such circumstances, efforts to minimize the protection period are made. The average detention period in 2014 was 12.2 days. </w:t>
      </w:r>
    </w:p>
    <w:p w:rsidR="005A0798" w:rsidRDefault="005A0798" w:rsidP="005A0798">
      <w:pPr>
        <w:pStyle w:val="H1G"/>
      </w:pPr>
      <w:r>
        <w:tab/>
      </w:r>
      <w:r>
        <w:tab/>
        <w:t>Issue 16</w:t>
      </w:r>
    </w:p>
    <w:p w:rsidR="005A0798" w:rsidRDefault="005A0798" w:rsidP="005A0798">
      <w:pPr>
        <w:pStyle w:val="SingleTxtG"/>
      </w:pPr>
      <w:r>
        <w:t>41.</w:t>
      </w:r>
      <w:r>
        <w:tab/>
        <w:t xml:space="preserve">The right to communication with a counsel is ensured as an absolute right during an interrogation of a defendant and the </w:t>
      </w:r>
      <w:r>
        <w:rPr>
          <w:szCs w:val="24"/>
        </w:rPr>
        <w:t>counsel’s participation</w:t>
      </w:r>
      <w:r>
        <w:t xml:space="preserve"> is limitedly restricted when it clearly causes hindrance such as disturbing the interrogation or revealing any confidential material pertaining to the investigation, so that the system is in line with the obligations under Article 9 of the Covenant [</w:t>
      </w:r>
      <w:r>
        <w:rPr>
          <w:i/>
        </w:rPr>
        <w:t>Criminal Procedure Act,</w:t>
      </w:r>
      <w:r>
        <w:t xml:space="preserve"> Article </w:t>
      </w:r>
      <w:r>
        <w:rPr>
          <w:szCs w:val="24"/>
        </w:rPr>
        <w:t>243</w:t>
      </w:r>
      <w:r>
        <w:t>(2</w:t>
      </w:r>
      <w:r>
        <w:rPr>
          <w:i/>
          <w:szCs w:val="24"/>
        </w:rPr>
        <w:t>)</w:t>
      </w:r>
      <w:r>
        <w:rPr>
          <w:szCs w:val="24"/>
        </w:rPr>
        <w:t>;</w:t>
      </w:r>
      <w:r>
        <w:t xml:space="preserve"> </w:t>
      </w:r>
      <w:r>
        <w:rPr>
          <w:i/>
        </w:rPr>
        <w:t>Administrative Rule of Prosecutorial Cases,</w:t>
      </w:r>
      <w:r>
        <w:rPr>
          <w:szCs w:val="24"/>
        </w:rPr>
        <w:t xml:space="preserve"> Article 9-2].</w:t>
      </w:r>
      <w:r>
        <w:t xml:space="preserve"> The participation of a counsel may be restricted during the interrogation if the participating counsel clearly hinders interrogation such as unduly interfering in the interrogation, conducting improper actions or words without a prosecutor’s consent, answering the interrogation on behalf of the defendant or inducing changes to the statement </w:t>
      </w:r>
      <w:r>
        <w:rPr>
          <w:szCs w:val="24"/>
        </w:rPr>
        <w:t xml:space="preserve">made or </w:t>
      </w:r>
      <w:r>
        <w:t>specific answers or testimony, etc (</w:t>
      </w:r>
      <w:r>
        <w:rPr>
          <w:i/>
        </w:rPr>
        <w:t xml:space="preserve">Administrative Rule of Prosecutorial Cases, </w:t>
      </w:r>
      <w:r>
        <w:t xml:space="preserve">Article 9-2, </w:t>
      </w:r>
      <w:r>
        <w:rPr>
          <w:szCs w:val="24"/>
        </w:rPr>
        <w:t>Para</w:t>
      </w:r>
      <w:r>
        <w:t>. 4).</w:t>
      </w:r>
    </w:p>
    <w:p w:rsidR="005A0798" w:rsidRDefault="005A0798" w:rsidP="005A0798">
      <w:pPr>
        <w:pStyle w:val="SingleTxtG"/>
      </w:pPr>
      <w:r>
        <w:t>42.</w:t>
      </w:r>
      <w:r>
        <w:tab/>
        <w:t xml:space="preserve">The deportation room at </w:t>
      </w:r>
      <w:r>
        <w:rPr>
          <w:i/>
        </w:rPr>
        <w:t>Incheon</w:t>
      </w:r>
      <w:r>
        <w:t xml:space="preserve"> International Airport has been </w:t>
      </w:r>
      <w:r>
        <w:rPr>
          <w:szCs w:val="24"/>
        </w:rPr>
        <w:t>in operation</w:t>
      </w:r>
      <w:r>
        <w:t xml:space="preserve"> as </w:t>
      </w:r>
      <w:r>
        <w:rPr>
          <w:szCs w:val="24"/>
        </w:rPr>
        <w:t xml:space="preserve">an </w:t>
      </w:r>
      <w:r>
        <w:t xml:space="preserve">open </w:t>
      </w:r>
      <w:r>
        <w:rPr>
          <w:szCs w:val="24"/>
        </w:rPr>
        <w:t>facility with</w:t>
      </w:r>
      <w:r>
        <w:t xml:space="preserve"> free access since October 2014. The foreigners </w:t>
      </w:r>
      <w:r>
        <w:rPr>
          <w:szCs w:val="24"/>
        </w:rPr>
        <w:t xml:space="preserve">who were </w:t>
      </w:r>
      <w:r>
        <w:t xml:space="preserve">denied entry may stay or leave the deportation room and </w:t>
      </w:r>
      <w:r>
        <w:rPr>
          <w:szCs w:val="24"/>
        </w:rPr>
        <w:t>may receive</w:t>
      </w:r>
      <w:r>
        <w:t xml:space="preserve"> legal assistance from counsel</w:t>
      </w:r>
      <w:r>
        <w:rPr>
          <w:szCs w:val="24"/>
        </w:rPr>
        <w:t xml:space="preserve"> out</w:t>
      </w:r>
      <w:r>
        <w:t xml:space="preserve"> of their free will.  </w:t>
      </w:r>
    </w:p>
    <w:p w:rsidR="005A0798" w:rsidRDefault="005A0798" w:rsidP="005A0798">
      <w:pPr>
        <w:pStyle w:val="H1G"/>
      </w:pPr>
      <w:r>
        <w:tab/>
      </w:r>
      <w:r>
        <w:tab/>
        <w:t>Issue 17</w:t>
      </w:r>
    </w:p>
    <w:p w:rsidR="005A0798" w:rsidRDefault="005A0798" w:rsidP="005A0798">
      <w:pPr>
        <w:pStyle w:val="SingleTxtG"/>
      </w:pPr>
      <w:r>
        <w:t>43.</w:t>
      </w:r>
      <w:r>
        <w:tab/>
      </w:r>
      <w:r>
        <w:rPr>
          <w:highlight w:val="white"/>
        </w:rPr>
        <w:t xml:space="preserve">In order to solve overcrowding in correctional facilities, three new correctional facilities are in construction and five decrepit facilities are in the process of moving locations </w:t>
      </w:r>
      <w:r>
        <w:rPr>
          <w:szCs w:val="24"/>
          <w:highlight w:val="white"/>
        </w:rPr>
        <w:t>or expansions.</w:t>
      </w:r>
      <w:r>
        <w:rPr>
          <w:highlight w:val="white"/>
        </w:rPr>
        <w:t xml:space="preserve"> Regarding immigration detention facilities, the </w:t>
      </w:r>
      <w:r>
        <w:rPr>
          <w:i/>
          <w:highlight w:val="white"/>
        </w:rPr>
        <w:t>Immigration Control Act</w:t>
      </w:r>
      <w:r>
        <w:rPr>
          <w:i/>
          <w:szCs w:val="24"/>
          <w:highlight w:val="white"/>
        </w:rPr>
        <w:t xml:space="preserve">, </w:t>
      </w:r>
      <w:r>
        <w:rPr>
          <w:highlight w:val="white"/>
        </w:rPr>
        <w:t xml:space="preserve">amended </w:t>
      </w:r>
      <w:r>
        <w:rPr>
          <w:szCs w:val="24"/>
          <w:highlight w:val="white"/>
        </w:rPr>
        <w:t>on</w:t>
      </w:r>
      <w:r>
        <w:rPr>
          <w:highlight w:val="white"/>
        </w:rPr>
        <w:t xml:space="preserve"> 30 December 2014,</w:t>
      </w:r>
      <w:r>
        <w:rPr>
          <w:szCs w:val="24"/>
          <w:highlight w:val="white"/>
        </w:rPr>
        <w:t xml:space="preserve"> stipulates special</w:t>
      </w:r>
      <w:r>
        <w:rPr>
          <w:highlight w:val="white"/>
        </w:rPr>
        <w:t xml:space="preserve"> treatment in detention for immigration detainees who are a patient, pregnant, an elderly person or under the age of 19</w:t>
      </w:r>
      <w:r>
        <w:rPr>
          <w:szCs w:val="24"/>
          <w:highlight w:val="white"/>
        </w:rPr>
        <w:t>. In June 2015, the relevant regulation was amended</w:t>
      </w:r>
      <w:r>
        <w:rPr>
          <w:highlight w:val="white"/>
        </w:rPr>
        <w:t xml:space="preserve"> to strengthen the rights of sexual minorities </w:t>
      </w:r>
      <w:r>
        <w:rPr>
          <w:szCs w:val="24"/>
          <w:highlight w:val="white"/>
        </w:rPr>
        <w:t>and to allow</w:t>
      </w:r>
      <w:r>
        <w:rPr>
          <w:highlight w:val="white"/>
        </w:rPr>
        <w:t xml:space="preserve"> special visits from anyone seeking to become the legal representative of an immigration detainee. Also, commissioned education is currently offered at the Armed Forces Medical School to staff members of the facilities to train them </w:t>
      </w:r>
      <w:r>
        <w:rPr>
          <w:szCs w:val="24"/>
          <w:highlight w:val="white"/>
        </w:rPr>
        <w:t>to be</w:t>
      </w:r>
      <w:r>
        <w:rPr>
          <w:highlight w:val="white"/>
        </w:rPr>
        <w:t xml:space="preserve"> emergency relief persons. Regarding health care for foreigners, physicians and nurses are assigned to the </w:t>
      </w:r>
      <w:r>
        <w:rPr>
          <w:i/>
          <w:highlight w:val="white"/>
        </w:rPr>
        <w:t>Hwaseong</w:t>
      </w:r>
      <w:r>
        <w:rPr>
          <w:highlight w:val="white"/>
        </w:rPr>
        <w:t xml:space="preserve"> and </w:t>
      </w:r>
      <w:r>
        <w:rPr>
          <w:i/>
          <w:highlight w:val="white"/>
        </w:rPr>
        <w:t>Cheongju</w:t>
      </w:r>
      <w:r>
        <w:rPr>
          <w:highlight w:val="white"/>
        </w:rPr>
        <w:t xml:space="preserve"> Immigration Detention Centers and to the immigration detention unit at </w:t>
      </w:r>
      <w:r>
        <w:rPr>
          <w:i/>
          <w:highlight w:val="white"/>
        </w:rPr>
        <w:t>Yeosu</w:t>
      </w:r>
      <w:r>
        <w:rPr>
          <w:highlight w:val="white"/>
        </w:rPr>
        <w:t xml:space="preserve"> Immigration Office </w:t>
      </w:r>
      <w:r>
        <w:rPr>
          <w:szCs w:val="24"/>
          <w:highlight w:val="white"/>
        </w:rPr>
        <w:t>to</w:t>
      </w:r>
      <w:r>
        <w:rPr>
          <w:highlight w:val="white"/>
        </w:rPr>
        <w:t xml:space="preserve"> provide medical services. All protection facilities guarantee the emergency evacuation system through the 119 Rescue Center and the right to receive medical treatment outside the facility’s grounds through medical treatment agreements reached among facilities and local medical institutions. </w:t>
      </w:r>
    </w:p>
    <w:p w:rsidR="005A0798" w:rsidRDefault="005A0798" w:rsidP="005A0798">
      <w:pPr>
        <w:pStyle w:val="SingleTxtG"/>
      </w:pPr>
      <w:r>
        <w:t>44.</w:t>
      </w:r>
      <w:r>
        <w:tab/>
      </w:r>
      <w:r>
        <w:rPr>
          <w:highlight w:val="white"/>
        </w:rPr>
        <w:t xml:space="preserve">The remote medical treatment systems </w:t>
      </w:r>
      <w:r>
        <w:rPr>
          <w:szCs w:val="24"/>
          <w:highlight w:val="white"/>
        </w:rPr>
        <w:t>are</w:t>
      </w:r>
      <w:r>
        <w:rPr>
          <w:highlight w:val="white"/>
        </w:rPr>
        <w:t xml:space="preserve"> established in 27 correctional facilities as of June 2015. With such systems, prisoners are now able to receive medical treatments from physicians outside the facilities and psychiatrists and dentists are invited to correctional facilities to treat prisoners. A medical prison is in construction to accommodate critical or long-term patients. Moreover, by requesting </w:t>
      </w:r>
      <w:r>
        <w:rPr>
          <w:szCs w:val="24"/>
          <w:highlight w:val="white"/>
        </w:rPr>
        <w:t xml:space="preserve">services of </w:t>
      </w:r>
      <w:r>
        <w:rPr>
          <w:highlight w:val="white"/>
        </w:rPr>
        <w:t xml:space="preserve">outside medical institutions, prisoners may annually receive appropriate medical services such as physical check-ups. </w:t>
      </w:r>
    </w:p>
    <w:p w:rsidR="005A0798" w:rsidRDefault="005A0798" w:rsidP="005A0798">
      <w:pPr>
        <w:pStyle w:val="SingleTxtG"/>
      </w:pPr>
      <w:r>
        <w:t>45.</w:t>
      </w:r>
      <w:r>
        <w:tab/>
        <w:t xml:space="preserve">Collecting expenses for appearance in court </w:t>
      </w:r>
      <w:r>
        <w:rPr>
          <w:szCs w:val="24"/>
        </w:rPr>
        <w:t>applies</w:t>
      </w:r>
      <w:r>
        <w:t xml:space="preserve"> not to criminal cases but to civil, administrative and family litigations where the appearance of any party is not obligatory and it </w:t>
      </w:r>
      <w:r>
        <w:rPr>
          <w:szCs w:val="24"/>
        </w:rPr>
        <w:t>is deemed</w:t>
      </w:r>
      <w:r>
        <w:t xml:space="preserve"> necessary to charge the expenses. Even when the detainee does not pay</w:t>
      </w:r>
      <w:r>
        <w:rPr>
          <w:szCs w:val="24"/>
        </w:rPr>
        <w:t xml:space="preserve"> the</w:t>
      </w:r>
      <w:r>
        <w:t xml:space="preserve"> charged expense, the authority allows the detainee to appear in court and later set-off with </w:t>
      </w:r>
      <w:r>
        <w:lastRenderedPageBreak/>
        <w:t xml:space="preserve">the money in custody. Therefore, the right to justice is not </w:t>
      </w:r>
      <w:r>
        <w:rPr>
          <w:szCs w:val="24"/>
        </w:rPr>
        <w:t>limited</w:t>
      </w:r>
      <w:r>
        <w:t xml:space="preserve"> for the reason of one’s inability to appear in court.</w:t>
      </w:r>
    </w:p>
    <w:p w:rsidR="005A0798" w:rsidRDefault="005A0798" w:rsidP="005A0798">
      <w:pPr>
        <w:pStyle w:val="H1G"/>
      </w:pPr>
      <w:r>
        <w:tab/>
      </w:r>
      <w:r>
        <w:tab/>
        <w:t>Issue 18</w:t>
      </w:r>
    </w:p>
    <w:p w:rsidR="005A0798" w:rsidRDefault="005A0798" w:rsidP="005A0798">
      <w:pPr>
        <w:pStyle w:val="SingleTxtG"/>
      </w:pPr>
      <w:r>
        <w:t>46.</w:t>
      </w:r>
      <w:r>
        <w:tab/>
        <w:t>The</w:t>
      </w:r>
      <w:r>
        <w:rPr>
          <w:i/>
        </w:rPr>
        <w:t xml:space="preserve"> Criminal Act</w:t>
      </w:r>
      <w:r>
        <w:t xml:space="preserve"> was amended to implement the </w:t>
      </w:r>
      <w:r>
        <w:rPr>
          <w:i/>
        </w:rPr>
        <w:t xml:space="preserve">Palermo Protocol </w:t>
      </w:r>
      <w:r>
        <w:t xml:space="preserve">by introducing the crime of trafficking and to change the relevant chapter from ‘kidnapping and abduction’ to ‘kidnapping, abduction, and trafficking in persons.’ An element of purpose of crime was inserted as follows; the kidnapping and abduction for the purpose of labor exploitation, sex trafficking, sexual exploitation or the acquisition of organs, in addition to the purpose of engaging in an indecent act, sexual intercourse or marriage, or for gain. The provision on consequentially aggravated crime is newly established, and an act of recruiting, transferring or transporting a person for the purpose of kidnapping, abduction and trafficking is prescribed as constituting separate crimes, which were recognized as only accessory offences in the past. For victims of trafficking, the </w:t>
      </w:r>
      <w:r>
        <w:rPr>
          <w:i/>
        </w:rPr>
        <w:t xml:space="preserve">Crime Victim Protection Act, Act on Protection of Specific Crime Informants, etc., Criminal Procedure Act, </w:t>
      </w:r>
      <w:r>
        <w:t>and</w:t>
      </w:r>
      <w:r>
        <w:rPr>
          <w:i/>
        </w:rPr>
        <w:t xml:space="preserve"> Immigration Control Act </w:t>
      </w:r>
      <w:r>
        <w:t>prescribes legal protection by giving counseling of victims, medical service provision, payment of relief funds, legal aid, employment support, residence support etc. Residency status is granted for foreign victims while they pursue procedures for relief such as legal remedies.</w:t>
      </w:r>
    </w:p>
    <w:p w:rsidR="005A0798" w:rsidRDefault="005A0798" w:rsidP="005A0798">
      <w:pPr>
        <w:pStyle w:val="SingleTxtG"/>
      </w:pPr>
      <w:r>
        <w:t>47.</w:t>
      </w:r>
      <w:r>
        <w:tab/>
        <w:t xml:space="preserve">Restriction on the change of workplace is inevitable under the EPS. However, unrestricted changes of workplace are permitted if the foreign worker is unable to continue work due to denial of extended employment after the initial term has expired, temporary shutdown or closure of business, or cancellation of employment permit, so that the restrictions on the change of workplace has been eased to protect the rights of foreign workers. In particular, workplace change is allowed without the consent of the employers and is not counted when the violation of contractual terms or unfair treatment by the employers occurs since July 2012.  </w:t>
      </w:r>
    </w:p>
    <w:p w:rsidR="005A0798" w:rsidRDefault="005A0798" w:rsidP="005A0798">
      <w:pPr>
        <w:pStyle w:val="SingleTxtG"/>
      </w:pPr>
      <w:r>
        <w:t>48.</w:t>
      </w:r>
      <w:r>
        <w:tab/>
        <w:t>In February 2014, the violation of the rights of the disabled persons in farming and fishing areas was inspected and direct investigations on facilities for disabled persons, salt farms, ships, lumber camps and ranches were carried out by appointing and managing prosecutors exclusively responsible for the protection of disabled persons. Moreover, information was gathered on human rights violation and corruption by analyzing the situation of local facilities for disabled persons and creating a cooperative system with the police, the maritime police and local governments. Furthermore, the</w:t>
      </w:r>
      <w:r>
        <w:rPr>
          <w:i/>
        </w:rPr>
        <w:t xml:space="preserve"> Act on Welfare of Persons With Disabilities</w:t>
      </w:r>
      <w:r>
        <w:t xml:space="preserve"> was amended in May 2015, drastically expanding occupational groups that have the duty to report from 1 to 21, enhanced probability of discovery and intervention regarding trafficking of people with disabilities, established and operated institutions protecting the rights of disabled persons so that emergency response to the scene of abuse and emergency protection are provided (Art. 59-4 to 9 of the </w:t>
      </w:r>
      <w:r>
        <w:rPr>
          <w:i/>
        </w:rPr>
        <w:t>Act on Welfare of Persons With Disabilities</w:t>
      </w:r>
      <w:r>
        <w:t>).</w:t>
      </w:r>
    </w:p>
    <w:p w:rsidR="005A0798" w:rsidRDefault="005A0798" w:rsidP="005A0798">
      <w:pPr>
        <w:pStyle w:val="SingleTxtG"/>
      </w:pPr>
      <w:r>
        <w:t>49.</w:t>
      </w:r>
      <w:r>
        <w:tab/>
        <w:t xml:space="preserve">There has been no reported case where the government or the officers are alleged to be complicit in trafficking.  </w:t>
      </w:r>
    </w:p>
    <w:p w:rsidR="005A0798" w:rsidRDefault="005A0798" w:rsidP="005A0798">
      <w:pPr>
        <w:pStyle w:val="SingleTxtG"/>
      </w:pPr>
      <w:r>
        <w:t>50.</w:t>
      </w:r>
      <w:r>
        <w:tab/>
        <w:t xml:space="preserve">In order to protect the working conditions of foreign workers, the Government provides various measures including regular instruction and inspection of workplaces, education of employers about hiring migrants, and an offer of counseling services through the foreign labor support center. In particular, the working condition of agricultural labor is relatively poor due to inconsistent working times and remote distance from the city. Also, the female proportion of foreign workers in agriculture sector is approximately 32% higher than those of other types of labor. Therefore, in order to protect the working conditions of foreign agricultural workers, more than 30% out of 3,000 annual inspections were carried </w:t>
      </w:r>
      <w:r>
        <w:lastRenderedPageBreak/>
        <w:t xml:space="preserve">out in agricultural workplaces and incentives were expanded for business with comfortable housing to improve living conditions. Moreover, The Government carried out education programs for preventing and dealing with sexual harassment and distributed information leaflets in foreigner workers’ native languages </w:t>
      </w:r>
    </w:p>
    <w:p w:rsidR="005A0798" w:rsidRDefault="005A0798" w:rsidP="005A0798">
      <w:pPr>
        <w:pStyle w:val="SingleTxtG"/>
      </w:pPr>
      <w:r>
        <w:t>51.</w:t>
      </w:r>
      <w:r>
        <w:tab/>
        <w:t xml:space="preserve">In order to resolve the controversy raised in 2011 on human rights violations of foreign seafarers on board Korean-flagged fishing vessels, relevant ministries jointly inquired into the cases in question in May 2012. Based on the result of the inquiry, the Korean government developed the Plan to Improve Human Rights and Working Conditions of Foreign Seafarers. The improvement plan includes measures to improve the wage payment system, manage hotline centers for overdue wage and violence issues, strengthen supervision of seafarers, and to educate ship-owners and crew members on prevention of human rights abuse. The working conditions of seafarers have been annually inspected since 2013 to examine the implementation of the Plan and to identify additional necessary measures. Also, a new provision regarding the prohibition of forced labor was prescribed in the </w:t>
      </w:r>
      <w:r>
        <w:rPr>
          <w:i/>
        </w:rPr>
        <w:t xml:space="preserve">Seafarers Act </w:t>
      </w:r>
      <w:r>
        <w:t xml:space="preserve">as of 6 January 2015 (Article 25-2). The provision stipulates that ship-owners and seafarers shall not force seafarers to work against their free-will through violence, intimidation, detention or any other means which vitiate their physical freedom. Anyone who violates the provision will be subject to imprisonment of up to five years or a criminal fine up to KRW 50 million. Regarding the 2011 incident, the five Korean seafarers accused of habitually assaulting nine Indonesian seafarers on board Korean-flagged distant water fishing vessels were investigated at the </w:t>
      </w:r>
      <w:r>
        <w:rPr>
          <w:highlight w:val="white"/>
        </w:rPr>
        <w:t>South Regional Headquarters of the Korea Coast Guard</w:t>
      </w:r>
      <w:r>
        <w:t xml:space="preserve"> and the case was later transferred to the prosecutor. However, the accused have continuously denied the charges of assault while the victims have already returned to Indonesia. The Government has requested the legal assistance in criminal matters to the Indonesian authority for further investigation. </w:t>
      </w:r>
    </w:p>
    <w:p w:rsidR="005A0798" w:rsidRDefault="005A0798" w:rsidP="005A0798">
      <w:pPr>
        <w:pStyle w:val="SingleTxtG"/>
      </w:pPr>
      <w:r>
        <w:t>52.</w:t>
      </w:r>
      <w:r>
        <w:tab/>
        <w:t xml:space="preserve">Following the discussion of the Task Force for Counter Sexual Exploitation, where 18 relevant ministries participate, the Government inspected the working conditions of foreign female workers from March to November 2014, focusing on those adult entertainment businesses where a number of foreign workers with E-6 visa work. The Government manages the recommendation system of foreigner entertainment before the issuance of E-6 visa, and restricts the owners of those entertainment businesses that have a history of engaging in illegal acts, from issuing of E-6 visa. The police crack down on sex traffic sites by assigning female police officers and by focusing on the punishment of the owners of the sex traffic businesses and the related buildings and the confiscation of the proceeds of crime. The police officers are also provided with Guidelines for Protecting Human Rights of Sex Traffic Victims in order to clearly identify victims during crackdowns.  </w:t>
      </w:r>
    </w:p>
    <w:p w:rsidR="005A0798" w:rsidRDefault="005A0798" w:rsidP="005A0798">
      <w:pPr>
        <w:pStyle w:val="SingleTxtG"/>
      </w:pPr>
      <w:r>
        <w:t>53.</w:t>
      </w:r>
      <w:r>
        <w:tab/>
        <w:t xml:space="preserve">The following table outlines statistics regarding the handling of human trafficking under the </w:t>
      </w:r>
      <w:r>
        <w:rPr>
          <w:i/>
        </w:rPr>
        <w:t>Criminal Act</w:t>
      </w:r>
      <w:r>
        <w:t xml:space="preserve"> (abduction for profit, sexual trafficking in women and girls, overseas abduction, abduction for harassment, luring, human trafficking), the </w:t>
      </w:r>
      <w:r>
        <w:rPr>
          <w:i/>
        </w:rPr>
        <w:t>Act of the Punishment of Acts of Arranging Sexual Traffic</w:t>
      </w:r>
      <w:r>
        <w:t xml:space="preserve"> (forced labor, sexual traffic), and the </w:t>
      </w:r>
      <w:r>
        <w:rPr>
          <w:i/>
        </w:rPr>
        <w:t>Act on the Aggravated Punishment, etc. of Specific Crimes</w:t>
      </w:r>
      <w:r>
        <w:t xml:space="preserve"> (abduction for sexual intercourse, luring of sexual intercourse, overseas abduction, overseas luring, sexual traffic in women and girls, abduction and luring for profit, abduction and luring for harassment), etc.</w:t>
      </w:r>
    </w:p>
    <w:p w:rsidR="005A0798" w:rsidRDefault="005A0798" w:rsidP="005A0798">
      <w:pPr>
        <w:pStyle w:val="H4G"/>
      </w:pPr>
      <w:r>
        <w:tab/>
      </w:r>
      <w:r>
        <w:tab/>
        <w:t>&lt;Table&gt; Statistics regarding cases of human trafficking punishments (number of persons)</w:t>
      </w:r>
    </w:p>
    <w:tbl>
      <w:tblPr>
        <w:tblW w:w="7370" w:type="dxa"/>
        <w:tblInd w:w="1134" w:type="dxa"/>
        <w:tblBorders>
          <w:top w:val="single" w:sz="4" w:space="0" w:color="auto"/>
        </w:tblBorders>
        <w:tblCellMar>
          <w:left w:w="0" w:type="dxa"/>
        </w:tblCellMar>
        <w:tblLook w:val="0600" w:firstRow="0" w:lastRow="0" w:firstColumn="0" w:lastColumn="0" w:noHBand="1" w:noVBand="1"/>
      </w:tblPr>
      <w:tblGrid>
        <w:gridCol w:w="1108"/>
        <w:gridCol w:w="1037"/>
        <w:gridCol w:w="1071"/>
        <w:gridCol w:w="1086"/>
        <w:gridCol w:w="1253"/>
        <w:gridCol w:w="1815"/>
      </w:tblGrid>
      <w:tr w:rsidR="005A0798" w:rsidTr="005A0798">
        <w:trPr>
          <w:trHeight w:val="240"/>
          <w:tblHeader/>
        </w:trPr>
        <w:tc>
          <w:tcPr>
            <w:tcW w:w="1575"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Year</w:t>
            </w:r>
          </w:p>
        </w:tc>
        <w:tc>
          <w:tcPr>
            <w:tcW w:w="1254"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Registered</w:t>
            </w:r>
          </w:p>
        </w:tc>
        <w:tc>
          <w:tcPr>
            <w:tcW w:w="1275"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rPr>
              <w:t>Disposition</w:t>
            </w:r>
          </w:p>
        </w:tc>
        <w:tc>
          <w:tcPr>
            <w:tcW w:w="1276"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Prosecution</w:t>
            </w:r>
          </w:p>
        </w:tc>
        <w:tc>
          <w:tcPr>
            <w:tcW w:w="1559"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eastAsia="Times New Roman" w:hAnsi="Times New Roman" w:cs="Times New Roman"/>
                <w:i/>
                <w:color w:val="auto"/>
                <w:sz w:val="16"/>
                <w:szCs w:val="18"/>
                <w:highlight w:val="white"/>
              </w:rPr>
              <w:t>Non- Prosecution</w:t>
            </w:r>
          </w:p>
        </w:tc>
        <w:tc>
          <w:tcPr>
            <w:tcW w:w="2552" w:type="dxa"/>
            <w:tcBorders>
              <w:top w:val="single" w:sz="4" w:space="0" w:color="auto"/>
              <w:left w:val="nil"/>
              <w:bottom w:val="single" w:sz="12" w:space="0" w:color="auto"/>
              <w:right w:val="nil"/>
            </w:tcBorders>
            <w:tcMar>
              <w:top w:w="20" w:type="dxa"/>
              <w:left w:w="20" w:type="dxa"/>
              <w:bottom w:w="20" w:type="dxa"/>
              <w:right w:w="2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szCs w:val="18"/>
              </w:rPr>
            </w:pPr>
            <w:r>
              <w:rPr>
                <w:rFonts w:ascii="Times New Roman" w:hAnsi="Times New Roman" w:cs="Times New Roman"/>
                <w:i/>
                <w:color w:val="auto"/>
                <w:sz w:val="16"/>
                <w:szCs w:val="18"/>
              </w:rPr>
              <w:t xml:space="preserve">Suspension of indictment, transfer, protection disposition </w:t>
            </w:r>
          </w:p>
        </w:tc>
      </w:tr>
      <w:tr w:rsidR="005A0798" w:rsidTr="005A0798">
        <w:trPr>
          <w:trHeight w:val="240"/>
        </w:trPr>
        <w:tc>
          <w:tcPr>
            <w:tcW w:w="1575"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lastRenderedPageBreak/>
              <w:t>2009</w:t>
            </w:r>
          </w:p>
        </w:tc>
        <w:tc>
          <w:tcPr>
            <w:tcW w:w="1254" w:type="dxa"/>
            <w:tcBorders>
              <w:top w:val="single" w:sz="12" w:space="0" w:color="auto"/>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459</w:t>
            </w:r>
          </w:p>
        </w:tc>
        <w:tc>
          <w:tcPr>
            <w:tcW w:w="1275"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445</w:t>
            </w:r>
          </w:p>
        </w:tc>
        <w:tc>
          <w:tcPr>
            <w:tcW w:w="1276"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162</w:t>
            </w:r>
          </w:p>
        </w:tc>
        <w:tc>
          <w:tcPr>
            <w:tcW w:w="1559"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150</w:t>
            </w:r>
          </w:p>
        </w:tc>
        <w:tc>
          <w:tcPr>
            <w:tcW w:w="2552" w:type="dxa"/>
            <w:tcBorders>
              <w:top w:val="single" w:sz="12" w:space="0" w:color="auto"/>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133</w:t>
            </w:r>
          </w:p>
        </w:tc>
      </w:tr>
      <w:tr w:rsidR="005A0798" w:rsidTr="005A0798">
        <w:trPr>
          <w:trHeight w:val="240"/>
        </w:trPr>
        <w:tc>
          <w:tcPr>
            <w:tcW w:w="15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2010</w:t>
            </w:r>
          </w:p>
        </w:tc>
        <w:tc>
          <w:tcPr>
            <w:tcW w:w="1254"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366</w:t>
            </w:r>
          </w:p>
        </w:tc>
        <w:tc>
          <w:tcPr>
            <w:tcW w:w="12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359</w:t>
            </w:r>
          </w:p>
        </w:tc>
        <w:tc>
          <w:tcPr>
            <w:tcW w:w="1276"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114</w:t>
            </w:r>
          </w:p>
        </w:tc>
        <w:tc>
          <w:tcPr>
            <w:tcW w:w="1559"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121</w:t>
            </w:r>
          </w:p>
        </w:tc>
        <w:tc>
          <w:tcPr>
            <w:tcW w:w="2552"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124</w:t>
            </w:r>
          </w:p>
        </w:tc>
      </w:tr>
      <w:tr w:rsidR="005A0798" w:rsidTr="005A0798">
        <w:trPr>
          <w:trHeight w:val="240"/>
        </w:trPr>
        <w:tc>
          <w:tcPr>
            <w:tcW w:w="15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2011</w:t>
            </w:r>
          </w:p>
        </w:tc>
        <w:tc>
          <w:tcPr>
            <w:tcW w:w="1254"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438</w:t>
            </w:r>
          </w:p>
        </w:tc>
        <w:tc>
          <w:tcPr>
            <w:tcW w:w="12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432</w:t>
            </w:r>
          </w:p>
        </w:tc>
        <w:tc>
          <w:tcPr>
            <w:tcW w:w="1276"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142</w:t>
            </w:r>
          </w:p>
        </w:tc>
        <w:tc>
          <w:tcPr>
            <w:tcW w:w="1559"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156</w:t>
            </w:r>
          </w:p>
        </w:tc>
        <w:tc>
          <w:tcPr>
            <w:tcW w:w="2552"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134</w:t>
            </w:r>
          </w:p>
        </w:tc>
      </w:tr>
      <w:tr w:rsidR="005A0798" w:rsidTr="005A0798">
        <w:trPr>
          <w:trHeight w:val="240"/>
        </w:trPr>
        <w:tc>
          <w:tcPr>
            <w:tcW w:w="15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2012</w:t>
            </w:r>
          </w:p>
        </w:tc>
        <w:tc>
          <w:tcPr>
            <w:tcW w:w="1254"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428</w:t>
            </w:r>
          </w:p>
        </w:tc>
        <w:tc>
          <w:tcPr>
            <w:tcW w:w="12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445</w:t>
            </w:r>
          </w:p>
        </w:tc>
        <w:tc>
          <w:tcPr>
            <w:tcW w:w="1276"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178</w:t>
            </w:r>
          </w:p>
        </w:tc>
        <w:tc>
          <w:tcPr>
            <w:tcW w:w="1559"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128</w:t>
            </w:r>
          </w:p>
        </w:tc>
        <w:tc>
          <w:tcPr>
            <w:tcW w:w="2552"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139</w:t>
            </w:r>
          </w:p>
        </w:tc>
      </w:tr>
      <w:tr w:rsidR="005A0798" w:rsidTr="005A0798">
        <w:trPr>
          <w:trHeight w:val="240"/>
        </w:trPr>
        <w:tc>
          <w:tcPr>
            <w:tcW w:w="15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2013</w:t>
            </w:r>
          </w:p>
        </w:tc>
        <w:tc>
          <w:tcPr>
            <w:tcW w:w="1254"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401</w:t>
            </w:r>
          </w:p>
        </w:tc>
        <w:tc>
          <w:tcPr>
            <w:tcW w:w="12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387</w:t>
            </w:r>
          </w:p>
        </w:tc>
        <w:tc>
          <w:tcPr>
            <w:tcW w:w="1276"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110</w:t>
            </w:r>
          </w:p>
        </w:tc>
        <w:tc>
          <w:tcPr>
            <w:tcW w:w="1559"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128</w:t>
            </w:r>
          </w:p>
        </w:tc>
        <w:tc>
          <w:tcPr>
            <w:tcW w:w="2552"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149</w:t>
            </w:r>
          </w:p>
        </w:tc>
      </w:tr>
      <w:tr w:rsidR="005A0798" w:rsidTr="005A0798">
        <w:trPr>
          <w:trHeight w:val="240"/>
        </w:trPr>
        <w:tc>
          <w:tcPr>
            <w:tcW w:w="15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2014</w:t>
            </w:r>
          </w:p>
        </w:tc>
        <w:tc>
          <w:tcPr>
            <w:tcW w:w="1254" w:type="dxa"/>
            <w:tcBorders>
              <w:top w:val="nil"/>
              <w:left w:val="nil"/>
              <w:bottom w:val="nil"/>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507</w:t>
            </w:r>
          </w:p>
        </w:tc>
        <w:tc>
          <w:tcPr>
            <w:tcW w:w="1275"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489</w:t>
            </w:r>
          </w:p>
        </w:tc>
        <w:tc>
          <w:tcPr>
            <w:tcW w:w="1276"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145</w:t>
            </w:r>
          </w:p>
        </w:tc>
        <w:tc>
          <w:tcPr>
            <w:tcW w:w="1559"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145</w:t>
            </w:r>
          </w:p>
        </w:tc>
        <w:tc>
          <w:tcPr>
            <w:tcW w:w="2552" w:type="dxa"/>
            <w:tcBorders>
              <w:top w:val="nil"/>
              <w:left w:val="nil"/>
              <w:bottom w:val="nil"/>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199</w:t>
            </w:r>
          </w:p>
        </w:tc>
      </w:tr>
      <w:tr w:rsidR="005A0798" w:rsidTr="005A0798">
        <w:trPr>
          <w:trHeight w:val="240"/>
        </w:trPr>
        <w:tc>
          <w:tcPr>
            <w:tcW w:w="1575"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May 2015</w:t>
            </w:r>
          </w:p>
        </w:tc>
        <w:tc>
          <w:tcPr>
            <w:tcW w:w="1254" w:type="dxa"/>
            <w:tcBorders>
              <w:top w:val="nil"/>
              <w:left w:val="nil"/>
              <w:bottom w:val="single" w:sz="12" w:space="0" w:color="auto"/>
              <w:right w:val="nil"/>
            </w:tcBorders>
            <w:tcMar>
              <w:top w:w="100" w:type="dxa"/>
              <w:left w:w="100" w:type="dxa"/>
              <w:bottom w:w="100" w:type="dxa"/>
              <w:right w:w="10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185</w:t>
            </w:r>
          </w:p>
        </w:tc>
        <w:tc>
          <w:tcPr>
            <w:tcW w:w="1275"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172</w:t>
            </w:r>
          </w:p>
        </w:tc>
        <w:tc>
          <w:tcPr>
            <w:tcW w:w="1276"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51</w:t>
            </w:r>
          </w:p>
        </w:tc>
        <w:tc>
          <w:tcPr>
            <w:tcW w:w="1559"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57</w:t>
            </w:r>
          </w:p>
        </w:tc>
        <w:tc>
          <w:tcPr>
            <w:tcW w:w="2552" w:type="dxa"/>
            <w:tcBorders>
              <w:top w:val="nil"/>
              <w:left w:val="nil"/>
              <w:bottom w:val="single" w:sz="12" w:space="0" w:color="auto"/>
              <w:right w:val="nil"/>
            </w:tcBorders>
            <w:tcMar>
              <w:top w:w="20" w:type="dxa"/>
              <w:left w:w="20" w:type="dxa"/>
              <w:bottom w:w="20" w:type="dxa"/>
              <w:right w:w="20" w:type="dxa"/>
            </w:tcMar>
            <w:hideMark/>
          </w:tcPr>
          <w:p w:rsidR="005A0798" w:rsidRDefault="005A0798">
            <w:pPr>
              <w:pStyle w:val="1"/>
              <w:widowControl/>
              <w:spacing w:before="40" w:after="120" w:line="220" w:lineRule="exact"/>
              <w:jc w:val="left"/>
              <w:rPr>
                <w:rFonts w:ascii="Times New Roman" w:hAnsi="Times New Roman" w:cs="Times New Roman"/>
                <w:color w:val="auto"/>
                <w:sz w:val="20"/>
              </w:rPr>
            </w:pPr>
            <w:r>
              <w:rPr>
                <w:rFonts w:ascii="Times New Roman" w:eastAsia="Times New Roman" w:hAnsi="Times New Roman" w:cs="Times New Roman"/>
                <w:color w:val="auto"/>
                <w:sz w:val="20"/>
                <w:szCs w:val="18"/>
                <w:highlight w:val="white"/>
              </w:rPr>
              <w:t>64</w:t>
            </w:r>
          </w:p>
        </w:tc>
      </w:tr>
    </w:tbl>
    <w:p w:rsidR="005A0798" w:rsidRDefault="005A0798" w:rsidP="005A0798">
      <w:pPr>
        <w:pStyle w:val="SingleTxtG"/>
      </w:pPr>
      <w:r>
        <w:t>54.</w:t>
      </w:r>
      <w:r>
        <w:tab/>
      </w:r>
      <w:r>
        <w:rPr>
          <w:highlight w:val="white"/>
        </w:rPr>
        <w:t>The Government announced the Disability Rights Protection Plan and amended the</w:t>
      </w:r>
      <w:r>
        <w:rPr>
          <w:i/>
          <w:highlight w:val="white"/>
        </w:rPr>
        <w:t xml:space="preserve"> </w:t>
      </w:r>
      <w:r>
        <w:rPr>
          <w:i/>
        </w:rPr>
        <w:t>Act on Welfare of Persons with Disabilities</w:t>
      </w:r>
      <w:r>
        <w:t xml:space="preserve">, the contents of which are described in Paragraph 18-3. The Government supports the civil and criminal proceedings of the victims against the offenders in cooperation with public interest lawyers with financial and procedure support for registering as disabled so that they can receive welfare service as persons with disabilities. The Ministry of Labor and Employment (MOEL) conducted inspection on 13 islands and 733 </w:t>
      </w:r>
      <w:r>
        <w:rPr>
          <w:i/>
        </w:rPr>
        <w:t>Sinan</w:t>
      </w:r>
      <w:r>
        <w:t xml:space="preserve">-gun salt farms, and found non-wage payments amounting to 3,900,000 USD of 242 workers in 173 places. MOEL took measures to settle delayed payment of wage amounting to 2,000,000 USD of 191 workers in 124 places. Judicial actions were taken against 48 business owners who unsettled wage payments and another 15 egregious offenders were detained for investigation. In 2015 also, labor inspections were conducted every quarter of the year and education of salt farm owners on human rights and the </w:t>
      </w:r>
      <w:r>
        <w:rPr>
          <w:i/>
        </w:rPr>
        <w:t>Labor Standards Act</w:t>
      </w:r>
      <w:r>
        <w:t xml:space="preserve"> was promoted. In February 2014, the Supreme Prosecutor's Office prepared countermeasures on human rights violations and wage exploitation of the intellectually disabled, conducted criminal investigation after inspecting 38,352 places of salt farms, fishing ships, farms, lumber camps etc. in not only </w:t>
      </w:r>
      <w:r>
        <w:rPr>
          <w:i/>
        </w:rPr>
        <w:t>Sinan</w:t>
      </w:r>
      <w:r>
        <w:t>-gun but all island areas. As a result, 37 were criminally charged, 20 were taken into custody and indicted, and 17 were indicted without custody.</w:t>
      </w:r>
    </w:p>
    <w:p w:rsidR="005A0798" w:rsidRDefault="005A0798" w:rsidP="005A0798">
      <w:pPr>
        <w:pStyle w:val="H1G"/>
      </w:pPr>
      <w:r>
        <w:tab/>
      </w:r>
      <w:r>
        <w:tab/>
        <w:t>Issue 19</w:t>
      </w:r>
    </w:p>
    <w:p w:rsidR="005A0798" w:rsidRDefault="005A0798" w:rsidP="005A0798">
      <w:pPr>
        <w:pStyle w:val="SingleTxtG"/>
      </w:pPr>
      <w:r>
        <w:t>55.</w:t>
      </w:r>
      <w:r>
        <w:tab/>
        <w:t xml:space="preserve">Since HIV is highly contagious among people who lead group lives, blood tests are given to soldiers and prisoners of correctional facilities. A prisoner of a correctional facility must give consent before a blood test is given. Among foreigners who stay in the country for more than 90 days, those working as a foreign language instructor must submit a HIV test certificate when they register themselves as a foreigner. This procedure is carried out only for the purpose of providing a safe public health environment to juveniles receiving education. </w:t>
      </w:r>
    </w:p>
    <w:p w:rsidR="005A0798" w:rsidRDefault="005A0798" w:rsidP="005A0798">
      <w:pPr>
        <w:pStyle w:val="SingleTxtG"/>
      </w:pPr>
      <w:r>
        <w:t>56.</w:t>
      </w:r>
      <w:r>
        <w:tab/>
        <w:t xml:space="preserve">All HIV examinations are conducted with the consent of the patient, under the </w:t>
      </w:r>
      <w:r>
        <w:rPr>
          <w:i/>
        </w:rPr>
        <w:t>Enforcement Decree of the Medical Service Act</w:t>
      </w:r>
      <w:r>
        <w:t xml:space="preserve">. In March 2008, an anonymous examination was introduced to minimize exposure of private information. All measures of </w:t>
      </w:r>
      <w:r>
        <w:lastRenderedPageBreak/>
        <w:t xml:space="preserve">HIV tests are carried out on legal grounds within in a limited scope for public health and therefore cannot be seen as an arbitrary violation against the right to privacy. </w:t>
      </w:r>
    </w:p>
    <w:p w:rsidR="005A0798" w:rsidRDefault="005A0798" w:rsidP="005A0798">
      <w:pPr>
        <w:pStyle w:val="H1G"/>
      </w:pPr>
      <w:r>
        <w:tab/>
      </w:r>
      <w:r>
        <w:tab/>
        <w:t>Issue 20</w:t>
      </w:r>
    </w:p>
    <w:p w:rsidR="005A0798" w:rsidRDefault="005A0798" w:rsidP="005A0798">
      <w:pPr>
        <w:pStyle w:val="SingleTxtG"/>
      </w:pPr>
      <w:r>
        <w:t>57.</w:t>
      </w:r>
      <w:r>
        <w:tab/>
      </w:r>
      <w:r>
        <w:rPr>
          <w:highlight w:val="white"/>
        </w:rPr>
        <w:t xml:space="preserve">The </w:t>
      </w:r>
      <w:r>
        <w:rPr>
          <w:i/>
          <w:highlight w:val="white"/>
        </w:rPr>
        <w:t xml:space="preserve">Personal Information Protection Act </w:t>
      </w:r>
      <w:r>
        <w:rPr>
          <w:highlight w:val="white"/>
        </w:rPr>
        <w:t xml:space="preserve">was enacted and came into effect in 2011. Personal information means information that pertains to a living person including all that by which the individual in question can be identified. All personal information managers bear the responsibility to protect personal information and must clarify the purpose of managing personal information. Use of personal information for other purposes is prohibited. They are also required to collect personal information lawfully and legitimately and to the minimum extent necessary. </w:t>
      </w:r>
    </w:p>
    <w:p w:rsidR="005A0798" w:rsidRDefault="005A0798" w:rsidP="005A0798">
      <w:pPr>
        <w:pStyle w:val="SingleTxtG"/>
      </w:pPr>
      <w:r>
        <w:t>58.</w:t>
      </w:r>
      <w:r>
        <w:tab/>
        <w:t xml:space="preserve">Chapter 4 of the </w:t>
      </w:r>
      <w:r>
        <w:rPr>
          <w:i/>
        </w:rPr>
        <w:t xml:space="preserve">Act on Information and Communications Network </w:t>
      </w:r>
      <w:r>
        <w:t xml:space="preserve">provides for collection and use of personal information by a provider of information and communications services. If a provider of information and communications intends to collect and use personal date and information, he or she shall notify in advance and obtain consent from users. Administrative and technical protective measures are compelled so that personal information is not lost, stolen, divulged, altered, or mutilated whilst in storage or in keeping. Other legislations also protect various aspects of personal information; personal information on financial transactions etc. is regulated by the </w:t>
      </w:r>
      <w:r>
        <w:rPr>
          <w:i/>
        </w:rPr>
        <w:t>Use and Protection of Credit Information Act</w:t>
      </w:r>
      <w:r>
        <w:t>; and</w:t>
      </w:r>
      <w:r>
        <w:rPr>
          <w:i/>
        </w:rPr>
        <w:t xml:space="preserve"> </w:t>
      </w:r>
      <w:r>
        <w:t xml:space="preserve">personal location information is regulated separately by the </w:t>
      </w:r>
      <w:r>
        <w:rPr>
          <w:i/>
        </w:rPr>
        <w:t>Act on the Protection, Use, etc. of Location Information</w:t>
      </w:r>
      <w:r>
        <w:t xml:space="preserve">. </w:t>
      </w:r>
    </w:p>
    <w:p w:rsidR="005A0798" w:rsidRDefault="005A0798" w:rsidP="005A0798">
      <w:pPr>
        <w:pStyle w:val="SingleTxtG"/>
      </w:pPr>
      <w:r>
        <w:t>59.</w:t>
      </w:r>
      <w:r>
        <w:tab/>
        <w:t xml:space="preserve">At the same time, the </w:t>
      </w:r>
      <w:r>
        <w:rPr>
          <w:i/>
        </w:rPr>
        <w:t>Protection of Communications Secrets Act</w:t>
      </w:r>
      <w:r>
        <w:t xml:space="preserve"> protects the privacy and freedom of personal communications and conversations and punishes illegal violations regarding personal communications. The Act also provides for procedures of executing wiretapping and prevents arbitrary violation of privacy through the measures of providing for parties concerned to be notified of wiretapping or provision of communication confirmation data; restriction on use of materials acquired through wiretapping; and the submission of a report on wiretapping to the National Assembly. A prosecutor or head of an investigative agency can only be provided, in accordance with the purpose and the requirements in the law, with communications data (</w:t>
      </w:r>
      <w:r>
        <w:rPr>
          <w:i/>
        </w:rPr>
        <w:t>Telecommunications Business Act</w:t>
      </w:r>
      <w:r>
        <w:t>, Article 83), communication confirmation data (</w:t>
      </w:r>
      <w:r>
        <w:rPr>
          <w:i/>
        </w:rPr>
        <w:t xml:space="preserve">Protection of Communications Secrets Act, </w:t>
      </w:r>
      <w:r>
        <w:t>Article 13), communication-restricting measures (</w:t>
      </w:r>
      <w:r>
        <w:rPr>
          <w:i/>
        </w:rPr>
        <w:t xml:space="preserve">Protection of Communications Secrets Act, </w:t>
      </w:r>
      <w:r>
        <w:t>Article 5 and 6). Particularly, investigation agencies can store communications and data for limited public purposes such as presentation of evidence in criminal trials.</w:t>
      </w:r>
    </w:p>
    <w:p w:rsidR="005A0798" w:rsidRDefault="005A0798" w:rsidP="005A0798">
      <w:pPr>
        <w:pStyle w:val="SingleTxtG"/>
      </w:pPr>
      <w:r>
        <w:t>60.</w:t>
      </w:r>
      <w:r>
        <w:tab/>
        <w:t xml:space="preserve">The </w:t>
      </w:r>
      <w:r>
        <w:rPr>
          <w:i/>
        </w:rPr>
        <w:t>Personal Information Protection Act</w:t>
      </w:r>
      <w:r>
        <w:t xml:space="preserve">, by stipulating the rights of subject of information (Article 4), provides for the right to receive information concerning the management of personal information; the right to choose and decide whether he/she consents to the management of his/her personal information, the scope of consent, and related matters; the right to verify the use of personal information and to request the provision of personal information; the right to request the suspension, correction, deletion and destruction of personal information; the right to receive prompt relief from damage caused by the management of personal information according to fair procedures. The </w:t>
      </w:r>
      <w:r>
        <w:rPr>
          <w:i/>
        </w:rPr>
        <w:t>Act on Information and Communications Network</w:t>
      </w:r>
      <w:r>
        <w:t xml:space="preserve"> stipulates the rights of users of information and communications services (Article 30) and provides for the right to revoke his/her consent, and the right to inspect or request the provision of status of his/her personal information which has been used by the provider of information and communications services. It also states the responsibility of the provider of information and communications services to notify details of using personal information and compensate damages. The Article 44-2 of the </w:t>
      </w:r>
      <w:r>
        <w:rPr>
          <w:i/>
        </w:rPr>
        <w:t xml:space="preserve">Act on Information and Communications </w:t>
      </w:r>
      <w:r>
        <w:t xml:space="preserve">provides for temporary measures to relieve users from the damage caused by the violation of rights such as </w:t>
      </w:r>
      <w:r>
        <w:lastRenderedPageBreak/>
        <w:t>invasion of privacy. Plans to improve the temporary measure policy for harmonizing the right to privacy and the freedom of speech on the internet were prepared in 2013 and legislations are underway. The amendment will clearly provide the right of the provider of information to raise an objection that dispute mediation regarding temporary measures is managed by a impartial committee, and that the dispute mediation committee or the court examines the content of the information.</w:t>
      </w:r>
    </w:p>
    <w:p w:rsidR="005A0798" w:rsidRDefault="005A0798" w:rsidP="005A0798">
      <w:pPr>
        <w:pStyle w:val="SingleTxtG"/>
      </w:pPr>
      <w:r>
        <w:t>61.</w:t>
      </w:r>
      <w:r>
        <w:tab/>
        <w:t>When investigation agencies receive material related to a person’s communications from operators of telecommunications business, they shall obtain court permission upon satisfying certain conditions provided in the law. Investigation agencies execute the communication-restricting measures under the permission of the court only with a substantial reason to suspect that a crime is being planned or committed or has been committed, and to prove that it is difficult to prevent the committing of the crime, arrest the criminal or collect the evidence. Search and seizure of telecommunications are executed only on subject matters relating to the case in question after obtaining a warrant for criminal investigation and when there is circumstantial evidence that the suspect committed a crime. Search and seizure of communication confirmation data are executed when necessary for investigation or execution of a sentence after obtaining court permission by explaining reason, relevance to the subscriber in question, and scope. Moreover, investigation agencies shall notify the fact of search and seizure of telecommunication to the person concerned when any public action is instituted against the relevant cases, and this applies mutatis mutandis to communication confirmation data.</w:t>
      </w:r>
    </w:p>
    <w:p w:rsidR="005A0798" w:rsidRDefault="005A0798" w:rsidP="005A0798">
      <w:pPr>
        <w:pStyle w:val="SingleTxtG"/>
      </w:pPr>
      <w:r>
        <w:t>62.</w:t>
      </w:r>
      <w:r>
        <w:tab/>
        <w:t xml:space="preserve">The police do not conduct investigations on base stations in order to identify participants in an assembly. Request for communication confirmation data is possible for the purposes of criminal investigation as provided in the </w:t>
      </w:r>
      <w:r>
        <w:rPr>
          <w:i/>
        </w:rPr>
        <w:t>Protection of Communications Secrets Act</w:t>
      </w:r>
      <w:r>
        <w:t>, but facts related to specific crimes and suspect shall be specified with the request.</w:t>
      </w:r>
    </w:p>
    <w:p w:rsidR="005A0798" w:rsidRDefault="005A0798" w:rsidP="005A0798">
      <w:pPr>
        <w:pStyle w:val="SingleTxtG"/>
      </w:pPr>
      <w:r>
        <w:t>63.</w:t>
      </w:r>
      <w:r>
        <w:tab/>
        <w:t xml:space="preserve">The </w:t>
      </w:r>
      <w:r>
        <w:rPr>
          <w:i/>
        </w:rPr>
        <w:t xml:space="preserve">Personal Information Protection Act </w:t>
      </w:r>
      <w:r>
        <w:t xml:space="preserve"> and the </w:t>
      </w:r>
      <w:r>
        <w:rPr>
          <w:i/>
        </w:rPr>
        <w:t>Act on Information and Communications Network</w:t>
      </w:r>
      <w:r>
        <w:t xml:space="preserve"> provides strict requisites concerning the provision of personal information to third persons and ensures the right of the subject of information to request inspection of the status of his/her personal information provided to third persons. According to Article 83 of the </w:t>
      </w:r>
      <w:r>
        <w:rPr>
          <w:i/>
        </w:rPr>
        <w:t>Telecommunications Business Act</w:t>
      </w:r>
      <w:r>
        <w:t>, investigation agencies may request providers of telecommunications business operators to provide communication data including name, resident registration number, address, etc. with the written reason for such request, relation with the relevant user and the scope of necessary data. The department of telecommunications business operators who is in charges of information protection deals with the request by deciding whether or not to provide data and reviewing the scope of the data that will be provided. Telecommunications business operators oblige to store, manage, and report the statistics on the provision of the user’s personal information material to investigative agencies etc. which the government discloses to the public twice a year. The requests for provision of communication information are permitted only when necessity, the principle of proportionality, and legitimate purpose are satisfied and are thereby compatible with Article 17 of the Covenant.</w:t>
      </w:r>
    </w:p>
    <w:p w:rsidR="005A0798" w:rsidRDefault="005A0798" w:rsidP="005A0798">
      <w:pPr>
        <w:pStyle w:val="SingleTxtG"/>
      </w:pPr>
      <w:r>
        <w:t>64.</w:t>
      </w:r>
      <w:r>
        <w:tab/>
        <w:t xml:space="preserve">According to the </w:t>
      </w:r>
      <w:r>
        <w:rPr>
          <w:i/>
        </w:rPr>
        <w:t>Protection of Communications Secrets Act</w:t>
      </w:r>
      <w:r>
        <w:t xml:space="preserve">, providers of information and communications services are required to keep communication confirmation data by types for a certain period. This data may be provided to investigative agencies via legal procedures such as court permission. Yet such data are prevented from divulgence under the provisions that prohibit illegally providing or requesting the data (Articles 13, 13-3, 13-5, 17). </w:t>
      </w:r>
    </w:p>
    <w:p w:rsidR="005A0798" w:rsidRDefault="005A0798" w:rsidP="005A0798">
      <w:pPr>
        <w:pStyle w:val="SingleTxtG"/>
      </w:pPr>
      <w:r>
        <w:t>65.</w:t>
      </w:r>
      <w:r>
        <w:tab/>
        <w:t xml:space="preserve">Articles 9(1) and (4) of the </w:t>
      </w:r>
      <w:r>
        <w:rPr>
          <w:i/>
        </w:rPr>
        <w:t xml:space="preserve">Enforcement Decree of the Elementary and Secondary Education Act </w:t>
      </w:r>
      <w:r>
        <w:t xml:space="preserve">set out  that matters concerning students’ school life such as using electronic devices including cellular phones shall be stated in school regulations, and students, parents </w:t>
      </w:r>
      <w:r>
        <w:lastRenderedPageBreak/>
        <w:t>and teachers should give their opinions in advance when school regulations are established or revised. That is, the school regulations of individual schools set out the use and possession of cellular phone or smartphone through the deliberation of the constituents of the school.</w:t>
      </w:r>
    </w:p>
    <w:p w:rsidR="005A0798" w:rsidRDefault="005A0798" w:rsidP="005A0798">
      <w:pPr>
        <w:pStyle w:val="SingleTxtG"/>
      </w:pPr>
      <w:r>
        <w:t>66.</w:t>
      </w:r>
      <w:r>
        <w:tab/>
        <w:t xml:space="preserve">An amendment bill to the </w:t>
      </w:r>
      <w:r>
        <w:rPr>
          <w:i/>
        </w:rPr>
        <w:t>Protection of Communications Secrets Ac</w:t>
      </w:r>
      <w:r>
        <w:t xml:space="preserve">t, which newly provides for the duty of possession of equipment of providers of information and communications services, is introduced in the current 19th National Assembly. In principle, the current law provides for communication-restricting measures on all communications for the purposes of criminal investigation etc., but wiretapping on cellular phones is impossible due to absence of facilities. The amendment bill was introduced to provide for the lawful procedure for wiretapping for the purpose of prevention of violent crimes or national security threats using communications services. </w:t>
      </w:r>
    </w:p>
    <w:p w:rsidR="005A0798" w:rsidRDefault="005A0798" w:rsidP="005A0798">
      <w:pPr>
        <w:pStyle w:val="H1G"/>
      </w:pPr>
      <w:r>
        <w:tab/>
      </w:r>
      <w:r>
        <w:tab/>
        <w:t>Issue 21</w:t>
      </w:r>
    </w:p>
    <w:p w:rsidR="005A0798" w:rsidRDefault="005A0798" w:rsidP="005A0798">
      <w:pPr>
        <w:pStyle w:val="SingleTxtG"/>
      </w:pPr>
      <w:r>
        <w:t>67.</w:t>
      </w:r>
      <w:r>
        <w:tab/>
        <w:t xml:space="preserve">The Government’s position on </w:t>
      </w:r>
      <w:r>
        <w:rPr>
          <w:szCs w:val="24"/>
        </w:rPr>
        <w:t>introducing</w:t>
      </w:r>
      <w:r>
        <w:t xml:space="preserve"> alternative services for the conscientious objectors remains unchanged as stated in the state report. In November 2014, after the submission of the state report, the Military Manpower Administration conducted a national survey on the conscientious objectors and the result shows that 58.3% of the public opposes the introduction of alternative service. It is still hard to envisage introducing an alternative service </w:t>
      </w:r>
      <w:r>
        <w:rPr>
          <w:szCs w:val="24"/>
        </w:rPr>
        <w:t>in the midst of the continuing insecure situation</w:t>
      </w:r>
      <w:r>
        <w:t xml:space="preserve"> of the country. </w:t>
      </w:r>
    </w:p>
    <w:p w:rsidR="005A0798" w:rsidRDefault="005A0798" w:rsidP="005A0798">
      <w:pPr>
        <w:pStyle w:val="SingleTxtG"/>
      </w:pPr>
      <w:r>
        <w:t>68.</w:t>
      </w:r>
      <w:r>
        <w:tab/>
        <w:t xml:space="preserve">Article 81-2 of </w:t>
      </w:r>
      <w:r>
        <w:rPr>
          <w:i/>
        </w:rPr>
        <w:t>Military Service Act</w:t>
      </w:r>
      <w:r>
        <w:t xml:space="preserve"> was newly established in July 2015, allowing </w:t>
      </w:r>
      <w:r>
        <w:rPr>
          <w:highlight w:val="white"/>
        </w:rPr>
        <w:t xml:space="preserve">the Commissioner of the Military Manpower Administration to publish on the internet website the personal </w:t>
      </w:r>
      <w:r>
        <w:rPr>
          <w:szCs w:val="24"/>
          <w:highlight w:val="white"/>
        </w:rPr>
        <w:t>information</w:t>
      </w:r>
      <w:r>
        <w:rPr>
          <w:highlight w:val="white"/>
        </w:rPr>
        <w:t xml:space="preserve"> of those who evade military service, without justifiable grounds except for disease or imprisonment, by staying abroad or refusing physical examination or enlistment</w:t>
      </w:r>
      <w:r>
        <w:rPr>
          <w:szCs w:val="24"/>
          <w:highlight w:val="white"/>
        </w:rPr>
        <w:t xml:space="preserve">, and matters </w:t>
      </w:r>
      <w:r>
        <w:rPr>
          <w:szCs w:val="24"/>
        </w:rPr>
        <w:t>concerning non-compliance with the duty. To this end</w:t>
      </w:r>
      <w:r>
        <w:t>, the Committee for Deliberation on Cases of Evasion of Military Service is established in the regional military manpower offices</w:t>
      </w:r>
      <w:r>
        <w:rPr>
          <w:szCs w:val="24"/>
        </w:rPr>
        <w:t>. The Committee</w:t>
      </w:r>
      <w:r>
        <w:t xml:space="preserve"> notifies tentative persons </w:t>
      </w:r>
      <w:r>
        <w:rPr>
          <w:szCs w:val="24"/>
        </w:rPr>
        <w:t>that their</w:t>
      </w:r>
      <w:r>
        <w:t xml:space="preserve"> personal information will be disclosed, gives </w:t>
      </w:r>
      <w:r>
        <w:rPr>
          <w:szCs w:val="24"/>
        </w:rPr>
        <w:t>them</w:t>
      </w:r>
      <w:r>
        <w:t xml:space="preserve"> an opportunity to explain, deliberates after 6 months of notification considering the status of </w:t>
      </w:r>
      <w:r>
        <w:rPr>
          <w:szCs w:val="24"/>
        </w:rPr>
        <w:t>their</w:t>
      </w:r>
      <w:r>
        <w:t xml:space="preserve"> military service fulfillment, and decides whose personal information will be disclosed. </w:t>
      </w:r>
    </w:p>
    <w:p w:rsidR="005A0798" w:rsidRDefault="005A0798" w:rsidP="005A0798">
      <w:pPr>
        <w:pStyle w:val="H1G"/>
      </w:pPr>
      <w:r>
        <w:tab/>
      </w:r>
      <w:r>
        <w:tab/>
        <w:t>Issue 22</w:t>
      </w:r>
    </w:p>
    <w:p w:rsidR="005A0798" w:rsidRDefault="005A0798" w:rsidP="005A0798">
      <w:pPr>
        <w:pStyle w:val="SingleTxtG"/>
      </w:pPr>
      <w:r>
        <w:t>69.</w:t>
      </w:r>
      <w:r>
        <w:tab/>
        <w:t xml:space="preserve">Since the Supreme Court’s decision stated in Paragraph 264 of the state report, the General Chapter of the Curriculum of Elementary and Secondary Schools established by the Minister of Education under Article 23(2) of the </w:t>
      </w:r>
      <w:r>
        <w:rPr>
          <w:i/>
        </w:rPr>
        <w:t>Elementary and Secondary Education Act</w:t>
      </w:r>
      <w:r>
        <w:t xml:space="preserve"> requires the school to provide an alternative class when it opens a religious class. Since the Curriculum was revised in 2013, the religiously affiliated schools that students are able to choose to attend are allowed to provide only a religious class with the consent of the parents and students. In line with these developments, the Government strives to protect the right to religion of students by providing consulting services on the curriculum and training of teachers by the local education offices with the matters of interests in religious education.</w:t>
      </w:r>
    </w:p>
    <w:p w:rsidR="005A0798" w:rsidRDefault="005A0798" w:rsidP="005A0798">
      <w:pPr>
        <w:pStyle w:val="H1G"/>
      </w:pPr>
      <w:r>
        <w:tab/>
      </w:r>
      <w:r>
        <w:tab/>
        <w:t>Issue 23</w:t>
      </w:r>
    </w:p>
    <w:p w:rsidR="005A0798" w:rsidRDefault="005A0798" w:rsidP="005A0798">
      <w:pPr>
        <w:pStyle w:val="SingleTxtG"/>
      </w:pPr>
      <w:r>
        <w:t>70.</w:t>
      </w:r>
      <w:r>
        <w:tab/>
        <w:t xml:space="preserve">Article 47(1) of the </w:t>
      </w:r>
      <w:r>
        <w:rPr>
          <w:i/>
        </w:rPr>
        <w:t>Framework Act on Telecommunications</w:t>
      </w:r>
      <w:r>
        <w:t xml:space="preserve"> was found unconstitutional by the Constitutional Court in December 2010 and follow-up measures were taken, including clearing charges regarding the cases under investigation; </w:t>
      </w:r>
      <w:r>
        <w:rPr>
          <w:szCs w:val="24"/>
        </w:rPr>
        <w:t xml:space="preserve">withdrawing </w:t>
      </w:r>
      <w:r>
        <w:lastRenderedPageBreak/>
        <w:t xml:space="preserve">public prosecution, demanding of </w:t>
      </w:r>
      <w:r>
        <w:rPr>
          <w:szCs w:val="24"/>
        </w:rPr>
        <w:t>not guilty judgment</w:t>
      </w:r>
      <w:r>
        <w:t xml:space="preserve">, or </w:t>
      </w:r>
      <w:r>
        <w:rPr>
          <w:szCs w:val="24"/>
        </w:rPr>
        <w:t>withdrawing</w:t>
      </w:r>
      <w:r>
        <w:t xml:space="preserve"> appeal regarding the pending cases before the court; and giving immunity from execution and informing that retrial is possible regarding the confirmed cases.</w:t>
      </w:r>
      <w:r>
        <w:rPr>
          <w:szCs w:val="24"/>
        </w:rPr>
        <w:t xml:space="preserve"> Even after,</w:t>
      </w:r>
      <w:r>
        <w:t xml:space="preserve"> there has not been any case where the act of disseminating information of public interest </w:t>
      </w:r>
      <w:r>
        <w:rPr>
          <w:szCs w:val="24"/>
        </w:rPr>
        <w:t>was</w:t>
      </w:r>
      <w:r>
        <w:t xml:space="preserve"> unfairly restricted.</w:t>
      </w:r>
    </w:p>
    <w:p w:rsidR="005A0798" w:rsidRDefault="005A0798" w:rsidP="005A0798">
      <w:pPr>
        <w:pStyle w:val="SingleTxtG"/>
      </w:pPr>
      <w:r>
        <w:t>71.</w:t>
      </w:r>
      <w:r>
        <w:tab/>
      </w:r>
      <w:r>
        <w:rPr>
          <w:highlight w:val="white"/>
        </w:rPr>
        <w:t xml:space="preserve">The mere act of spreading false information online is not subjected to criminal punishment, whereas the act of disseminating incorrect information online purposely to disparage a person’s reputation, defaming his or her character as a result, is punishable for the violation of the </w:t>
      </w:r>
      <w:r>
        <w:rPr>
          <w:i/>
          <w:highlight w:val="white"/>
        </w:rPr>
        <w:t xml:space="preserve">Act on Information and Communications Network, </w:t>
      </w:r>
      <w:r>
        <w:rPr>
          <w:highlight w:val="white"/>
        </w:rPr>
        <w:t xml:space="preserve">Article 70 </w:t>
      </w:r>
      <w:r>
        <w:rPr>
          <w:szCs w:val="24"/>
          <w:highlight w:val="white"/>
        </w:rPr>
        <w:t>Paragraph</w:t>
      </w:r>
      <w:r>
        <w:rPr>
          <w:highlight w:val="white"/>
        </w:rPr>
        <w:t xml:space="preserve"> 2. In addition, the act of interference of business by disseminating incorrect information (</w:t>
      </w:r>
      <w:r>
        <w:rPr>
          <w:i/>
          <w:highlight w:val="white"/>
        </w:rPr>
        <w:t xml:space="preserve">Criminal Act, </w:t>
      </w:r>
      <w:r>
        <w:rPr>
          <w:highlight w:val="white"/>
        </w:rPr>
        <w:t xml:space="preserve">Article 314 </w:t>
      </w:r>
      <w:r>
        <w:rPr>
          <w:szCs w:val="24"/>
          <w:highlight w:val="white"/>
        </w:rPr>
        <w:t>Paragraph</w:t>
      </w:r>
      <w:r>
        <w:rPr>
          <w:highlight w:val="white"/>
        </w:rPr>
        <w:t xml:space="preserve"> 1), and the act of </w:t>
      </w:r>
      <w:r>
        <w:rPr>
          <w:szCs w:val="24"/>
          <w:highlight w:val="white"/>
        </w:rPr>
        <w:t>publicly making</w:t>
      </w:r>
      <w:r>
        <w:rPr>
          <w:highlight w:val="white"/>
        </w:rPr>
        <w:t xml:space="preserve"> false communication </w:t>
      </w:r>
      <w:r>
        <w:rPr>
          <w:szCs w:val="24"/>
          <w:highlight w:val="white"/>
        </w:rPr>
        <w:t xml:space="preserve">for the purpose of benefiting </w:t>
      </w:r>
      <w:r>
        <w:rPr>
          <w:highlight w:val="white"/>
        </w:rPr>
        <w:t xml:space="preserve"> or </w:t>
      </w:r>
      <w:r>
        <w:rPr>
          <w:szCs w:val="24"/>
          <w:highlight w:val="white"/>
        </w:rPr>
        <w:t>harming himself or a third</w:t>
      </w:r>
      <w:r>
        <w:rPr>
          <w:highlight w:val="white"/>
        </w:rPr>
        <w:t xml:space="preserve"> person (</w:t>
      </w:r>
      <w:r>
        <w:rPr>
          <w:i/>
          <w:highlight w:val="white"/>
        </w:rPr>
        <w:t>Framework Act on</w:t>
      </w:r>
      <w:r>
        <w:rPr>
          <w:highlight w:val="white"/>
        </w:rPr>
        <w:t xml:space="preserve"> </w:t>
      </w:r>
      <w:r>
        <w:rPr>
          <w:i/>
          <w:highlight w:val="white"/>
        </w:rPr>
        <w:t xml:space="preserve">Telecommunications, </w:t>
      </w:r>
      <w:r>
        <w:rPr>
          <w:highlight w:val="white"/>
        </w:rPr>
        <w:t xml:space="preserve">Article 47 </w:t>
      </w:r>
      <w:r>
        <w:rPr>
          <w:szCs w:val="24"/>
          <w:highlight w:val="white"/>
        </w:rPr>
        <w:t>Paragraph</w:t>
      </w:r>
      <w:r>
        <w:rPr>
          <w:highlight w:val="white"/>
        </w:rPr>
        <w:t xml:space="preserve"> 2) may be subjected to criminal punishment.</w:t>
      </w:r>
    </w:p>
    <w:p w:rsidR="005A0798" w:rsidRDefault="005A0798" w:rsidP="005A0798">
      <w:pPr>
        <w:pStyle w:val="SingleTxtG"/>
      </w:pPr>
      <w:r>
        <w:rPr>
          <w:szCs w:val="24"/>
        </w:rPr>
        <w:t>72.</w:t>
      </w:r>
      <w:r>
        <w:rPr>
          <w:szCs w:val="24"/>
        </w:rPr>
        <w:tab/>
      </w:r>
      <w:r>
        <w:rPr>
          <w:highlight w:val="white"/>
        </w:rPr>
        <w:t xml:space="preserve">The Government has no plan to amend or decriminalize defamation since </w:t>
      </w:r>
      <w:r>
        <w:rPr>
          <w:szCs w:val="24"/>
          <w:highlight w:val="white"/>
        </w:rPr>
        <w:t>it</w:t>
      </w:r>
      <w:r>
        <w:rPr>
          <w:highlight w:val="white"/>
        </w:rPr>
        <w:t xml:space="preserve"> may </w:t>
      </w:r>
      <w:r>
        <w:rPr>
          <w:szCs w:val="24"/>
          <w:highlight w:val="white"/>
        </w:rPr>
        <w:t xml:space="preserve">cause irreparable damage on the victims and </w:t>
      </w:r>
      <w:r>
        <w:rPr>
          <w:highlight w:val="white"/>
        </w:rPr>
        <w:t xml:space="preserve">gravely violate the right to reputation, the </w:t>
      </w:r>
      <w:r>
        <w:rPr>
          <w:szCs w:val="24"/>
          <w:highlight w:val="white"/>
        </w:rPr>
        <w:t xml:space="preserve">right to </w:t>
      </w:r>
      <w:r>
        <w:rPr>
          <w:highlight w:val="white"/>
        </w:rPr>
        <w:t>privacy</w:t>
      </w:r>
      <w:r>
        <w:rPr>
          <w:szCs w:val="24"/>
          <w:highlight w:val="white"/>
        </w:rPr>
        <w:t>, and</w:t>
      </w:r>
      <w:r>
        <w:rPr>
          <w:highlight w:val="white"/>
        </w:rPr>
        <w:t xml:space="preserve"> the right to pursue happiness</w:t>
      </w:r>
      <w:r>
        <w:rPr>
          <w:szCs w:val="24"/>
          <w:highlight w:val="white"/>
        </w:rPr>
        <w:t>, all</w:t>
      </w:r>
      <w:r>
        <w:rPr>
          <w:highlight w:val="white"/>
        </w:rPr>
        <w:t xml:space="preserve"> of </w:t>
      </w:r>
      <w:r>
        <w:rPr>
          <w:szCs w:val="24"/>
          <w:highlight w:val="white"/>
        </w:rPr>
        <w:t>which are</w:t>
      </w:r>
      <w:r>
        <w:rPr>
          <w:highlight w:val="white"/>
        </w:rPr>
        <w:t xml:space="preserve"> protected in the Constitution</w:t>
      </w:r>
      <w:r>
        <w:rPr>
          <w:szCs w:val="24"/>
          <w:highlight w:val="white"/>
        </w:rPr>
        <w:t>.</w:t>
      </w:r>
      <w:r>
        <w:rPr>
          <w:highlight w:val="white"/>
        </w:rPr>
        <w:t xml:space="preserve"> </w:t>
      </w:r>
      <w:r>
        <w:t>The Government does not share the opinion that defamation is broadly defined. On the other hand, a number of bills are introduced in the National Assembly for further legislative discussion. State public officials bear obligation to political impartiality and shall be servants of the entire people under the Constitution and relevant law. Such provision does not limit the freedom of expression in general</w:t>
      </w:r>
      <w:r>
        <w:rPr>
          <w:szCs w:val="24"/>
        </w:rPr>
        <w:t>; thus</w:t>
      </w:r>
      <w:r>
        <w:t xml:space="preserve"> the Government does not plan to amend the provision. </w:t>
      </w:r>
    </w:p>
    <w:p w:rsidR="005A0798" w:rsidRDefault="005A0798" w:rsidP="005A0798">
      <w:pPr>
        <w:pStyle w:val="H1G"/>
      </w:pPr>
      <w:r>
        <w:tab/>
      </w:r>
      <w:r>
        <w:tab/>
        <w:t>Issue 24</w:t>
      </w:r>
    </w:p>
    <w:p w:rsidR="005A0798" w:rsidRDefault="005A0798" w:rsidP="005A0798">
      <w:pPr>
        <w:pStyle w:val="SingleTxtG"/>
      </w:pPr>
      <w:r>
        <w:t>73.</w:t>
      </w:r>
      <w:r>
        <w:tab/>
        <w:t xml:space="preserve">As stated in </w:t>
      </w:r>
      <w:r>
        <w:rPr>
          <w:szCs w:val="24"/>
        </w:rPr>
        <w:t>Paragraphs</w:t>
      </w:r>
      <w:r>
        <w:t xml:space="preserve"> 285-288 of the fourth report, the Supreme Court and</w:t>
      </w:r>
      <w:r>
        <w:rPr>
          <w:szCs w:val="24"/>
        </w:rPr>
        <w:t xml:space="preserve"> the</w:t>
      </w:r>
      <w:r>
        <w:t xml:space="preserve"> Constitutional Court ruled that the </w:t>
      </w:r>
      <w:r>
        <w:rPr>
          <w:i/>
        </w:rPr>
        <w:t>National Security Act</w:t>
      </w:r>
      <w:r>
        <w:t xml:space="preserve"> is not in violation of the principle of clarity. In accordance with the judgment of the Court, the NSA is applied only where there are clear threats to </w:t>
      </w:r>
      <w:r>
        <w:rPr>
          <w:szCs w:val="24"/>
        </w:rPr>
        <w:t>national security and existence or danger to the</w:t>
      </w:r>
      <w:r>
        <w:t xml:space="preserve"> democratic fundamental order. The number of the detained and the prosecuted is provided below, which hardly shows an increasing trend since 2008. </w:t>
      </w:r>
    </w:p>
    <w:p w:rsidR="005A0798" w:rsidRDefault="005A0798" w:rsidP="005A0798">
      <w:pPr>
        <w:pStyle w:val="SingleTxtG"/>
      </w:pPr>
      <w:r>
        <w:t>74.</w:t>
      </w:r>
      <w:r>
        <w:tab/>
        <w:t xml:space="preserve">Article 7 of the NSA is limited to “any person who praises, incites or propagates the activities of an anti-government organization,… with the knowledge of the fact that it may endanger the existence and security of the State or democratic fundamental order,” not to mere opposition to Government </w:t>
      </w:r>
      <w:r>
        <w:rPr>
          <w:szCs w:val="24"/>
        </w:rPr>
        <w:t xml:space="preserve">policies </w:t>
      </w:r>
      <w:r>
        <w:t>or the praise of the ideology of anti-state organization</w:t>
      </w:r>
      <w:r>
        <w:rPr>
          <w:szCs w:val="24"/>
        </w:rPr>
        <w:t xml:space="preserve">. </w:t>
      </w:r>
      <w:r>
        <w:t xml:space="preserve">The application of the NSA is in accordance with the Covenant that provides for the limitations on the freedom of expression for the protection of national security. </w:t>
      </w:r>
    </w:p>
    <w:p w:rsidR="005A0798" w:rsidRDefault="005A0798" w:rsidP="005A0798">
      <w:pPr>
        <w:pStyle w:val="H4G"/>
      </w:pPr>
      <w:r>
        <w:tab/>
      </w:r>
      <w:r>
        <w:tab/>
        <w:t xml:space="preserve">[Table] The number of the offenders of the NSA </w:t>
      </w:r>
    </w:p>
    <w:tbl>
      <w:tblPr>
        <w:tblW w:w="7370" w:type="dxa"/>
        <w:tblInd w:w="1134" w:type="dxa"/>
        <w:tblBorders>
          <w:top w:val="single" w:sz="4" w:space="0" w:color="auto"/>
        </w:tblBorders>
        <w:tblCellMar>
          <w:left w:w="0" w:type="dxa"/>
        </w:tblCellMar>
        <w:tblLook w:val="0600" w:firstRow="0" w:lastRow="0" w:firstColumn="0" w:lastColumn="0" w:noHBand="1" w:noVBand="1"/>
      </w:tblPr>
      <w:tblGrid>
        <w:gridCol w:w="1381"/>
        <w:gridCol w:w="711"/>
        <w:gridCol w:w="711"/>
        <w:gridCol w:w="711"/>
        <w:gridCol w:w="809"/>
        <w:gridCol w:w="779"/>
        <w:gridCol w:w="726"/>
        <w:gridCol w:w="771"/>
        <w:gridCol w:w="771"/>
      </w:tblGrid>
      <w:tr w:rsidR="005A0798" w:rsidTr="005A0798">
        <w:trPr>
          <w:trHeight w:val="240"/>
          <w:tblHeader/>
        </w:trPr>
        <w:tc>
          <w:tcPr>
            <w:tcW w:w="1695" w:type="dxa"/>
            <w:tcBorders>
              <w:top w:val="single" w:sz="4" w:space="0" w:color="auto"/>
              <w:left w:val="nil"/>
              <w:bottom w:val="single" w:sz="12" w:space="0" w:color="auto"/>
              <w:right w:val="nil"/>
            </w:tcBorders>
            <w:tcMar>
              <w:top w:w="20" w:type="dxa"/>
              <w:left w:w="100" w:type="dxa"/>
              <w:bottom w:w="20" w:type="dxa"/>
              <w:right w:w="100" w:type="dxa"/>
            </w:tcMar>
            <w:vAlign w:val="bottom"/>
          </w:tcPr>
          <w:p w:rsidR="005A0798" w:rsidRDefault="005A0798">
            <w:pPr>
              <w:pStyle w:val="1"/>
              <w:widowControl/>
              <w:wordWrap w:val="0"/>
              <w:autoSpaceDE w:val="0"/>
              <w:autoSpaceDN w:val="0"/>
              <w:spacing w:before="80" w:after="80" w:line="200" w:lineRule="exact"/>
              <w:jc w:val="left"/>
              <w:rPr>
                <w:rFonts w:ascii="Times New Roman" w:hAnsi="Times New Roman" w:cs="Times New Roman"/>
                <w:i/>
                <w:color w:val="auto"/>
                <w:sz w:val="16"/>
              </w:rPr>
            </w:pPr>
          </w:p>
        </w:tc>
        <w:tc>
          <w:tcPr>
            <w:tcW w:w="90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2007</w:t>
            </w:r>
          </w:p>
        </w:tc>
        <w:tc>
          <w:tcPr>
            <w:tcW w:w="90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2008</w:t>
            </w:r>
          </w:p>
        </w:tc>
        <w:tc>
          <w:tcPr>
            <w:tcW w:w="90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2009</w:t>
            </w:r>
          </w:p>
        </w:tc>
        <w:tc>
          <w:tcPr>
            <w:tcW w:w="1095"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2010</w:t>
            </w:r>
          </w:p>
        </w:tc>
        <w:tc>
          <w:tcPr>
            <w:tcW w:w="1035"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2011</w:t>
            </w:r>
          </w:p>
        </w:tc>
        <w:tc>
          <w:tcPr>
            <w:tcW w:w="93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2012</w:t>
            </w:r>
          </w:p>
        </w:tc>
        <w:tc>
          <w:tcPr>
            <w:tcW w:w="102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2013</w:t>
            </w:r>
          </w:p>
        </w:tc>
        <w:tc>
          <w:tcPr>
            <w:tcW w:w="1020" w:type="dxa"/>
            <w:tcBorders>
              <w:top w:val="single" w:sz="4" w:space="0" w:color="auto"/>
              <w:left w:val="nil"/>
              <w:bottom w:val="single" w:sz="12" w:space="0" w:color="auto"/>
              <w:right w:val="nil"/>
            </w:tcBorders>
            <w:tcMar>
              <w:top w:w="20" w:type="dxa"/>
              <w:left w:w="100" w:type="dxa"/>
              <w:bottom w:w="20" w:type="dxa"/>
              <w:right w:w="100" w:type="dxa"/>
            </w:tcMar>
            <w:vAlign w:val="bottom"/>
            <w:hideMark/>
          </w:tcPr>
          <w:p w:rsidR="005A0798" w:rsidRDefault="005A0798">
            <w:pPr>
              <w:pStyle w:val="1"/>
              <w:widowControl/>
              <w:spacing w:before="80" w:after="80" w:line="200" w:lineRule="exact"/>
              <w:jc w:val="left"/>
              <w:rPr>
                <w:rFonts w:ascii="Times New Roman" w:hAnsi="Times New Roman" w:cs="Times New Roman"/>
                <w:i/>
                <w:color w:val="auto"/>
                <w:sz w:val="16"/>
              </w:rPr>
            </w:pPr>
            <w:r>
              <w:rPr>
                <w:rFonts w:ascii="Times New Roman" w:hAnsi="Times New Roman" w:cs="Times New Roman"/>
                <w:i/>
                <w:color w:val="auto"/>
                <w:sz w:val="16"/>
              </w:rPr>
              <w:t>2014</w:t>
            </w:r>
          </w:p>
        </w:tc>
      </w:tr>
      <w:tr w:rsidR="005A0798" w:rsidTr="005A0798">
        <w:trPr>
          <w:trHeight w:val="240"/>
        </w:trPr>
        <w:tc>
          <w:tcPr>
            <w:tcW w:w="1695"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No. of persons detained</w:t>
            </w:r>
          </w:p>
        </w:tc>
        <w:tc>
          <w:tcPr>
            <w:tcW w:w="90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17</w:t>
            </w:r>
          </w:p>
        </w:tc>
        <w:tc>
          <w:tcPr>
            <w:tcW w:w="90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16</w:t>
            </w:r>
          </w:p>
        </w:tc>
        <w:tc>
          <w:tcPr>
            <w:tcW w:w="90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18</w:t>
            </w:r>
          </w:p>
        </w:tc>
        <w:tc>
          <w:tcPr>
            <w:tcW w:w="1095"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32</w:t>
            </w:r>
          </w:p>
        </w:tc>
        <w:tc>
          <w:tcPr>
            <w:tcW w:w="1035"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19</w:t>
            </w:r>
          </w:p>
        </w:tc>
        <w:tc>
          <w:tcPr>
            <w:tcW w:w="93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26</w:t>
            </w:r>
          </w:p>
        </w:tc>
        <w:tc>
          <w:tcPr>
            <w:tcW w:w="102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38</w:t>
            </w:r>
          </w:p>
        </w:tc>
        <w:tc>
          <w:tcPr>
            <w:tcW w:w="1020" w:type="dxa"/>
            <w:tcBorders>
              <w:top w:val="single" w:sz="12" w:space="0" w:color="auto"/>
              <w:left w:val="nil"/>
              <w:bottom w:val="nil"/>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7</w:t>
            </w:r>
          </w:p>
        </w:tc>
      </w:tr>
      <w:tr w:rsidR="005A0798" w:rsidTr="005A0798">
        <w:trPr>
          <w:trHeight w:val="240"/>
        </w:trPr>
        <w:tc>
          <w:tcPr>
            <w:tcW w:w="1695"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 xml:space="preserve">No. of persons prosecuted </w:t>
            </w:r>
          </w:p>
        </w:tc>
        <w:tc>
          <w:tcPr>
            <w:tcW w:w="90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40</w:t>
            </w:r>
          </w:p>
        </w:tc>
        <w:tc>
          <w:tcPr>
            <w:tcW w:w="90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27</w:t>
            </w:r>
          </w:p>
        </w:tc>
        <w:tc>
          <w:tcPr>
            <w:tcW w:w="90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34</w:t>
            </w:r>
          </w:p>
        </w:tc>
        <w:tc>
          <w:tcPr>
            <w:tcW w:w="1095"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43</w:t>
            </w:r>
          </w:p>
        </w:tc>
        <w:tc>
          <w:tcPr>
            <w:tcW w:w="1035"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39</w:t>
            </w:r>
          </w:p>
        </w:tc>
        <w:tc>
          <w:tcPr>
            <w:tcW w:w="93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59</w:t>
            </w:r>
          </w:p>
        </w:tc>
        <w:tc>
          <w:tcPr>
            <w:tcW w:w="102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70</w:t>
            </w:r>
          </w:p>
        </w:tc>
        <w:tc>
          <w:tcPr>
            <w:tcW w:w="1020" w:type="dxa"/>
            <w:tcBorders>
              <w:top w:val="nil"/>
              <w:left w:val="nil"/>
              <w:bottom w:val="single" w:sz="12" w:space="0" w:color="auto"/>
              <w:right w:val="nil"/>
            </w:tcBorders>
            <w:tcMar>
              <w:top w:w="20" w:type="dxa"/>
              <w:left w:w="100" w:type="dxa"/>
              <w:bottom w:w="20" w:type="dxa"/>
              <w:right w:w="100" w:type="dxa"/>
            </w:tcMar>
            <w:hideMark/>
          </w:tcPr>
          <w:p w:rsidR="005A0798" w:rsidRDefault="005A0798">
            <w:pPr>
              <w:pStyle w:val="1"/>
              <w:widowControl/>
              <w:wordWrap w:val="0"/>
              <w:autoSpaceDE w:val="0"/>
              <w:autoSpaceDN w:val="0"/>
              <w:spacing w:before="40" w:after="120" w:line="220" w:lineRule="exact"/>
              <w:jc w:val="left"/>
              <w:rPr>
                <w:rFonts w:ascii="Times New Roman" w:hAnsi="Times New Roman" w:cs="Times New Roman"/>
                <w:color w:val="auto"/>
                <w:sz w:val="20"/>
              </w:rPr>
            </w:pPr>
            <w:r>
              <w:rPr>
                <w:rFonts w:ascii="Times New Roman" w:hAnsi="Times New Roman" w:cs="Times New Roman"/>
                <w:color w:val="auto"/>
                <w:sz w:val="20"/>
              </w:rPr>
              <w:t>34</w:t>
            </w:r>
          </w:p>
        </w:tc>
      </w:tr>
    </w:tbl>
    <w:p w:rsidR="005A0798" w:rsidRDefault="005A0798" w:rsidP="005A0798">
      <w:pPr>
        <w:pStyle w:val="SingleTxtG"/>
      </w:pPr>
      <w:r>
        <w:t>75.</w:t>
      </w:r>
      <w:r>
        <w:tab/>
        <w:t xml:space="preserve">The members of the UPP were prosecuted not merely on the charge of praising and inciting North Korean ideology but on the insurrection conspiracy and agitation. As North Korea declared the armistice invalid in March 2013, about 130 UPP members gathered in secret, agitated and conspired insurrection to assist North Korea’s conduct of war by </w:t>
      </w:r>
      <w:r>
        <w:lastRenderedPageBreak/>
        <w:t>destroying essential national infrastructures such as oil storage, telecommunication and railways. The Constitutional Court recognized that the objectives and activities of the UPP are primarily to realize ‘progressive democracy’ and North Korea’s socialism, and, in an active and deliberate manner, it attempts to undermine or to annihilate the basic democratic order based on the principle of popular sovereignty, respect for human rights and democratic decision-making. In this regards, The Court ruled that no alternative means exists other than to dissolve the political party.</w:t>
      </w:r>
    </w:p>
    <w:p w:rsidR="005A0798" w:rsidRDefault="005A0798" w:rsidP="005A0798">
      <w:pPr>
        <w:pStyle w:val="H1G"/>
      </w:pPr>
      <w:r>
        <w:tab/>
      </w:r>
      <w:r>
        <w:tab/>
        <w:t>Issue 25</w:t>
      </w:r>
    </w:p>
    <w:p w:rsidR="005A0798" w:rsidRDefault="005A0798" w:rsidP="005A0798">
      <w:pPr>
        <w:pStyle w:val="SingleTxtG"/>
      </w:pPr>
      <w:r>
        <w:t>76.</w:t>
      </w:r>
      <w:r>
        <w:tab/>
        <w:t>The allegation is not true. Investigations may be initiated by complaints if journalists or others impair another’s fame, including that of public officials, through broadcasting, internet, or publication. When the acts found constitute the crime of defamation (</w:t>
      </w:r>
      <w:r>
        <w:rPr>
          <w:i/>
        </w:rPr>
        <w:t>Criminal Act</w:t>
      </w:r>
      <w:r>
        <w:t>, Articles 307 and 309) or the crime of insult after investigation, journalists or others can be criminally responsible. However, the crime is not constituted if the facts are true and solely for the public interest and he/she shall not be criminally responsible (</w:t>
      </w:r>
      <w:r>
        <w:rPr>
          <w:i/>
        </w:rPr>
        <w:t>Criminal Act</w:t>
      </w:r>
      <w:r>
        <w:t>, Article 310).</w:t>
      </w:r>
    </w:p>
    <w:p w:rsidR="005A0798" w:rsidRDefault="005A0798" w:rsidP="005A0798">
      <w:pPr>
        <w:pStyle w:val="H1G"/>
      </w:pPr>
      <w:r>
        <w:tab/>
      </w:r>
      <w:r>
        <w:tab/>
        <w:t>Issue 26</w:t>
      </w:r>
    </w:p>
    <w:p w:rsidR="005A0798" w:rsidRDefault="005A0798" w:rsidP="005A0798">
      <w:pPr>
        <w:pStyle w:val="SingleTxtG"/>
      </w:pPr>
      <w:r>
        <w:t>77.</w:t>
      </w:r>
      <w:r>
        <w:tab/>
        <w:t xml:space="preserve">A permit system about assembly and demonstration is not recognized under Article 21 of the Constitution. A person who </w:t>
      </w:r>
      <w:r>
        <w:rPr>
          <w:szCs w:val="24"/>
        </w:rPr>
        <w:t>organizes</w:t>
      </w:r>
      <w:r>
        <w:t xml:space="preserve"> an assembly or demonstration is free to </w:t>
      </w:r>
      <w:r>
        <w:rPr>
          <w:szCs w:val="24"/>
        </w:rPr>
        <w:t>hold</w:t>
      </w:r>
      <w:r>
        <w:t xml:space="preserve"> it by reporting to a police station in advance. Assemblies or demonstrations are banned to the minimum necessary extent to maintain public peace and order as specified in the </w:t>
      </w:r>
      <w:r>
        <w:rPr>
          <w:i/>
        </w:rPr>
        <w:t>Assembly and Demonstration Act</w:t>
      </w:r>
      <w:r>
        <w:t xml:space="preserve">. In the past three years, the </w:t>
      </w:r>
      <w:r>
        <w:rPr>
          <w:szCs w:val="24"/>
        </w:rPr>
        <w:t>proportion</w:t>
      </w:r>
      <w:r>
        <w:t xml:space="preserve"> of assemblies and demonstrations </w:t>
      </w:r>
      <w:r>
        <w:rPr>
          <w:szCs w:val="24"/>
        </w:rPr>
        <w:t xml:space="preserve">banned by </w:t>
      </w:r>
      <w:r>
        <w:t xml:space="preserve">the police remains at merely 0.17% </w:t>
      </w:r>
      <w:r>
        <w:rPr>
          <w:szCs w:val="24"/>
        </w:rPr>
        <w:t>of</w:t>
      </w:r>
      <w:r>
        <w:t xml:space="preserve"> the entire reported cases, </w:t>
      </w:r>
      <w:r>
        <w:rPr>
          <w:szCs w:val="24"/>
        </w:rPr>
        <w:t xml:space="preserve">which amounts to </w:t>
      </w:r>
      <w:r>
        <w:t xml:space="preserve">761 banned </w:t>
      </w:r>
      <w:r>
        <w:rPr>
          <w:szCs w:val="24"/>
        </w:rPr>
        <w:t xml:space="preserve">from a total of </w:t>
      </w:r>
      <w:r>
        <w:t>433,956</w:t>
      </w:r>
      <w:r>
        <w:rPr>
          <w:szCs w:val="24"/>
        </w:rPr>
        <w:t xml:space="preserve"> demonstrations</w:t>
      </w:r>
      <w:r>
        <w:t>.</w:t>
      </w:r>
    </w:p>
    <w:p w:rsidR="005A0798" w:rsidRDefault="005A0798" w:rsidP="005A0798">
      <w:pPr>
        <w:pStyle w:val="SingleTxtG"/>
      </w:pPr>
      <w:r>
        <w:t>78.</w:t>
      </w:r>
      <w:r>
        <w:tab/>
        <w:t xml:space="preserve">While respecting peaceful </w:t>
      </w:r>
      <w:r>
        <w:rPr>
          <w:szCs w:val="24"/>
        </w:rPr>
        <w:t>assemblies</w:t>
      </w:r>
      <w:r>
        <w:t xml:space="preserve"> and protests, the police take procedural steps to stop illegal acts</w:t>
      </w:r>
      <w:r>
        <w:rPr>
          <w:szCs w:val="24"/>
        </w:rPr>
        <w:t>; warning</w:t>
      </w:r>
      <w:r>
        <w:t xml:space="preserve"> broadcasting, </w:t>
      </w:r>
      <w:r>
        <w:rPr>
          <w:szCs w:val="24"/>
        </w:rPr>
        <w:t>requesting</w:t>
      </w:r>
      <w:r>
        <w:t xml:space="preserve"> the organizers to declare conclusion of the protest, </w:t>
      </w:r>
      <w:r>
        <w:rPr>
          <w:szCs w:val="24"/>
        </w:rPr>
        <w:t>requesting</w:t>
      </w:r>
      <w:r>
        <w:rPr>
          <w:color w:val="FF0000"/>
        </w:rPr>
        <w:t xml:space="preserve"> </w:t>
      </w:r>
      <w:r>
        <w:t>the participants</w:t>
      </w:r>
      <w:r>
        <w:rPr>
          <w:szCs w:val="24"/>
        </w:rPr>
        <w:t xml:space="preserve"> to voluntarily disperse</w:t>
      </w:r>
      <w:r>
        <w:t xml:space="preserve">, and three orders of disperse in time </w:t>
      </w:r>
      <w:r>
        <w:rPr>
          <w:szCs w:val="24"/>
        </w:rPr>
        <w:t>interval</w:t>
      </w:r>
      <w:r>
        <w:t>. If the participants do not follow the order, the police execute a direct disperse measure</w:t>
      </w:r>
      <w:r>
        <w:rPr>
          <w:szCs w:val="24"/>
        </w:rPr>
        <w:t>. Rather than apprehending the protesters, the police put priority on</w:t>
      </w:r>
      <w:r>
        <w:t xml:space="preserve"> securing the roads </w:t>
      </w:r>
      <w:r>
        <w:rPr>
          <w:szCs w:val="24"/>
        </w:rPr>
        <w:t xml:space="preserve">for traffic flow </w:t>
      </w:r>
      <w:r>
        <w:t>by leading the protesters to the sidewalks. The crime of interference of business may be applied when acts by the protesters suffice the elements of the crime.</w:t>
      </w:r>
    </w:p>
    <w:p w:rsidR="005A0798" w:rsidRDefault="005A0798" w:rsidP="005A0798">
      <w:pPr>
        <w:pStyle w:val="SingleTxtG"/>
      </w:pPr>
      <w:r>
        <w:t>79.</w:t>
      </w:r>
      <w:r>
        <w:tab/>
        <w:t xml:space="preserve">The Government has not employed excessive physical force for the purpose of suppressing protests against government policies or wide-scale projects. Rather it ensures legal and peaceful assemblies and demonstrations as much as possible. </w:t>
      </w:r>
      <w:r>
        <w:rPr>
          <w:szCs w:val="24"/>
        </w:rPr>
        <w:t>While respecting human rights and safety of people, a</w:t>
      </w:r>
      <w:r>
        <w:t xml:space="preserve"> minimum necessary amount of physical force is exercised</w:t>
      </w:r>
      <w:r>
        <w:rPr>
          <w:szCs w:val="24"/>
        </w:rPr>
        <w:t xml:space="preserve"> to restrain the</w:t>
      </w:r>
      <w:r>
        <w:t xml:space="preserve"> use of violence</w:t>
      </w:r>
      <w:r>
        <w:rPr>
          <w:szCs w:val="24"/>
        </w:rPr>
        <w:t>,</w:t>
      </w:r>
      <w:r>
        <w:t xml:space="preserve"> such as assault against police officers, throwing of </w:t>
      </w:r>
      <w:r>
        <w:rPr>
          <w:szCs w:val="24"/>
        </w:rPr>
        <w:t xml:space="preserve">firebombs or </w:t>
      </w:r>
      <w:r>
        <w:t xml:space="preserve">dangerous articles, and destruction of police equipment or public property. </w:t>
      </w:r>
      <w:r>
        <w:rPr>
          <w:szCs w:val="24"/>
        </w:rPr>
        <w:t>The Police</w:t>
      </w:r>
      <w:r>
        <w:t xml:space="preserve"> force is </w:t>
      </w:r>
      <w:r>
        <w:rPr>
          <w:szCs w:val="24"/>
        </w:rPr>
        <w:t>used with observing due process of law</w:t>
      </w:r>
      <w:r>
        <w:t xml:space="preserve"> after strictly evaluating whether the principle of necessity and proportionality is met in accordance with the </w:t>
      </w:r>
      <w:r>
        <w:rPr>
          <w:i/>
        </w:rPr>
        <w:t>Act on the Performance of Duties by Police Officers</w:t>
      </w:r>
      <w:r>
        <w:t xml:space="preserve"> and </w:t>
      </w:r>
      <w:r>
        <w:rPr>
          <w:i/>
        </w:rPr>
        <w:t xml:space="preserve">Rules on Use of </w:t>
      </w:r>
      <w:r>
        <w:rPr>
          <w:i/>
          <w:szCs w:val="24"/>
        </w:rPr>
        <w:t>Hazardous</w:t>
      </w:r>
      <w:r>
        <w:rPr>
          <w:i/>
        </w:rPr>
        <w:t xml:space="preserve"> Police Equipment</w:t>
      </w:r>
      <w:r>
        <w:t xml:space="preserve">. </w:t>
      </w:r>
    </w:p>
    <w:p w:rsidR="005A0798" w:rsidRDefault="005A0798" w:rsidP="005A0798">
      <w:pPr>
        <w:pStyle w:val="SingleTxtG"/>
      </w:pPr>
      <w:r>
        <w:t>80.</w:t>
      </w:r>
      <w:r>
        <w:tab/>
        <w:t xml:space="preserve">Bus blockades are used </w:t>
      </w:r>
      <w:r>
        <w:rPr>
          <w:szCs w:val="24"/>
        </w:rPr>
        <w:t>to</w:t>
      </w:r>
      <w:r>
        <w:t xml:space="preserve"> a minimum necessary </w:t>
      </w:r>
      <w:r>
        <w:rPr>
          <w:szCs w:val="24"/>
        </w:rPr>
        <w:t>extent</w:t>
      </w:r>
      <w:r>
        <w:t xml:space="preserve"> to protect lawful demonstration and to prevent illegal acts and mutual physical damages that may occur in a direct confrontation between the protestors and the police. Even when illegal acts are </w:t>
      </w:r>
      <w:r>
        <w:rPr>
          <w:szCs w:val="24"/>
        </w:rPr>
        <w:t>sure</w:t>
      </w:r>
      <w:r>
        <w:t xml:space="preserve"> to occur, blockade is phased to set up and dismantled </w:t>
      </w:r>
      <w:r>
        <w:rPr>
          <w:szCs w:val="24"/>
        </w:rPr>
        <w:t>to protect</w:t>
      </w:r>
      <w:r>
        <w:t xml:space="preserve"> the right to assembly to the </w:t>
      </w:r>
      <w:r>
        <w:lastRenderedPageBreak/>
        <w:t xml:space="preserve">maximum extent, while </w:t>
      </w:r>
      <w:r>
        <w:rPr>
          <w:szCs w:val="24"/>
        </w:rPr>
        <w:t xml:space="preserve">taking measures for </w:t>
      </w:r>
      <w:r>
        <w:t xml:space="preserve">securing </w:t>
      </w:r>
      <w:r>
        <w:rPr>
          <w:szCs w:val="24"/>
        </w:rPr>
        <w:t>passageways</w:t>
      </w:r>
      <w:r>
        <w:t xml:space="preserve"> for the </w:t>
      </w:r>
      <w:r>
        <w:rPr>
          <w:szCs w:val="24"/>
        </w:rPr>
        <w:t>safe</w:t>
      </w:r>
      <w:r>
        <w:t xml:space="preserve"> and </w:t>
      </w:r>
      <w:r>
        <w:rPr>
          <w:szCs w:val="24"/>
        </w:rPr>
        <w:t xml:space="preserve">free </w:t>
      </w:r>
      <w:r>
        <w:t xml:space="preserve">move of people and managing guidance teams for </w:t>
      </w:r>
      <w:r>
        <w:rPr>
          <w:szCs w:val="24"/>
        </w:rPr>
        <w:t>passage</w:t>
      </w:r>
      <w:r>
        <w:t xml:space="preserve">. </w:t>
      </w:r>
    </w:p>
    <w:p w:rsidR="005A0798" w:rsidRDefault="005A0798" w:rsidP="005A0798">
      <w:pPr>
        <w:pStyle w:val="H1G"/>
      </w:pPr>
      <w:r>
        <w:tab/>
      </w:r>
      <w:r>
        <w:tab/>
        <w:t xml:space="preserve">Issue 27 </w:t>
      </w:r>
    </w:p>
    <w:p w:rsidR="005A0798" w:rsidRDefault="005A0798" w:rsidP="005A0798">
      <w:pPr>
        <w:pStyle w:val="SingleTxtG"/>
      </w:pPr>
      <w:r>
        <w:t>81.</w:t>
      </w:r>
      <w:r>
        <w:tab/>
        <w:t>Refer to the response in Paragraph 1.1</w:t>
      </w:r>
    </w:p>
    <w:p w:rsidR="005A0798" w:rsidRDefault="005A0798" w:rsidP="005A0798">
      <w:pPr>
        <w:pStyle w:val="SingleTxtG"/>
      </w:pPr>
      <w:r>
        <w:t>82.</w:t>
      </w:r>
      <w:r>
        <w:tab/>
        <w:t xml:space="preserve">The </w:t>
      </w:r>
      <w:r>
        <w:rPr>
          <w:szCs w:val="24"/>
        </w:rPr>
        <w:t xml:space="preserve">bylaws of </w:t>
      </w:r>
      <w:r>
        <w:t xml:space="preserve">Korean Government Employee's Union (KGEU) </w:t>
      </w:r>
      <w:r>
        <w:rPr>
          <w:szCs w:val="24"/>
        </w:rPr>
        <w:t>allow</w:t>
      </w:r>
      <w:r>
        <w:t xml:space="preserve"> the membership of persons who are not public officials, </w:t>
      </w:r>
      <w:r>
        <w:rPr>
          <w:szCs w:val="24"/>
        </w:rPr>
        <w:t xml:space="preserve">which is </w:t>
      </w:r>
      <w:r>
        <w:t xml:space="preserve">in violation of the </w:t>
      </w:r>
      <w:r>
        <w:rPr>
          <w:i/>
          <w:szCs w:val="24"/>
        </w:rPr>
        <w:t>Government Employees Union Act</w:t>
      </w:r>
      <w:r>
        <w:t xml:space="preserve"> that stipulates the membership of trade union</w:t>
      </w:r>
      <w:r>
        <w:rPr>
          <w:szCs w:val="24"/>
        </w:rPr>
        <w:t xml:space="preserve"> is extended to in-service public officials only</w:t>
      </w:r>
      <w:r>
        <w:t xml:space="preserve">. Accordingly, the government returned the report of establishment of </w:t>
      </w:r>
      <w:r>
        <w:rPr>
          <w:szCs w:val="24"/>
        </w:rPr>
        <w:t xml:space="preserve">the </w:t>
      </w:r>
      <w:r>
        <w:t xml:space="preserve">KGEU on 2 August 2013, against which the KGEU </w:t>
      </w:r>
      <w:r>
        <w:rPr>
          <w:szCs w:val="24"/>
        </w:rPr>
        <w:t>filed</w:t>
      </w:r>
      <w:r>
        <w:t xml:space="preserve"> a suit. </w:t>
      </w:r>
      <w:r>
        <w:rPr>
          <w:szCs w:val="24"/>
        </w:rPr>
        <w:t>On</w:t>
      </w:r>
      <w:r>
        <w:t xml:space="preserve"> 24 April 2014, the first instance court ruled that the return was legitimate. The case is currently pending in the appellate court. </w:t>
      </w:r>
      <w:r>
        <w:rPr>
          <w:szCs w:val="24"/>
        </w:rPr>
        <w:t xml:space="preserve">The </w:t>
      </w:r>
      <w:r>
        <w:t>KGEU is currently not recognized as a trade union under</w:t>
      </w:r>
      <w:r>
        <w:rPr>
          <w:szCs w:val="24"/>
        </w:rPr>
        <w:t xml:space="preserve"> the</w:t>
      </w:r>
      <w:r>
        <w:t xml:space="preserve"> law.</w:t>
      </w:r>
    </w:p>
    <w:p w:rsidR="005A0798" w:rsidRDefault="005A0798" w:rsidP="005A0798">
      <w:pPr>
        <w:pStyle w:val="SingleTxtG"/>
      </w:pPr>
      <w:r>
        <w:t>83.</w:t>
      </w:r>
      <w:r>
        <w:tab/>
        <w:t xml:space="preserve">Legitimate acts during collective bargaining and strikes enjoy criminal immunity according to Article 33 of the Constitution and Article 4 of the </w:t>
      </w:r>
      <w:r>
        <w:rPr>
          <w:i/>
        </w:rPr>
        <w:t>Trade Union and Labor Relations Adjustment Act</w:t>
      </w:r>
      <w:r>
        <w:t xml:space="preserve">. That is, no member of trade union shall be arrested or detained for legitimate collective action or union activities unless </w:t>
      </w:r>
      <w:r>
        <w:rPr>
          <w:szCs w:val="24"/>
        </w:rPr>
        <w:t xml:space="preserve">the </w:t>
      </w:r>
      <w:r>
        <w:t xml:space="preserve">actions </w:t>
      </w:r>
      <w:r>
        <w:rPr>
          <w:szCs w:val="24"/>
        </w:rPr>
        <w:t>are related</w:t>
      </w:r>
      <w:r>
        <w:t xml:space="preserve"> to the decision of working conditions, such as workplace occupation, shutdown of production lines, violence against managers or the police, or sit-in protest at high altitude fall under the crimes defined in the</w:t>
      </w:r>
      <w:r>
        <w:rPr>
          <w:i/>
        </w:rPr>
        <w:t xml:space="preserve"> Criminal Act</w:t>
      </w:r>
      <w:r>
        <w:t xml:space="preserve"> and the </w:t>
      </w:r>
      <w:r>
        <w:rPr>
          <w:i/>
        </w:rPr>
        <w:t>Trade Union and Labor Relations Adjustment Act</w:t>
      </w:r>
      <w:r>
        <w:t>.</w:t>
      </w:r>
    </w:p>
    <w:p w:rsidR="005A0798" w:rsidRDefault="005A0798" w:rsidP="005A0798">
      <w:pPr>
        <w:pStyle w:val="SingleTxtG"/>
        <w:rPr>
          <w:szCs w:val="24"/>
        </w:rPr>
      </w:pPr>
      <w:r>
        <w:rPr>
          <w:szCs w:val="24"/>
        </w:rPr>
        <w:t>84.</w:t>
      </w:r>
      <w:r>
        <w:rPr>
          <w:szCs w:val="24"/>
        </w:rPr>
        <w:tab/>
      </w:r>
      <w:r>
        <w:t xml:space="preserve">In-service teachers and dismissed teachers, until a review decision is made by the National Labor Relations Commission for remedies for unfair labor practices, are recognized as trade union members, according to the relevant law. However, the bylaws of the Korean Teachers and Education Workers Union (KTU) </w:t>
      </w:r>
      <w:r>
        <w:rPr>
          <w:szCs w:val="24"/>
        </w:rPr>
        <w:t>allow</w:t>
      </w:r>
      <w:r>
        <w:t xml:space="preserve"> dismissed teachers </w:t>
      </w:r>
      <w:r>
        <w:rPr>
          <w:szCs w:val="24"/>
        </w:rPr>
        <w:t>to join.</w:t>
      </w:r>
      <w:r>
        <w:t xml:space="preserve"> MOEL required rectification on 23 September 2013 and, as it was not implemented, notified </w:t>
      </w:r>
      <w:r>
        <w:rPr>
          <w:szCs w:val="24"/>
        </w:rPr>
        <w:t xml:space="preserve">on 24 October 2013 </w:t>
      </w:r>
      <w:r>
        <w:t>that the union is no longer legally recognized</w:t>
      </w:r>
      <w:r>
        <w:rPr>
          <w:szCs w:val="24"/>
        </w:rPr>
        <w:t>.</w:t>
      </w:r>
      <w:r>
        <w:t xml:space="preserve"> On the day of notification,</w:t>
      </w:r>
      <w:r>
        <w:rPr>
          <w:szCs w:val="24"/>
        </w:rPr>
        <w:t xml:space="preserve"> the</w:t>
      </w:r>
      <w:r>
        <w:t xml:space="preserve"> KTU initiated a litigation of revocation of notification. The first instance court ruled on 19 June 2014 that MOEL’s disposition was legitimate, </w:t>
      </w:r>
      <w:r>
        <w:rPr>
          <w:szCs w:val="24"/>
        </w:rPr>
        <w:t>and the second trial</w:t>
      </w:r>
      <w:r>
        <w:t xml:space="preserve"> is in process. The KTU is currently not a trade union under the law. Meanwhile, the Constitutional Court ruled that Article 2 of the </w:t>
      </w:r>
      <w:r>
        <w:rPr>
          <w:i/>
        </w:rPr>
        <w:t>Teacher’s Union</w:t>
      </w:r>
      <w:r>
        <w:t xml:space="preserve"> </w:t>
      </w:r>
      <w:r>
        <w:rPr>
          <w:i/>
        </w:rPr>
        <w:t>Act</w:t>
      </w:r>
      <w:r>
        <w:t xml:space="preserve"> is constitutional (Constitutional Court decision of 28 May 2015, 2013Hun-Ma671, 2014Hun-Ga21).  </w:t>
      </w:r>
    </w:p>
    <w:p w:rsidR="005A0798" w:rsidRDefault="005A0798" w:rsidP="005A0798">
      <w:pPr>
        <w:pStyle w:val="SingleTxtG"/>
      </w:pPr>
      <w:r>
        <w:t>85.</w:t>
      </w:r>
      <w:r>
        <w:tab/>
        <w:t xml:space="preserve">The Supreme Court ruled </w:t>
      </w:r>
      <w:r>
        <w:rPr>
          <w:szCs w:val="24"/>
        </w:rPr>
        <w:t>on</w:t>
      </w:r>
      <w:r>
        <w:t xml:space="preserve"> 25 June 2015 on the case concerning the status of migrants’ trade union that, according to the </w:t>
      </w:r>
      <w:r>
        <w:rPr>
          <w:i/>
        </w:rPr>
        <w:t>Trade Union and Labor Relations Adjustment Act</w:t>
      </w:r>
      <w:r>
        <w:t xml:space="preserve">, a worker is </w:t>
      </w:r>
      <w:r>
        <w:rPr>
          <w:szCs w:val="24"/>
        </w:rPr>
        <w:t>defined as those</w:t>
      </w:r>
      <w:r>
        <w:t xml:space="preserve"> who provides labor and lives on the wages, and even foreigners whose sojourn is illegal </w:t>
      </w:r>
      <w:r>
        <w:rPr>
          <w:szCs w:val="24"/>
        </w:rPr>
        <w:t>should not</w:t>
      </w:r>
      <w:r>
        <w:t xml:space="preserve"> be viewed otherwise.</w:t>
      </w:r>
      <w:r>
        <w:rPr>
          <w:szCs w:val="24"/>
        </w:rPr>
        <w:t xml:space="preserve"> Accordingly, the Migrants’ Trade Union is recognized and MOEL will render a suitable disposition.</w:t>
      </w:r>
      <w:r>
        <w:t xml:space="preserve">  </w:t>
      </w:r>
    </w:p>
    <w:p w:rsidR="005A0798" w:rsidRDefault="005A0798" w:rsidP="005A0798">
      <w:pPr>
        <w:pStyle w:val="H1G"/>
      </w:pPr>
      <w:r>
        <w:tab/>
      </w:r>
      <w:r>
        <w:tab/>
        <w:t>Issue 28</w:t>
      </w:r>
    </w:p>
    <w:p w:rsidR="005A0798" w:rsidRDefault="005A0798" w:rsidP="005A0798">
      <w:pPr>
        <w:pStyle w:val="SingleTxtG"/>
      </w:pPr>
      <w:r>
        <w:t>86.</w:t>
      </w:r>
      <w:r>
        <w:tab/>
        <w:t>The Government conducted research on improving birth reporting system under the</w:t>
      </w:r>
      <w:r>
        <w:rPr>
          <w:i/>
        </w:rPr>
        <w:t xml:space="preserve"> Act on the Family Relation Registration</w:t>
      </w:r>
      <w:r>
        <w:t xml:space="preserve">, and an amendment bill strengthening guardianship of the Government is submitted to the National Assembly in order to entitle prosecutors or the head of local government to file birth report when the person responsible for filing report on birth neglects the duty. Another amendment bill is also under the review of National Assembly that mandates hospitals issuing birth certificates to report births through the computer network. </w:t>
      </w:r>
    </w:p>
    <w:p w:rsidR="005A0798" w:rsidRDefault="005A0798" w:rsidP="005A0798">
      <w:pPr>
        <w:pStyle w:val="SingleTxtG"/>
      </w:pPr>
      <w:r>
        <w:lastRenderedPageBreak/>
        <w:t>87.</w:t>
      </w:r>
      <w:r>
        <w:tab/>
        <w:t xml:space="preserve">Article 2 of the </w:t>
      </w:r>
      <w:r>
        <w:rPr>
          <w:i/>
        </w:rPr>
        <w:t>Nationality Act</w:t>
      </w:r>
      <w:r>
        <w:t xml:space="preserve"> sets forth the attainment of nationality by birth that a person whose father or mother is a national of the Republic of Korea at the time of the person’s birth shall attain Korean nationality by birth regardless of his birthplace. </w:t>
      </w:r>
    </w:p>
    <w:p w:rsidR="005A0798" w:rsidRDefault="005A0798" w:rsidP="005A0798">
      <w:pPr>
        <w:spacing w:before="240"/>
        <w:ind w:left="1134" w:right="1134"/>
        <w:jc w:val="center"/>
        <w:rPr>
          <w:u w:val="single"/>
        </w:rPr>
      </w:pPr>
      <w:r>
        <w:rPr>
          <w:u w:val="single"/>
        </w:rPr>
        <w:tab/>
      </w:r>
      <w:r>
        <w:rPr>
          <w:u w:val="single"/>
        </w:rPr>
        <w:tab/>
      </w:r>
      <w:r>
        <w:rPr>
          <w:u w:val="single"/>
        </w:rPr>
        <w:tab/>
      </w:r>
    </w:p>
    <w:p w:rsidR="001C6663" w:rsidRPr="00595520" w:rsidRDefault="001C6663" w:rsidP="00595520">
      <w:bookmarkStart w:id="0" w:name="_GoBack"/>
      <w:bookmarkEnd w:id="0"/>
    </w:p>
    <w:sectPr w:rsidR="001C6663" w:rsidRPr="00595520" w:rsidSect="00F80C99">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30C" w:rsidRDefault="009B430C"/>
  </w:endnote>
  <w:endnote w:type="continuationSeparator" w:id="0">
    <w:p w:rsidR="009B430C" w:rsidRDefault="009B430C"/>
  </w:endnote>
  <w:endnote w:type="continuationNotice" w:id="1">
    <w:p w:rsidR="009B430C" w:rsidRDefault="009B4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mo">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휴먼명조">
    <w:charset w:val="81"/>
    <w:family w:val="auto"/>
    <w:pitch w:val="variable"/>
    <w:sig w:usb0="800002A7" w:usb1="1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30C" w:rsidRPr="000B175B" w:rsidRDefault="009B430C" w:rsidP="000B175B">
      <w:pPr>
        <w:tabs>
          <w:tab w:val="right" w:pos="2155"/>
        </w:tabs>
        <w:spacing w:after="80"/>
        <w:ind w:left="680"/>
        <w:rPr>
          <w:u w:val="single"/>
        </w:rPr>
      </w:pPr>
      <w:r>
        <w:rPr>
          <w:u w:val="single"/>
        </w:rPr>
        <w:tab/>
      </w:r>
    </w:p>
  </w:footnote>
  <w:footnote w:type="continuationSeparator" w:id="0">
    <w:p w:rsidR="009B430C" w:rsidRPr="00FC68B7" w:rsidRDefault="009B430C" w:rsidP="00FC68B7">
      <w:pPr>
        <w:tabs>
          <w:tab w:val="left" w:pos="2155"/>
        </w:tabs>
        <w:spacing w:after="80"/>
        <w:ind w:left="680"/>
        <w:rPr>
          <w:u w:val="single"/>
        </w:rPr>
      </w:pPr>
      <w:r>
        <w:rPr>
          <w:u w:val="single"/>
        </w:rPr>
        <w:tab/>
      </w:r>
    </w:p>
  </w:footnote>
  <w:footnote w:type="continuationNotice" w:id="1">
    <w:p w:rsidR="009B430C" w:rsidRDefault="009B430C"/>
  </w:footnote>
  <w:footnote w:id="2">
    <w:p w:rsidR="005A0798" w:rsidRDefault="005A0798" w:rsidP="005A0798">
      <w:pPr>
        <w:pStyle w:val="FootnoteText"/>
      </w:pPr>
      <w:r>
        <w:rPr>
          <w:rStyle w:val="FootnoteReference"/>
        </w:rPr>
        <w:tab/>
      </w:r>
      <w:r>
        <w:rPr>
          <w:rStyle w:val="FootnoteReference"/>
          <w:sz w:val="20"/>
        </w:rPr>
        <w:t>*</w:t>
      </w:r>
      <w:r>
        <w:rPr>
          <w:rStyle w:val="FootnoteReference"/>
          <w:sz w:val="20"/>
        </w:rPr>
        <w:tab/>
      </w:r>
      <w:r>
        <w:rPr>
          <w:szCs w:val="18"/>
        </w:rPr>
        <w:t>The present document is being issued without formal editing.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30C"/>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0798"/>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716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2289"/>
    <w:rsid w:val="0098592B"/>
    <w:rsid w:val="00985FC4"/>
    <w:rsid w:val="00990766"/>
    <w:rsid w:val="00991261"/>
    <w:rsid w:val="009964C4"/>
    <w:rsid w:val="009A7B81"/>
    <w:rsid w:val="009B430C"/>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0798"/>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basedOn w:val="DefaultParagraphFont"/>
    <w:uiPriority w:val="99"/>
    <w:rsid w:val="007B6BA5"/>
    <w:rPr>
      <w:rFonts w:ascii="Times New Roman" w:hAnsi="Times New Roman"/>
      <w:sz w:val="18"/>
      <w:vertAlign w:val="superscript"/>
    </w:rPr>
  </w:style>
  <w:style w:type="paragraph" w:styleId="FootnoteText">
    <w:name w:val="footnote text"/>
    <w:aliases w:val="5_G,Char Char Char,single space,Fußnote,Footnote,WB-Fußnotentext,WB-Fußnotentext Char Char,Fußnotentext Char,FOOTNOTES,fn,Geneva 9,Font: Geneva 9,Boston 10,f,Footnote Text Char Char Char,Carattere,Footnote Text Char Cha"/>
    <w:basedOn w:val="Normal"/>
    <w:link w:val="FootnoteTextChar"/>
    <w:uiPriority w:val="99"/>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noteTextChar">
    <w:name w:val="Footnote Text Char"/>
    <w:aliases w:val="5_G Char,Char Char Char Char,single space Char,Fußnote Char,Footnote Char,WB-Fußnotentext Char,WB-Fußnotentext Char Char Char,Fußnotentext Char Char,FOOTNOTES Char,fn Char,Geneva 9 Char,Font: Geneva 9 Char,Boston 10 Char,f Char"/>
    <w:basedOn w:val="DefaultParagraphFont"/>
    <w:link w:val="FootnoteText"/>
    <w:uiPriority w:val="99"/>
    <w:locked/>
    <w:rsid w:val="005A0798"/>
    <w:rPr>
      <w:sz w:val="18"/>
      <w:lang w:eastAsia="en-US"/>
    </w:rPr>
  </w:style>
  <w:style w:type="character" w:customStyle="1" w:styleId="SingleTxtGChar">
    <w:name w:val="_ Single Txt_G Char"/>
    <w:link w:val="SingleTxtG"/>
    <w:locked/>
    <w:rsid w:val="005A0798"/>
    <w:rPr>
      <w:lang w:eastAsia="en-US"/>
    </w:rPr>
  </w:style>
  <w:style w:type="paragraph" w:customStyle="1" w:styleId="1">
    <w:name w:val="표준1"/>
    <w:rsid w:val="005A0798"/>
    <w:pPr>
      <w:widowControl w:val="0"/>
      <w:spacing w:line="276" w:lineRule="auto"/>
      <w:jc w:val="both"/>
    </w:pPr>
    <w:rPr>
      <w:rFonts w:ascii="Arial" w:eastAsia="Malgun Gothic" w:hAnsi="Arial" w:cs="Arial"/>
      <w:color w:val="000000"/>
      <w:sz w:val="22"/>
      <w:szCs w:val="22"/>
      <w:lang w:val="en-US"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0798"/>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basedOn w:val="DefaultParagraphFont"/>
    <w:uiPriority w:val="99"/>
    <w:rsid w:val="007B6BA5"/>
    <w:rPr>
      <w:rFonts w:ascii="Times New Roman" w:hAnsi="Times New Roman"/>
      <w:sz w:val="18"/>
      <w:vertAlign w:val="superscript"/>
    </w:rPr>
  </w:style>
  <w:style w:type="paragraph" w:styleId="FootnoteText">
    <w:name w:val="footnote text"/>
    <w:aliases w:val="5_G,Char Char Char,single space,Fußnote,Footnote,WB-Fußnotentext,WB-Fußnotentext Char Char,Fußnotentext Char,FOOTNOTES,fn,Geneva 9,Font: Geneva 9,Boston 10,f,Footnote Text Char Char Char,Carattere,Footnote Text Char Cha"/>
    <w:basedOn w:val="Normal"/>
    <w:link w:val="FootnoteTextChar"/>
    <w:uiPriority w:val="99"/>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noteTextChar">
    <w:name w:val="Footnote Text Char"/>
    <w:aliases w:val="5_G Char,Char Char Char Char,single space Char,Fußnote Char,Footnote Char,WB-Fußnotentext Char,WB-Fußnotentext Char Char Char,Fußnotentext Char Char,FOOTNOTES Char,fn Char,Geneva 9 Char,Font: Geneva 9 Char,Boston 10 Char,f Char"/>
    <w:basedOn w:val="DefaultParagraphFont"/>
    <w:link w:val="FootnoteText"/>
    <w:uiPriority w:val="99"/>
    <w:locked/>
    <w:rsid w:val="005A0798"/>
    <w:rPr>
      <w:sz w:val="18"/>
      <w:lang w:eastAsia="en-US"/>
    </w:rPr>
  </w:style>
  <w:style w:type="character" w:customStyle="1" w:styleId="SingleTxtGChar">
    <w:name w:val="_ Single Txt_G Char"/>
    <w:link w:val="SingleTxtG"/>
    <w:locked/>
    <w:rsid w:val="005A0798"/>
    <w:rPr>
      <w:lang w:eastAsia="en-US"/>
    </w:rPr>
  </w:style>
  <w:style w:type="paragraph" w:customStyle="1" w:styleId="1">
    <w:name w:val="표준1"/>
    <w:rsid w:val="005A0798"/>
    <w:pPr>
      <w:widowControl w:val="0"/>
      <w:spacing w:line="276" w:lineRule="auto"/>
      <w:jc w:val="both"/>
    </w:pPr>
    <w:rPr>
      <w:rFonts w:ascii="Arial" w:eastAsia="Malgun Gothic" w:hAnsi="Arial" w:cs="Arial"/>
      <w:color w:val="000000"/>
      <w:sz w:val="22"/>
      <w:szCs w:val="2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91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4DC6E63E0E4C40BB58A92BBDBC479C" ma:contentTypeVersion="0" ma:contentTypeDescription="Create a new document." ma:contentTypeScope="" ma:versionID="b0a7ec33df2057392694119ebc3b6e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6C2083-4182-40FA-A928-DDECDDE60B7A}"/>
</file>

<file path=customXml/itemProps2.xml><?xml version="1.0" encoding="utf-8"?>
<ds:datastoreItem xmlns:ds="http://schemas.openxmlformats.org/officeDocument/2006/customXml" ds:itemID="{5904A11D-D38F-4D5D-8A85-6859158E0488}"/>
</file>

<file path=customXml/itemProps3.xml><?xml version="1.0" encoding="utf-8"?>
<ds:datastoreItem xmlns:ds="http://schemas.openxmlformats.org/officeDocument/2006/customXml" ds:itemID="{E72CD6D3-150C-410E-A93A-20D7385EB356}"/>
</file>

<file path=docProps/app.xml><?xml version="1.0" encoding="utf-8"?>
<Properties xmlns="http://schemas.openxmlformats.org/officeDocument/2006/extended-properties" xmlns:vt="http://schemas.openxmlformats.org/officeDocument/2006/docPropsVTypes">
  <Template>Normal</Template>
  <TotalTime>0</TotalTime>
  <Pages>22</Pages>
  <Words>10580</Words>
  <Characters>60311</Characters>
  <Application>Microsoft Office Word</Application>
  <DocSecurity>0</DocSecurity>
  <Lines>502</Lines>
  <Paragraphs>141</Paragraphs>
  <ScaleCrop>false</ScaleCrop>
  <Company/>
  <LinksUpToDate>false</LinksUpToDate>
  <CharactersWithSpaces>70750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Thodiyil Sindu</dc:creator>
  <cp:keywords/>
  <dc:description/>
  <cp:lastModifiedBy>Thodiyil Sindu</cp:lastModifiedBy>
  <cp:revision>2</cp:revision>
  <cp:lastPrinted>2009-02-18T08:36:00Z</cp:lastPrinted>
  <dcterms:created xsi:type="dcterms:W3CDTF">2015-08-18T13:27:00Z</dcterms:created>
  <dcterms:modified xsi:type="dcterms:W3CDTF">2015-08-18T13:27:00Z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0x010100D94DC6E63E0E4C40BB58A92BBDBC479C</vt:lpwstr>
  </property>
</Properties>
</file>