
<file path=[Content_Types].xml><?xml version="1.0" encoding="utf-8"?>
<Types xmlns="http://schemas.openxmlformats.org/package/2006/content-types">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Default Extension="rels" ContentType="application/vnd.openxmlformats-package.relationships+xml"/>
  <Default Extension="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8"/>
        <w:widowControl w:val="off"/>
        <w:shd w:val="clear" w:color="000000" w:fill="ffffff"/>
        <w:wordWrap w:val="1"/>
        <w:spacing w:line="360" w:lineRule="auto"/>
        <w:jc w:val="center"/>
      </w:pPr>
      <w:bookmarkStart w:id="1" w:name="_top"/>
      <w:bookmarkEnd w:id="1"/>
      <w:r>
        <w:rPr>
          <w:rFonts w:ascii="Times New Roman"/>
          <w:sz w:val="36"/>
        </w:rPr>
        <w:t>Information on the Government's Follow-up report to</w:t>
      </w:r>
    </w:p>
    <w:p>
      <w:pPr>
        <w:pStyle w:val="8"/>
        <w:widowControl w:val="off"/>
        <w:shd w:val="clear" w:color="000000" w:fill="ffffff"/>
        <w:wordWrap w:val="1"/>
        <w:spacing w:line="360" w:lineRule="auto"/>
        <w:jc w:val="center"/>
      </w:pPr>
      <w:r>
        <w:rPr>
          <w:rFonts w:ascii="Times New Roman"/>
          <w:sz w:val="36"/>
        </w:rPr>
        <w:t>the Concluding Observations of the Committee on Economic, Social and Cultural Right on the Fourth Periodic Report of</w:t>
      </w:r>
    </w:p>
    <w:p>
      <w:pPr>
        <w:pStyle w:val="8"/>
        <w:widowControl w:val="off"/>
        <w:shd w:val="clear" w:color="000000" w:fill="ffffff"/>
        <w:wordWrap w:val="1"/>
        <w:spacing w:line="360" w:lineRule="auto"/>
        <w:jc w:val="center"/>
      </w:pPr>
      <w:r>
        <w:rPr>
          <w:rFonts w:ascii="Times New Roman"/>
          <w:sz w:val="36"/>
        </w:rPr>
        <w:t>the Republic of Korea</w:t>
      </w:r>
    </w:p>
    <w:p>
      <w:pPr>
        <w:pStyle w:val="8"/>
        <w:widowControl w:val="off"/>
        <w:wordWrap w:val="1"/>
        <w:spacing w:line="240" w:lineRule="auto"/>
        <w:jc w:val="left"/>
      </w:pPr>
    </w:p>
    <w:p>
      <w:pPr>
        <w:pStyle w:val="0"/>
        <w:widowControl w:val="off"/>
        <w:wordWrap w:val="1"/>
        <w:spacing w:after="0" w:line="432"/>
        <w:ind w:left="130" w:hanging="130"/>
        <w:jc w:val="center"/>
      </w:pPr>
      <w:r>
        <w:rPr>
          <w:rFonts w:ascii="Times New Roman"/>
          <w:b/>
          <w:sz w:val="30"/>
        </w:rPr>
        <w:t>‐</w:t>
      </w:r>
      <w:r>
        <w:rPr>
          <w:rFonts w:ascii="나눔명조"/>
          <w:b/>
          <w:sz w:val="30"/>
        </w:rPr>
        <w:t xml:space="preserve"> </w:t>
      </w:r>
      <w:r>
        <w:rPr>
          <w:rFonts w:ascii="HCI Poppy"/>
          <w:b/>
          <w:sz w:val="30"/>
        </w:rPr>
        <w:t xml:space="preserve">National Human Rights Commission of Korea </w:t>
      </w:r>
      <w:r>
        <w:rPr>
          <w:rFonts w:ascii="Times New Roman"/>
          <w:b/>
          <w:sz w:val="30"/>
        </w:rPr>
        <w:t>‐</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1. In the Concluding Observations on the Fourth Periodic Report of the Republic of Korea (E/C.12/KOR/CO/4, 9 October 2017), the UN Committee on Economic, Social and Cultural Right requested the ROK government to provide, within 18 months of the adoption of the concluding observations, information on the implementation of the recommendations in paragraphs 18 (a) (Business and human rights), 23 (Non-discrimination legislation) and 41 (Trade union rights). The Committee's procedure for follow-up to concluding observations allows National Human Rights Institutions to submit information related to the State party's follow-up report within one month after the report is made public.</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2. The National Human Rights Commission of Korea (NHRCK), an independent government body with a mandate to protect human rights of its citizens, respectfully submits this information in order for the Committee to confirm the State party's implementation of the Committee's recommendations in paragraphs 18 (a), 23 and 41.   </w:t>
      </w:r>
    </w:p>
    <w:p>
      <w:pPr>
        <w:pStyle w:val="8"/>
        <w:widowControl w:val="off"/>
        <w:wordWrap w:val="1"/>
        <w:spacing w:line="360" w:lineRule="auto"/>
        <w:jc w:val="left"/>
      </w:pPr>
    </w:p>
    <w:p>
      <w:pPr>
        <w:pStyle w:val="8"/>
        <w:widowControl w:val="off"/>
        <w:wordWrap w:val="1"/>
        <w:spacing w:line="360" w:lineRule="auto"/>
        <w:jc w:val="left"/>
      </w:pPr>
      <w:r>
        <w:rPr>
          <w:rFonts w:ascii="Times New Roman"/>
          <w:b/>
          <w:spacing w:val="-4"/>
          <w:sz w:val="24"/>
          <w:u w:val="single"/>
          <w:shd w:val="clear" w:color="000000" w:fill="ffffff"/>
        </w:rPr>
        <w:t>Implementation of the recommendations in paragraph 18(a) (Business and human rights)</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3. It is a positive development that the government has introduced an independent chapter on business and human rights (A society striving to promote business activities valuing human rights), as one of eight policy goals, in the Third National Action Plan for the Promotion and Protection of Human Rights from 2018 through 2022 (NAP). However, the government has not yet established a stand-alone policy framework on business and human rights in spite of calls from the international society and the NHRCK's recommendations; and has only partially reflected the NHRCK's recommendations in its policy goals.  </w:t>
      </w:r>
    </w:p>
    <w:p>
      <w:pPr>
        <w:pStyle w:val="8"/>
        <w:widowControl w:val="off"/>
        <w:wordWrap w:val="1"/>
        <w:spacing w:line="432" w:lineRule="auto"/>
        <w:jc w:val="left"/>
      </w:pPr>
    </w:p>
    <w:p>
      <w:pPr>
        <w:pStyle w:val="8"/>
        <w:widowControl w:val="off"/>
        <w:wordWrap w:val="1"/>
        <w:spacing w:line="360" w:lineRule="auto"/>
        <w:jc w:val="left"/>
      </w:pPr>
      <w:r>
        <w:rPr>
          <w:rFonts w:ascii="Times New Roman"/>
          <w:sz w:val="24"/>
          <w:shd w:val="clear" w:color="000000" w:fill="ffffff"/>
        </w:rPr>
        <w:t xml:space="preserve">4. In August 2018, the NHRCK formulated a practical manual for the institutionalization of human rights management, which includes conducting assessments of human rights impacts and establishing a committee on human rights management, with a view to elucidate the State's duty to monitor fulfilment of human rights due diligence. Currently, it is working to institutionalize human rights management, beginning with the public sector, by recommending all government organizations to incorporate the practice in their operations. The government is in the process of developing guidelines for human rights management in an effort to promote the practice in private businesses. The NHRCK is planning to continuously pay attention to and monitor the implementation of the guidelines to enhance corporate responsibility to respect human rights.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5. A non-regular contract worker was killed in an accident at the Taean Power Plant in December 2018. He was inspecting a running conveyor belt alone. On 15 January 2019, in the aftermath of the tragedy, the Occupational Safety and Health Act became subject to a major revision, particularly in regard to employer responsibilities. The revision included the expansion of the contractor's responsibilities for the prevention of industrial hazards, restriction of the practice of subcontracting out high-risk jobs, and introduction of confidential deliberation procedures for material safety and health data. This revised legislation is set to take effect on 16 January 2020. However, similar accidents have ensued since the announcement of the legislative action, highlighting the need to ensure practical application of the legislation and to implement effective measures to curb the business practice of outsourcing high-risk jobs. The practice of outsourcing high-risk jobs increases the vulnerability of contract workers since contract workers become concentrated in hazardous and dangerous work areas.</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6. There have been reports of Korean factory owners in overseas countries who fled the country without paying due wages to local employees. The government should investigate the status of such incidents and formulate comprehensive measures to address human rights violations by Korean companies overseas inflicted on local employees and residents.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7. Human rights management, which has been detailed by the NHRCK on the basis of the United Nations Guiding Principles on Business and Human Rights (2011), is focused on protecting the rights of employees and citizens of both South Korea and the country in which the company is operating, as well as those involved in the company's supply chain. It is desirable for the government to investigate the status of human rights violations perpetrated by Korean companies abroad, let alone those at home, and to take proactive remedial efforts. </w:t>
      </w:r>
    </w:p>
    <w:p>
      <w:pPr>
        <w:pStyle w:val="8"/>
        <w:widowControl w:val="off"/>
        <w:wordWrap w:val="1"/>
        <w:spacing w:line="360" w:lineRule="auto"/>
        <w:jc w:val="left"/>
      </w:pPr>
    </w:p>
    <w:p>
      <w:pPr>
        <w:pStyle w:val="8"/>
        <w:widowControl w:val="off"/>
        <w:wordWrap w:val="1"/>
        <w:spacing w:line="360" w:lineRule="auto"/>
        <w:jc w:val="left"/>
      </w:pPr>
      <w:r>
        <w:rPr>
          <w:rFonts w:ascii="Times New Roman"/>
          <w:b/>
          <w:spacing w:val="-4"/>
          <w:sz w:val="24"/>
          <w:u w:val="single"/>
          <w:shd w:val="clear" w:color="000000" w:fill="ffffff"/>
        </w:rPr>
        <w:t>Implementation of the recommendations in paragraph 23 (Non-discrimination legislation)</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 xml:space="preserve">8. A number of UN committees, including the Human Rights Committee (2015), the Committee on the Elimination of All Forms of Discrimination Against Women (2018), the </w:t>
      </w:r>
      <w:r>
        <w:rPr>
          <w:rFonts w:ascii="Times New Roman"/>
          <w:sz w:val="24"/>
        </w:rPr>
        <w:t xml:space="preserve">Third Universal Periodic Review (2018) and the Committee on the Elimination of Racial Discrimination (2019), have repeatedly recommended the government to adopt comprehensive anti-discrimination legislation. In particular, the Committee's Concluding Observations on the Fourth Periodic Report of the Republic of Korea (2017) reiterates the urgency of adopting comprehensive anti-discrimination legislation and recommends that the government raise awareness among the population and legislators about the harmful effect of discrimination.  </w:t>
      </w:r>
    </w:p>
    <w:p>
      <w:pPr>
        <w:pStyle w:val="8"/>
        <w:widowControl w:val="off"/>
        <w:wordWrap w:val="1"/>
        <w:spacing w:line="360" w:lineRule="auto"/>
        <w:jc w:val="left"/>
      </w:pPr>
    </w:p>
    <w:p>
      <w:pPr>
        <w:pStyle w:val="8"/>
        <w:widowControl w:val="off"/>
        <w:wordWrap w:val="1"/>
        <w:spacing w:line="360" w:lineRule="auto"/>
        <w:jc w:val="left"/>
      </w:pPr>
      <w:r>
        <w:rPr>
          <w:rFonts w:ascii="Times New Roman"/>
          <w:sz w:val="24"/>
          <w:shd w:val="clear" w:color="000000" w:fill="ffffff"/>
        </w:rPr>
        <w:t>9. While the government proceeded with the introduction of anti-discrimination legislation in accordance with the NHRCK's recommendation made on 24 July 2006, the government proposal was abandoned upon the dissolution of the 17</w:t>
      </w:r>
      <w:r>
        <w:rPr>
          <w:rFonts w:ascii="Times New Roman"/>
          <w:sz w:val="24"/>
          <w:shd w:val="clear" w:color="000000" w:fill="ffffff"/>
          <w:vertAlign w:val="superscript"/>
        </w:rPr>
        <w:t>th</w:t>
      </w:r>
      <w:r>
        <w:rPr>
          <w:rFonts w:ascii="Times New Roman"/>
          <w:sz w:val="24"/>
          <w:shd w:val="clear" w:color="000000" w:fill="ffffff"/>
        </w:rPr>
        <w:t xml:space="preserve"> National Assembly in 2008. In the recommendation on the third NAP (2017-2021) made in July 2016, the human rights body urged the government once again to adopt comprehensive anti-discrimination legislation. The government states that it included "improvement of anti-discrimination legislations and regulations to fulfil the right to equality" as a policy agenda in Chapter 2 (An Equal Society for All) of Part 2 of the Third NAP announced in 2018. However, it stops short of revealing concrete and visible progress in establishing comprehensive anti-discrimination legislation.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10. In the follow-up report, the government states that as part of its efforts to improve anti-discrimination legislations, it has installed the Discrimination Remedy Bureau and increased the NHRCK's workforce in the process of restoring the once-downsized human rights body. While this may be a positive step in view of the legislative guidelines for the organization of the NHRCK, it should not be considered to constitute the government’s fulfilment of the Committee’s recommendation to adopt comprehensive anti-discrimination legislation that can be used as a benchmark for raising social awareness regarding hate and discrimination.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11. Recently, the Korean society has witnessed increasing incidence of hate speech and hate-based organized actions against minority groups including women, immigrants, refugees, and sexual minorities. It is also alarming that even the victims of disasters and those who suffered on behalf of the democracy movement, who</w:t>
      </w:r>
      <w:bookmarkStart w:id="2" w:name="_GoBack"/>
      <w:bookmarkEnd w:id="2"/>
      <w:r>
        <w:rPr>
          <w:rFonts w:ascii="Times New Roman"/>
          <w:sz w:val="24"/>
          <w:shd w:val="clear" w:color="000000" w:fill="ffffff"/>
        </w:rPr>
        <w:t xml:space="preserve"> require empathic support and responsiveness to their grievances from society, are becoming targets of hate speech and ridicule. Despite such evidence of worsening situations, the government has failed to provide a concrete plan pertaining to comprehensive anti-discrimination legislation.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12. In February 2019, the NHRCK launched a special committee on hate and discrimination in partnership with civic organizations, religious groups and other experts as part of its efforts to prevent expansion of hate speech and to raise social awareness. The human rights organization is also working to promote public discussions, to conduct status surveys and research and to draft preventive guidelines, in regard to the issue of hate and discrimination. </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 xml:space="preserve">13. However, the problem of worsening hate and discrimination in Korean society cannot be resolved by the NHRCK alone without legislative and institutional support. The government should devise measures to implement proactive interventions on this issue, thereby protecting socially marginalized groups, and waste no time adopting comprehensive anti-discrimination legislation. In addition, it should ensure sufficient workforce and budget allocated for the NHRCK to effectively carry out anti-hate and anti-discrimination activities. </w:t>
      </w:r>
    </w:p>
    <w:p>
      <w:pPr>
        <w:pStyle w:val="8"/>
        <w:widowControl w:val="off"/>
        <w:wordWrap w:val="1"/>
        <w:spacing w:line="360" w:lineRule="auto"/>
        <w:jc w:val="left"/>
      </w:pPr>
    </w:p>
    <w:p>
      <w:pPr>
        <w:pStyle w:val="8"/>
        <w:widowControl w:val="off"/>
        <w:wordWrap w:val="1"/>
        <w:spacing w:line="360" w:lineRule="auto"/>
        <w:jc w:val="left"/>
      </w:pPr>
      <w:r>
        <w:rPr>
          <w:rFonts w:ascii="Times New Roman"/>
          <w:b/>
          <w:spacing w:val="-2"/>
          <w:sz w:val="24"/>
          <w:u w:val="single"/>
          <w:shd w:val="clear" w:color="000000" w:fill="ffffff"/>
        </w:rPr>
        <w:t>Implementation of the recommendations in paragraph 41 (Trade union rights)</w:t>
      </w:r>
    </w:p>
    <w:p>
      <w:pPr>
        <w:pStyle w:val="8"/>
        <w:widowControl w:val="off"/>
        <w:wordWrap w:val="1"/>
        <w:spacing w:line="360" w:lineRule="auto"/>
        <w:jc w:val="left"/>
      </w:pPr>
    </w:p>
    <w:p>
      <w:pPr>
        <w:pStyle w:val="8"/>
        <w:widowControl w:val="off"/>
        <w:wordWrap w:val="1"/>
        <w:spacing w:line="432" w:lineRule="auto"/>
        <w:jc w:val="left"/>
      </w:pPr>
      <w:r>
        <w:rPr>
          <w:rFonts w:ascii="Times New Roman"/>
          <w:sz w:val="24"/>
          <w:shd w:val="clear" w:color="000000" w:fill="ffffff"/>
        </w:rPr>
        <w:t>14. While the government states that it has taken a number of measures with a goal to prevent negatives of allowing the plurality of trade unions, including adopting the procedures for unification of bargaining channels and intensive monitoring of unfair labor practices, it is argued that current laws compromise the right to collective bargaining of minor trade unions by granting the authority to conduct bargaining only to the representative bargaining union. The government should provide for measures to prevent the representative bargaining union scheme from undermining the rights of minor trade unions to collective bargaining and agreement.</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15. International human rights standards guarantee the right of all persons, regardless of their employment status, to join trade unions</w:t>
      </w:r>
      <w:r>
        <w:rPr>
          <w:rFonts w:ascii="Times New Roman"/>
          <w:sz w:val="24"/>
        </w:rPr>
        <w:t xml:space="preserve">. Contradictory to this, the government (Ministry of Employment and Labor) restricts union membership to employed individuals. The Korean Teachers and Educational Workers' Union and the Korean Government Employees' Union are two examples that have been outlawed, in accordance with article 9 (2) of the Enforcement Decree of the Trade Unions and Labor Relations Adjustment Act, on the grounds that they include dismissed workers in their membership. On 18 December 2017, the NHRCK submitted an opinion to the Supreme Court while it was deliberating a case regarding the invalidation of the Ministry of Employment and Labor's decision to outlaw the union (Supreme Court 2016Du32992). In the statement of opinion, the NHRCK recommended that the Supreme Court make reference to international human rights treaties on freedom of association and the concerns and recommendations expressed by the international community about the decision, and consider the characteristics of trade union. </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 xml:space="preserve">16. In South Korea, there is a growing trend of businesses using non-standard forms of employment, such as in-house contracting and subcontracting, as a means to reduce labor cost, increase employment flexibility, and bypass employer accountabilities in labor laws. This gives rise to a number of labor rights issues, including a decrease in the number of decent regular jobs, permanent job insecurity, outsourcing of high-risk jobs, and poor labor conditions such as low wages. If contract workers attempt to exercise their labor rights in order to improve their labor conditions, the company can simply terminate the contract, rendering the workers unemployed and consequently negating their right to join the union. </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17. In December 2018, the NHRCK recommended that the government (Ministry of Employment and Labor) ratify the International Labour Organization Conventions Numbers 87 and 98 concerning freedom of association in order to address urgent labor issues, including the restriction of membership in the government employee union, the outlawed status of the Korean Teachers and Educational Workers' Union, and the application of the crime of ‘obstruction of business’ to unions' activities.</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18. The government states that as a preparatory step for the ratification of the ILO Convention Numbers 87 and 98, it established the Committee for the Improvement of Laws, Measures, and Practices of Labor Relations Development under the Economic, Social and Labor Council in July 2018 to facilitate dialogues between trade unions, employers and the government. The government plans to push forward the revision of relevant laws based on the results of three-party discussions and then initiate ratification procedures, apace with the progress of legislative revisions at the National Assembly.</w:t>
      </w:r>
    </w:p>
    <w:p>
      <w:pPr>
        <w:pStyle w:val="0"/>
        <w:widowControl w:val="off"/>
        <w:wordWrap w:val="1"/>
        <w:spacing w:after="0" w:line="432"/>
        <w:jc w:val="left"/>
      </w:pPr>
    </w:p>
    <w:p>
      <w:pPr>
        <w:pStyle w:val="0"/>
        <w:widowControl w:val="off"/>
        <w:wordWrap w:val="1"/>
        <w:spacing w:after="0" w:line="432"/>
        <w:jc w:val="left"/>
      </w:pPr>
      <w:r>
        <w:rPr>
          <w:rFonts w:ascii="Times New Roman"/>
          <w:sz w:val="24"/>
          <w:shd w:val="clear" w:color="000000" w:fill="ffffff"/>
        </w:rPr>
        <w:t xml:space="preserve">19. As discussed above, there are workers and government employees, including dismissed ones, whose right to organize is only partially exercised. The government should prioritize the ratification of the ILO Convention Numbers 87 and 98, as recommended by the NHRCK on 10 December 2018, in order to ensure that no workers are excluded from the full enjoyment of basic labor rights, and then establish a roadmap for legislative revision as required to guarantee basic labor rights and address pressing labor rights issues. </w:t>
      </w:r>
    </w:p>
    <w:p>
      <w:pPr>
        <w:pStyle w:val="8"/>
        <w:widowControl w:val="off"/>
        <w:wordWrap w:val="1"/>
        <w:spacing w:line="360" w:lineRule="auto"/>
        <w:jc w:val="left"/>
      </w:pPr>
    </w:p>
    <w:sectPr>
      <w:footnotePr>
        <w:numFmt w:val="decimal"/>
        <w:numRestart w:val="continuous"/>
      </w:footnotePr>
      <w:endnotePr>
        <w:pos w:val="docEnd"/>
        <w:numFmt w:val="lowerRoman"/>
        <w:numRestart w:val="continuous"/>
      </w:endnotePr>
      <w:pgSz w:w="11906" w:h="16838"/>
      <w:pgMar w:top="1701" w:right="1440" w:bottom="1440" w:left="1440" w:header="851" w:footer="992" w:gutter="0"/>
      <w:cols w:space="0"/>
    </w:sectPr>
  </w:body>
</w:document>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25"/>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Normal"/>
    <w:uiPriority w:val="0"/>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4" w:lineRule="auto"/>
      <w:ind w:left="0" w:right="0" w:firstLine="0"/>
      <w:jc w:val="both"/>
      <w:textAlignment w:val="baseline"/>
    </w:pPr>
    <w:rPr>
      <w:rFonts w:ascii="맑은 고딕" w:eastAsia="맑은 고딕"/>
      <w:color w:val="000000"/>
      <w:kern w:val="1"/>
      <w:sz w:val="20"/>
    </w:rPr>
  </w:style>
  <w:style w:type="character" w:styleId="1">
    <w:name w:val="Default Paragraph Font"/>
    <w:uiPriority w:val="1"/>
    <w:rPr>
      <w:rFonts w:ascii="맑은 고딕" w:eastAsia="맑은 고딕"/>
      <w:color w:val="000000"/>
      <w:kern w:val="1"/>
      <w:sz w:val="20"/>
    </w:rPr>
  </w:style>
  <w:style w:type="paragraph" w:styleId="2">
    <w:name w:val="No List"/>
    <w:uiPriority w:val="2"/>
    <w:pPr>
      <w:widowControl w:val="off"/>
      <w:pBdr>
        <w:top w:val="none" w:color="000000" w:sz="2" w:space="1"/>
        <w:left w:val="none" w:color="000000" w:sz="2" w:space="4"/>
        <w:bottom w:val="none" w:color="000000" w:sz="2" w:space="1"/>
        <w:right w:val="none" w:color="000000" w:sz="2" w:space="4"/>
      </w:pBdr>
      <w:wordWrap w:val="1"/>
      <w:autoSpaceDE/>
      <w:autoSpaceDN/>
      <w:snapToGrid/>
      <w:spacing w:before="0" w:after="160" w:line="254" w:lineRule="auto"/>
      <w:ind w:left="0" w:right="0" w:firstLine="0"/>
      <w:jc w:val="both"/>
      <w:textAlignment w:val="baseline"/>
    </w:pPr>
    <w:rPr>
      <w:rFonts w:ascii="맑은 고딕" w:eastAsia="맑은 고딕"/>
      <w:color w:val="000000"/>
      <w:kern w:val="1"/>
      <w:sz w:val="20"/>
    </w:rPr>
  </w:style>
  <w:style w:type="character" w:styleId="3">
    <w:name w:val="Strong"/>
    <w:uiPriority w:val="3"/>
    <w:rPr>
      <w:rFonts w:ascii="맑은 고딕" w:eastAsia="맑은 고딕"/>
      <w:b/>
      <w:color w:val="000000"/>
      <w:kern w:val="1"/>
      <w:sz w:val="20"/>
    </w:rPr>
  </w:style>
  <w:style w:type="paragraph" w:styleId="4">
    <w:name w:val="footer"/>
    <w:uiPriority w:val="4"/>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4" w:lineRule="auto"/>
      <w:ind w:left="0" w:right="0" w:firstLine="0"/>
      <w:jc w:val="both"/>
      <w:textAlignment w:val="baseline"/>
    </w:pPr>
    <w:rPr>
      <w:rFonts w:ascii="맑은 고딕" w:eastAsia="맑은 고딕"/>
      <w:color w:val="000000"/>
      <w:kern w:val="1"/>
      <w:sz w:val="20"/>
    </w:rPr>
  </w:style>
  <w:style w:type="paragraph" w:styleId="5">
    <w:name w:val="header"/>
    <w:uiPriority w:val="5"/>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4" w:lineRule="auto"/>
      <w:ind w:left="0" w:right="0" w:firstLine="0"/>
      <w:jc w:val="both"/>
      <w:textAlignment w:val="baseline"/>
    </w:pPr>
    <w:rPr>
      <w:rFonts w:ascii="맑은 고딕" w:eastAsia="맑은 고딕"/>
      <w:color w:val="000000"/>
      <w:kern w:val="1"/>
      <w:sz w:val="20"/>
    </w:rPr>
  </w:style>
  <w:style w:type="character" w:styleId="6">
    <w:name w:val="머리글 Char"/>
    <w:uiPriority w:val="6"/>
    <w:rPr>
      <w:rFonts w:ascii="맑은 고딕" w:eastAsia="맑은 고딕"/>
      <w:color w:val="000000"/>
      <w:kern w:val="1"/>
      <w:sz w:val="20"/>
    </w:rPr>
  </w:style>
  <w:style w:type="character" w:styleId="7">
    <w:name w:val="바닥글 Char"/>
    <w:uiPriority w:val="7"/>
    <w:rPr>
      <w:rFonts w:ascii="맑은 고딕" w:eastAsia="맑은 고딕"/>
      <w:color w:val="000000"/>
      <w:kern w:val="1"/>
      <w:sz w:val="20"/>
    </w:rPr>
  </w:style>
  <w:style w:type="paragraph" w:styleId="8">
    <w:name w:val="바탕글1"/>
    <w:uiPriority w:val="8"/>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굴림" w:eastAsia="굴림"/>
      <w:color w:val="000000"/>
      <w:sz w:val="2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  /><Relationship Id="rId2" Type="http://schemas.openxmlformats.org/officeDocument/2006/relationships/styles" Target="styles.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8.5</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creator>pc</dc:creator>
  <cp:lastModifiedBy>user</cp:lastModifiedBy>
  <dcterms:created xsi:type="dcterms:W3CDTF">2019-05-17T16:44:00.000</dcterms:created>
  <dcterms:modified xsi:type="dcterms:W3CDTF">2019-05-22T08:37:05.908</dcterms:modified>
</cp:coreProperties>
</file>