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body>
    <w:p>
      <w:pPr>
        <w:pStyle w:val="HChG"/>
        <w:ind w:left="0" w:right="0" w:firstLine="0"/>
        <w:jc w:val="center"/>
        <w:spacing w:after="0" w:before="0" w:line="276" w:lineRule="auto"/>
        <w:rPr>
          <w:lang w:eastAsia="ko-KR"/>
          <w:rFonts/>
          <w:sz w:val="44"/>
          <w:szCs w:val="48"/>
          <w:rtl w:val="off"/>
        </w:rPr>
      </w:pPr>
    </w:p>
    <w:p>
      <w:pPr>
        <w:pStyle w:val="HChG"/>
        <w:ind w:left="0" w:right="0" w:firstLine="0"/>
        <w:jc w:val="center"/>
        <w:spacing w:after="0" w:before="0" w:line="276" w:lineRule="auto"/>
        <w:rPr>
          <w:lang w:eastAsia="ko-KR"/>
          <w:sz w:val="44"/>
          <w:szCs w:val="48"/>
        </w:rPr>
      </w:pPr>
      <w:r>
        <w:rPr>
          <w:lang w:eastAsia="ko-KR"/>
          <w:rFonts w:hint="eastAsia"/>
          <w:sz w:val="44"/>
          <w:szCs w:val="48"/>
        </w:rPr>
        <w:t>F</w:t>
      </w:r>
      <w:r>
        <w:rPr>
          <w:lang w:eastAsia="ko-KR"/>
          <w:sz w:val="44"/>
          <w:szCs w:val="48"/>
        </w:rPr>
        <w:t>ollow-up to the Concluding Observations of the Committee on the Elimination of Discrimination against Women (CEDAW)</w:t>
      </w:r>
    </w:p>
    <w:p>
      <w:pPr>
        <w:rPr>
          <w:lang w:val="en-GB"/>
        </w:rPr>
      </w:pPr>
    </w:p>
    <w:p>
      <w:pPr>
        <w:rPr>
          <w:lang w:val="en-GB"/>
        </w:rPr>
      </w:pPr>
    </w:p>
    <w:p>
      <w:pPr>
        <w:rPr>
          <w:lang w:val="en-GB"/>
        </w:rPr>
      </w:pPr>
    </w:p>
    <w:p>
      <w:pPr>
        <w:rPr>
          <w:lang w:val="en-GB"/>
        </w:rPr>
      </w:pPr>
    </w:p>
    <w:p>
      <w:pPr>
        <w:rPr>
          <w:lang w:val="en-GB"/>
        </w:rPr>
      </w:pPr>
    </w:p>
    <w:p>
      <w:pPr>
        <w:pStyle w:val="HChG"/>
        <w:ind w:left="0" w:right="0" w:firstLine="0"/>
        <w:jc w:val="center"/>
        <w:spacing w:after="0" w:before="0" w:line="276" w:lineRule="auto"/>
        <w:rPr>
          <w:lang w:eastAsia="ko-KR"/>
          <w:sz w:val="44"/>
          <w:szCs w:val="48"/>
        </w:rPr>
      </w:pPr>
      <w:r>
        <w:rPr>
          <w:lang w:eastAsia="ko-KR"/>
          <w:sz w:val="44"/>
          <w:szCs w:val="48"/>
        </w:rPr>
        <w:t>Republic of Korea</w:t>
      </w: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rPr>
          <w:lang w:val="en-GB"/>
        </w:rPr>
      </w:pPr>
    </w:p>
    <w:p>
      <w:pPr>
        <w:pStyle w:val="HChG"/>
        <w:ind w:left="0" w:right="0" w:firstLine="0"/>
        <w:jc w:val="center"/>
        <w:spacing w:after="0" w:before="0" w:line="276" w:lineRule="auto"/>
        <w:rPr>
          <w:lang w:eastAsia="ko-KR"/>
          <w:sz w:val="44"/>
          <w:szCs w:val="48"/>
        </w:rPr>
      </w:pPr>
    </w:p>
    <w:p>
      <w:pPr>
        <w:pStyle w:val="HChG"/>
        <w:ind w:left="0" w:right="0" w:firstLine="0"/>
        <w:jc w:val="center"/>
        <w:spacing w:after="0" w:before="0" w:line="276" w:lineRule="auto"/>
        <w:rPr>
          <w:lang w:eastAsia="ko-KR"/>
          <w:sz w:val="44"/>
          <w:szCs w:val="48"/>
        </w:rPr>
      </w:pPr>
      <w:r>
        <w:rPr>
          <w:lang w:eastAsia="ko-KR"/>
          <w:sz w:val="44"/>
          <w:szCs w:val="48"/>
        </w:rPr>
        <w:t>Ma</w:t>
      </w:r>
      <w:r>
        <w:rPr>
          <w:lang w:eastAsia="ko-KR"/>
          <w:sz w:val="44"/>
          <w:szCs w:val="48"/>
        </w:rPr>
        <w:t>y</w:t>
      </w:r>
      <w:r>
        <w:rPr>
          <w:lang w:eastAsia="ko-KR"/>
          <w:sz w:val="44"/>
          <w:szCs w:val="48"/>
        </w:rPr>
        <w:t xml:space="preserve"> 202</w:t>
      </w:r>
      <w:r>
        <w:rPr>
          <w:lang w:eastAsia="ko-KR"/>
          <w:sz w:val="44"/>
          <w:szCs w:val="48"/>
        </w:rPr>
        <w:t>6</w:t>
      </w:r>
    </w:p>
    <w:p>
      <w:pPr>
        <w:autoSpaceDE/>
        <w:autoSpaceDN/>
        <w:widowControl/>
        <w:wordWrap/>
        <w:rPr>
          <w:lang w:val="en-GB"/>
          <w:rFonts w:ascii="Times New Roman" w:hAnsi="Times New Roman" w:cs="Times New Roman"/>
          <w:b/>
          <w:sz w:val="44"/>
          <w:szCs w:val="48"/>
          <w:kern w:val="0"/>
        </w:rPr>
      </w:pPr>
      <w:r>
        <w:rPr>
          <w:sz w:val="44"/>
          <w:szCs w:val="48"/>
        </w:rPr>
        <w:br w:type="page"/>
      </w:r>
    </w:p>
    <w:p>
      <w:pPr>
        <w:snapToGrid w:val="0"/>
        <w:spacing w:after="0" w:line="384" w:lineRule="auto"/>
        <w:textAlignment w:val="baseline"/>
        <w:rPr>
          <w:lang/>
          <w:rFonts w:ascii="Times New Roman" w:eastAsia="Times New Roman" w:hAnsi="Times New Roman" w:cs="굴림"/>
          <w:b/>
          <w:bCs/>
          <w:color w:val="000000"/>
          <w:sz w:val="24"/>
          <w:szCs w:val="24"/>
          <w:kern w:val="0"/>
          <w:rtl w:val="off"/>
        </w:rPr>
      </w:pPr>
      <w:r>
        <w:rPr>
          <w:rFonts w:ascii="Times New Roman" w:eastAsia="Times New Roman" w:hAnsi="Times New Roman" w:cs="굴림"/>
          <w:b/>
          <w:bCs/>
          <w:color w:val="000000"/>
          <w:sz w:val="24"/>
          <w:szCs w:val="24"/>
          <w:kern w:val="0"/>
        </w:rPr>
        <w:t>Ⅰ. Introduction</w:t>
      </w:r>
    </w:p>
    <w:p>
      <w:pPr>
        <w:snapToGrid w:val="0"/>
        <w:spacing w:after="0" w:line="384" w:lineRule="auto"/>
        <w:textAlignment w:val="baseline"/>
        <w:rPr>
          <w:rFonts w:ascii="Times New Roman" w:eastAsia="Times New Roman" w:hAnsi="Times New Roman" w:cs="굴림" w:hint="eastAsia"/>
          <w:b/>
          <w:bCs/>
          <w:color w:val="000000"/>
          <w:w w:val="95"/>
          <w:sz w:val="24"/>
          <w:szCs w:val="24"/>
          <w:kern w:val="0"/>
          <w:spacing w:val="-6"/>
        </w:rPr>
      </w:pPr>
    </w:p>
    <w:p>
      <w:pPr>
        <w:snapToGrid w:val="0"/>
        <w:spacing w:after="0" w:line="384" w:lineRule="auto"/>
        <w:textAlignment w:val="baseline"/>
        <w:rPr>
          <w:rFonts w:ascii="Times New Roman" w:eastAsia="굴림" w:hAnsi="Times New Roman" w:cs="Times New Roman"/>
          <w:color w:val="000000"/>
          <w:sz w:val="24"/>
          <w:szCs w:val="24"/>
          <w:kern w:val="0"/>
        </w:rPr>
      </w:pPr>
      <w:r>
        <w:rPr>
          <w:rFonts w:ascii="Times New Roman" w:eastAsia="한양신명조" w:hAnsi="Times New Roman" w:cs="Times New Roman"/>
          <w:color w:val="000000"/>
          <w:sz w:val="24"/>
          <w:szCs w:val="24"/>
          <w:kern w:val="0"/>
        </w:rPr>
        <w:t>The Committee on the Elimination of All Forms of Discrimination against Women (CEDAW) considered the ninth periodic report of the Republic of Korea (CEDAW/C/KOR/9) and requested that written information on measures taken to implement paragraphs 13 (a), 19 (b), 27 (a), and 31 (a) of its concluding observations be submitted within two years. Accordingly, the following response is hereby submitted.</w:t>
      </w:r>
    </w:p>
    <w:p>
      <w:pPr>
        <w:snapToGrid w:val="0"/>
        <w:spacing w:after="0" w:line="384" w:lineRule="auto"/>
        <w:textAlignment w:val="baseline"/>
        <w:rPr>
          <w:rFonts w:ascii="한양신명조" w:eastAsia="굴림" w:hAnsi="굴림" w:cs="굴림"/>
          <w:b/>
          <w:bCs/>
          <w:color w:val="000000"/>
          <w:sz w:val="24"/>
          <w:szCs w:val="24"/>
          <w:kern w:val="0"/>
        </w:rPr>
      </w:pPr>
    </w:p>
    <w:p>
      <w:pPr>
        <w:snapToGrid w:val="0"/>
        <w:spacing w:after="0" w:line="384" w:lineRule="auto"/>
        <w:textAlignment w:val="baseline"/>
        <w:rPr>
          <w:rFonts w:ascii="Times New Roman" w:eastAsia="굴림" w:hAnsi="Times New Roman" w:cs="Times New Roman"/>
          <w:b/>
          <w:bCs/>
          <w:color w:val="000000"/>
          <w:w w:val="95"/>
          <w:sz w:val="24"/>
          <w:szCs w:val="24"/>
          <w:kern w:val="0"/>
          <w:spacing w:val="-6"/>
        </w:rPr>
      </w:pPr>
      <w:r>
        <w:rPr>
          <w:rFonts w:ascii="Times New Roman" w:eastAsia="한양신명조" w:hAnsi="Times New Roman" w:cs="Times New Roman"/>
          <w:b/>
          <w:bCs/>
          <w:color w:val="000000"/>
          <w:sz w:val="24"/>
          <w:szCs w:val="24"/>
          <w:kern w:val="0"/>
        </w:rPr>
        <w:t>Ⅱ. Follow-up information</w:t>
      </w:r>
    </w:p>
    <w:p>
      <w:pPr>
        <w:snapToGrid w:val="0"/>
        <w:spacing w:after="0" w:line="384" w:lineRule="auto"/>
        <w:textAlignment w:val="baseline"/>
        <w:rPr>
          <w:rFonts w:ascii="한양신명조" w:eastAsia="굴림" w:hAnsi="굴림" w:cs="굴림"/>
          <w:b/>
          <w:bCs/>
          <w:color w:val="000000"/>
          <w:sz w:val="24"/>
          <w:szCs w:val="24"/>
          <w:kern w:val="0"/>
        </w:rPr>
      </w:pPr>
    </w:p>
    <w:p>
      <w:pPr>
        <w:snapToGrid w:val="0"/>
        <w:spacing w:after="0" w:line="384" w:lineRule="auto"/>
        <w:textAlignment w:val="baseline"/>
        <w:rPr>
          <w:rFonts w:ascii="Times New Roman" w:eastAsia="굴림" w:hAnsi="Times New Roman" w:cs="Times New Roman"/>
          <w:b/>
          <w:bCs/>
          <w:color w:val="000000"/>
          <w:w w:val="95"/>
          <w:sz w:val="24"/>
          <w:szCs w:val="24"/>
          <w:kern w:val="0"/>
          <w:spacing w:val="-6"/>
        </w:rPr>
      </w:pPr>
      <w:r>
        <w:rPr>
          <w:rFonts w:ascii="Times New Roman" w:eastAsia="한양신명조" w:hAnsi="Times New Roman" w:cs="Times New Roman"/>
          <w:b/>
          <w:bCs/>
          <w:color w:val="000000"/>
          <w:sz w:val="24"/>
          <w:szCs w:val="24"/>
          <w:kern w:val="0"/>
        </w:rPr>
        <w:t>A. Follow-up information relating to paragraph 13 (a) of the concluding observations</w:t>
      </w:r>
    </w:p>
    <w:p>
      <w:pPr>
        <w:snapToGrid w:val="0"/>
        <w:spacing w:after="0" w:line="336" w:lineRule="auto"/>
        <w:textAlignment w:val="baseline"/>
        <w:rPr>
          <w:rFonts w:ascii="Times New Roman" w:eastAsia="한양신명조" w:hAnsi="Times New Roman" w:cs="Times New Roman"/>
          <w:color w:val="000000"/>
          <w:sz w:val="24"/>
          <w:szCs w:val="24"/>
          <w:kern w:val="0"/>
        </w:rPr>
      </w:pPr>
      <w:r>
        <w:rPr>
          <w:rFonts w:ascii="Times New Roman" w:eastAsia="한양신명조" w:hAnsi="Times New Roman" w:cs="Times New Roman"/>
          <w:color w:val="000000"/>
          <w:sz w:val="24"/>
          <w:szCs w:val="24"/>
          <w:kern w:val="0"/>
        </w:rPr>
        <w:t>The Government will strive to “review legislation to prevent hatred and discrimination and promote public consultation,” which has been designated as a national policy task of the Lee Jae-</w:t>
      </w:r>
      <w:r>
        <w:rPr>
          <w:rFonts w:ascii="Times New Roman" w:eastAsia="한양신명조" w:hAnsi="Times New Roman" w:cs="Times New Roman"/>
          <w:color w:val="000000"/>
          <w:sz w:val="24"/>
          <w:szCs w:val="24"/>
          <w:kern w:val="0"/>
        </w:rPr>
        <w:t>myung</w:t>
      </w:r>
      <w:r>
        <w:rPr>
          <w:rFonts w:ascii="Times New Roman" w:eastAsia="한양신명조" w:hAnsi="Times New Roman" w:cs="Times New Roman"/>
          <w:color w:val="000000"/>
          <w:sz w:val="24"/>
          <w:szCs w:val="24"/>
          <w:kern w:val="0"/>
        </w:rPr>
        <w:t xml:space="preserve"> Administration. As of March 2026, two anti-discrimination bills have been introduced in the National Assembly. Both bills would apply to all nationals of the Republic of Korea as well as foreign nationals residing in the country. They explicitly define factors such as gender as prohibited grounds of discrimination in public and private sectors, and also cover indirect and intersectional discrimination. If the bills are deliberated in the National Assembly, the Government will actively participate in the discussions and cooperate in promoting social dialogue.</w:t>
      </w:r>
    </w:p>
    <w:p>
      <w:pPr>
        <w:snapToGrid w:val="0"/>
        <w:spacing w:after="0" w:line="336" w:lineRule="auto"/>
        <w:textAlignment w:val="baseline"/>
        <w:rPr>
          <w:rFonts w:ascii="Times New Roman" w:eastAsia="굴림" w:hAnsi="Times New Roman" w:cs="Times New Roman"/>
          <w:color w:val="000000"/>
          <w:sz w:val="24"/>
          <w:szCs w:val="24"/>
          <w:kern w:val="0"/>
        </w:rPr>
      </w:pPr>
    </w:p>
    <w:p>
      <w:pPr>
        <w:pStyle w:val="111"/>
        <w:ind w:firstLine="0"/>
        <w:spacing w:after="0" w:line="384" w:lineRule="auto"/>
        <w:rPr>
          <w:rFonts w:ascii="Times New Roman" w:hAnsi="Times New Roman" w:cs="Times New Roman"/>
          <w:sz w:val="24"/>
          <w:szCs w:val="24"/>
        </w:rPr>
      </w:pPr>
      <w:r>
        <w:rPr>
          <w:rFonts w:ascii="Times New Roman" w:eastAsia="한양신명조" w:hAnsi="Times New Roman" w:cs="Times New Roman"/>
          <w:w w:val="100"/>
          <w:sz w:val="24"/>
          <w:szCs w:val="24"/>
          <w:spacing w:val="0"/>
        </w:rPr>
        <w:t>B. Follow-up information relating to paragraph 19 (b) of the concluding observations</w:t>
      </w:r>
    </w:p>
    <w:p>
      <w:pPr>
        <w:pStyle w:val="111"/>
        <w:ind w:firstLine="0"/>
        <w:spacing w:after="0" w:line="336" w:lineRule="auto"/>
        <w:rPr>
          <w:rFonts w:ascii="Times New Roman" w:hAnsi="Times New Roman" w:cs="Times New Roman"/>
          <w:b w:val="0"/>
          <w:bCs w:val="0"/>
          <w:w w:val="100"/>
          <w:sz w:val="24"/>
          <w:szCs w:val="24"/>
          <w:spacing w:val="0"/>
        </w:rPr>
      </w:pPr>
      <w:r>
        <w:rPr>
          <w:rFonts w:ascii="Times New Roman" w:eastAsia="한양신명조" w:hAnsi="Times New Roman" w:cs="Times New Roman"/>
          <w:b w:val="0"/>
          <w:bCs w:val="0"/>
          <w:w w:val="100"/>
          <w:sz w:val="24"/>
          <w:szCs w:val="24"/>
          <w:spacing w:val="0"/>
        </w:rPr>
        <w:t xml:space="preserve">The Government of the Republic of Korea amended the Government Organization Act in October 2025 to strengthen the staffing and capacity of the ministry responsible for gender equality policy, expanding and reorganizing the Ministry of Gender Equality and Family and newly establishing a Gender Equality Policy Office to oversee gender equality policies and employment equality affairs. </w:t>
      </w:r>
    </w:p>
    <w:p>
      <w:pPr>
        <w:pStyle w:val="111"/>
        <w:ind w:firstLine="0"/>
        <w:spacing w:after="0" w:line="312" w:lineRule="auto"/>
        <w:rPr>
          <w:rFonts w:ascii="Times New Roman" w:hAnsi="Times New Roman" w:cs="Times New Roman"/>
          <w:b w:val="0"/>
          <w:bCs w:val="0"/>
          <w:w w:val="100"/>
          <w:sz w:val="24"/>
          <w:szCs w:val="24"/>
          <w:spacing w:val="0"/>
        </w:rPr>
      </w:pPr>
    </w:p>
    <w:p>
      <w:pPr>
        <w:pStyle w:val="111"/>
        <w:ind w:firstLine="0"/>
        <w:spacing w:after="0" w:line="336" w:lineRule="auto"/>
        <w:rPr>
          <w:rFonts w:ascii="Times New Roman" w:hAnsi="Times New Roman" w:cs="Times New Roman"/>
          <w:b w:val="0"/>
          <w:bCs w:val="0"/>
          <w:w w:val="100"/>
          <w:sz w:val="24"/>
          <w:szCs w:val="24"/>
          <w:spacing w:val="0"/>
        </w:rPr>
      </w:pPr>
      <w:r>
        <w:rPr>
          <w:rFonts w:ascii="Times New Roman" w:eastAsia="한양신명조" w:hAnsi="Times New Roman" w:cs="Times New Roman"/>
          <w:b w:val="0"/>
          <w:bCs w:val="0"/>
          <w:w w:val="100"/>
          <w:sz w:val="24"/>
          <w:szCs w:val="24"/>
          <w:spacing w:val="0"/>
        </w:rPr>
        <w:t>In addition, under the Gender Equality Policy Office, the Equal Employment Policy Bureau, the Gender Equity Planning Division, the Gender Equality and Cultural Cooperation Division, and the Equal Employment Coordination Division were newly established, with a total of 17 personnel added. The budget for 2026 amounted to KRW 2.0087 trillion, representing an increase of 13 percent (KRW 230.3 billion) compared to 2025. The Ministry strengthened its response to gender equality issues through collaboration with relevant ministries on matters such as women’s labor and safety, and expanded its overall coordination and steering functions as the lead ministry for gender equality policy, including by restoring gender equality policy channels at the provincial and municipal levels.</w:t>
      </w:r>
    </w:p>
    <w:p>
      <w:pPr>
        <w:pStyle w:val="111"/>
        <w:ind w:firstLine="0"/>
        <w:spacing w:after="0" w:line="336" w:lineRule="auto"/>
        <w:rPr>
          <w:rFonts w:ascii="Times New Roman" w:hAnsi="Times New Roman" w:cs="Times New Roman"/>
          <w:b w:val="0"/>
          <w:bCs w:val="0"/>
          <w:w w:val="100"/>
          <w:sz w:val="24"/>
          <w:szCs w:val="24"/>
          <w:spacing w:val="0"/>
        </w:rPr>
      </w:pPr>
    </w:p>
    <w:p>
      <w:pPr>
        <w:pStyle w:val="a3"/>
        <w:snapToGrid w:val="0"/>
        <w:spacing w:line="336" w:lineRule="auto"/>
        <w:rPr>
          <w:rFonts w:ascii="Times New Roman" w:hAnsi="Times New Roman" w:cs="Times New Roman"/>
          <w:sz w:val="24"/>
          <w:szCs w:val="24"/>
        </w:rPr>
      </w:pPr>
      <w:r>
        <w:rPr>
          <w:rFonts w:ascii="Times New Roman" w:eastAsia="한양신명조" w:hAnsi="Times New Roman" w:cs="Times New Roman"/>
          <w:sz w:val="24"/>
          <w:szCs w:val="24"/>
        </w:rPr>
        <w:t>Alongside these efforts, in order to invigorate discussions on gender equality agendas and pending issues, the Gender Equality Council has been reorganized into a three-tier structure comprising the “Main Committee–Working Committee–Expert Committee,” and the establishment of gender equality policy officers has been expanded to all ministries, thereby strengthening sector-specific accountability for gender equality and ensuring that gender differences and characteristics are reflected in the policy implementation process.</w:t>
      </w:r>
    </w:p>
    <w:p>
      <w:pPr>
        <w:pStyle w:val="a3"/>
        <w:snapToGrid w:val="0"/>
        <w:spacing w:line="336" w:lineRule="auto"/>
        <w:rPr>
          <w:rFonts w:ascii="Times New Roman" w:hAnsi="Times New Roman" w:cs="Times New Roman"/>
          <w:sz w:val="24"/>
          <w:szCs w:val="24"/>
        </w:rPr>
      </w:pPr>
    </w:p>
    <w:p>
      <w:pPr>
        <w:pStyle w:val="111"/>
        <w:ind w:firstLine="0"/>
        <w:spacing w:after="0" w:line="336" w:lineRule="auto"/>
        <w:rPr>
          <w:rFonts w:ascii="Times New Roman" w:hAnsi="Times New Roman" w:cs="Times New Roman"/>
          <w:b w:val="0"/>
          <w:bCs w:val="0"/>
          <w:w w:val="100"/>
          <w:sz w:val="24"/>
          <w:szCs w:val="24"/>
          <w:spacing w:val="0"/>
        </w:rPr>
      </w:pPr>
      <w:r>
        <w:rPr>
          <w:rFonts w:ascii="Times New Roman" w:eastAsia="한양신명조" w:hAnsi="Times New Roman" w:cs="Times New Roman"/>
          <w:b w:val="0"/>
          <w:bCs w:val="0"/>
          <w:w w:val="100"/>
          <w:sz w:val="24"/>
          <w:szCs w:val="24"/>
          <w:spacing w:val="0"/>
        </w:rPr>
        <w:t>Moreover, to strengthen the capacity of staff within the organization, efforts were made to improve working methods and organizational culture by assessing the current state of organizational culture and conducting an idea contest for all employees. The Government of the Republic of Korea also fostered an organizational culture based on communication and mutual respect through various measures, including rank-specific staff workshops to enhance policy implementation capacity and the operation of government innovation groups for employees in their 20s and 30s.</w:t>
      </w:r>
    </w:p>
    <w:p>
      <w:pPr>
        <w:pStyle w:val="111"/>
        <w:ind w:firstLine="0"/>
        <w:spacing w:after="0" w:line="336" w:lineRule="auto"/>
        <w:rPr>
          <w:rFonts w:ascii="Times New Roman" w:hAnsi="Times New Roman" w:cs="Times New Roman"/>
          <w:b w:val="0"/>
          <w:bCs w:val="0"/>
          <w:w w:val="100"/>
          <w:sz w:val="24"/>
          <w:szCs w:val="24"/>
          <w:spacing w:val="0"/>
        </w:rPr>
      </w:pPr>
    </w:p>
    <w:p>
      <w:pPr>
        <w:pStyle w:val="111"/>
        <w:ind w:firstLine="0"/>
        <w:spacing w:after="0" w:line="336" w:lineRule="auto"/>
        <w:rPr>
          <w:rFonts w:ascii="Times New Roman" w:hAnsi="Times New Roman" w:cs="Times New Roman"/>
          <w:b w:val="0"/>
          <w:bCs w:val="0"/>
          <w:w w:val="100"/>
          <w:sz w:val="24"/>
          <w:szCs w:val="24"/>
          <w:spacing w:val="0"/>
        </w:rPr>
      </w:pPr>
      <w:r>
        <w:rPr>
          <w:rFonts w:ascii="Times New Roman" w:eastAsia="한양신명조" w:hAnsi="Times New Roman" w:cs="Times New Roman"/>
          <w:b w:val="0"/>
          <w:bCs w:val="0"/>
          <w:w w:val="100"/>
          <w:sz w:val="24"/>
          <w:szCs w:val="24"/>
          <w:spacing w:val="0"/>
        </w:rPr>
        <w:t>Furthermore, with regard to improving the individual job competencies of staff members, violence prevention education aimed at enhancing gender sensitivity among employees has been conducted throughout the year, and in particular, tailored training on the prevention of the four major types of violence (sexual harassment, sexual violence, prostitution, and domestic violence) has been separately provided for senior public officials. Alongside these efforts, professional and advanced training has been provided for two sexual harassment grievance counselors.</w:t>
      </w:r>
    </w:p>
    <w:p>
      <w:pPr>
        <w:pStyle w:val="111"/>
        <w:ind w:firstLine="0"/>
        <w:spacing w:after="0" w:line="336" w:lineRule="auto"/>
        <w:rPr>
          <w:rFonts w:ascii="Times New Roman" w:hAnsi="Times New Roman" w:cs="Times New Roman"/>
          <w:b w:val="0"/>
          <w:bCs w:val="0"/>
          <w:w w:val="100"/>
          <w:sz w:val="24"/>
          <w:szCs w:val="24"/>
          <w:spacing w:val="0"/>
        </w:rPr>
      </w:pPr>
    </w:p>
    <w:p>
      <w:pPr>
        <w:pStyle w:val="111"/>
        <w:ind w:firstLine="0"/>
        <w:spacing w:after="0" w:line="336" w:lineRule="auto"/>
        <w:rPr>
          <w:lang/>
          <w:rFonts w:ascii="Times New Roman" w:eastAsia="한양신명조" w:hAnsi="Times New Roman" w:cs="Times New Roman"/>
          <w:b w:val="0"/>
          <w:bCs w:val="0"/>
          <w:sz w:val="24"/>
          <w:szCs w:val="24"/>
          <w:position w:val="2"/>
          <w:rtl w:val="off"/>
        </w:rPr>
      </w:pPr>
      <w:r>
        <w:rPr>
          <w:rFonts w:ascii="Times New Roman" w:eastAsia="한양신명조" w:hAnsi="Times New Roman" w:cs="Times New Roman"/>
          <w:b w:val="0"/>
          <w:bCs w:val="0"/>
          <w:w w:val="100"/>
          <w:sz w:val="24"/>
          <w:szCs w:val="24"/>
          <w:spacing w:val="0"/>
        </w:rPr>
        <w:t>In addition to the foregoing, pursuant to the Act on the Capacity Development of Public Officials, education and training programs linked with external institutions, together with domestic and overseas commissioned training, are provided both online and offline on public service values, national governance philosophy, key policy agendas, as well as the enhancement of job competencies, so as to ensure approximately 80 hours of education and training per year</w:t>
      </w:r>
      <w:r>
        <w:rPr>
          <w:rFonts w:ascii="Times New Roman" w:eastAsia="한양신명조" w:hAnsi="Times New Roman" w:cs="Times New Roman"/>
          <w:b w:val="0"/>
          <w:bCs w:val="0"/>
          <w:sz w:val="24"/>
          <w:szCs w:val="24"/>
          <w:position w:val="2"/>
        </w:rPr>
        <w:t>.</w:t>
      </w:r>
    </w:p>
    <w:p>
      <w:pPr>
        <w:pStyle w:val="111"/>
        <w:ind w:firstLine="0"/>
        <w:spacing w:after="0" w:line="336" w:lineRule="auto"/>
        <w:rPr>
          <w:lang w:val="en-US" w:eastAsia="ko-KR"/>
          <w:sz w:val="24"/>
          <w:szCs w:val="24"/>
        </w:rPr>
      </w:pPr>
    </w:p>
    <w:p>
      <w:pPr>
        <w:pStyle w:val="111"/>
        <w:ind w:firstLine="0"/>
        <w:spacing w:after="0" w:line="336" w:lineRule="auto"/>
        <w:rPr>
          <w:rFonts w:ascii="Times New Roman" w:hAnsi="Times New Roman" w:cs="Times New Roman"/>
          <w:sz w:val="24"/>
          <w:szCs w:val="24"/>
        </w:rPr>
      </w:pPr>
      <w:r>
        <w:rPr>
          <w:rFonts w:ascii="Times New Roman" w:eastAsia="한양신명조" w:hAnsi="Times New Roman" w:cs="Times New Roman"/>
          <w:w w:val="100"/>
          <w:sz w:val="24"/>
          <w:szCs w:val="24"/>
          <w:spacing w:val="0"/>
        </w:rPr>
        <w:t>C. Follow-up information relating to paragraph 27 (a) of the concluding observations</w:t>
      </w:r>
    </w:p>
    <w:p>
      <w:pPr>
        <w:pStyle w:val="1"/>
        <w:wordWrap w:val="off"/>
        <w:snapToGrid w:val="0"/>
        <w:jc w:val="both"/>
        <w:spacing w:line="336" w:lineRule="auto"/>
        <w:rPr>
          <w:rFonts w:ascii="Times New Roman" w:hAnsi="Times New Roman" w:cs="Times New Roman"/>
          <w:sz w:val="24"/>
          <w:szCs w:val="24"/>
        </w:rPr>
      </w:pPr>
      <w:r>
        <w:rPr>
          <w:rFonts w:ascii="Times New Roman" w:eastAsia="한양신명조" w:hAnsi="Times New Roman" w:cs="Times New Roman"/>
          <w:sz w:val="24"/>
          <w:szCs w:val="24"/>
        </w:rPr>
        <w:t xml:space="preserve">The introduction of the so-called “crime of sexual intercourse without consent” concerns the fundamental framework of domestic sexual violence crimes. Therefore, it requires sufficient public discussion, given the issues related to the burden of proof and procedural burdens in criminal proceedings, as well as diverse views on how to protect the right to sexual self-determination. In addition, as Article 297 of the current </w:t>
      </w:r>
      <w:r>
        <w:rPr>
          <w:rFonts w:ascii="Times New Roman" w:eastAsia="한양신명조" w:hAnsi="Times New Roman" w:cs="Times New Roman"/>
          <w:i/>
          <w:iCs/>
          <w:sz w:val="24"/>
          <w:szCs w:val="24"/>
        </w:rPr>
        <w:t>Criminal Act</w:t>
      </w:r>
      <w:r>
        <w:rPr>
          <w:rFonts w:ascii="Times New Roman" w:eastAsia="한양신명조" w:hAnsi="Times New Roman" w:cs="Times New Roman"/>
          <w:sz w:val="24"/>
          <w:szCs w:val="24"/>
        </w:rPr>
        <w:t xml:space="preserve"> defines rape as an act of “having sexual intercourse with ‘another’ by means of violence or intimidation” and does not exclude “spouses” from the subject of a criminal offense, marital rape is already punishable under the current law.</w:t>
      </w:r>
    </w:p>
    <w:p>
      <w:pPr>
        <w:rPr>
          <w:sz w:val="24"/>
          <w:szCs w:val="24"/>
        </w:rPr>
      </w:pPr>
    </w:p>
    <w:p>
      <w:pPr>
        <w:pStyle w:val="111"/>
        <w:ind w:firstLine="0"/>
        <w:spacing w:after="0" w:line="384" w:lineRule="auto"/>
        <w:rPr>
          <w:rFonts w:ascii="Times New Roman" w:hAnsi="Times New Roman" w:cs="Times New Roman"/>
          <w:sz w:val="24"/>
          <w:szCs w:val="24"/>
        </w:rPr>
      </w:pPr>
      <w:r>
        <w:rPr>
          <w:rFonts w:ascii="Times New Roman" w:eastAsia="한양신명조" w:hAnsi="Times New Roman" w:cs="Times New Roman"/>
          <w:w w:val="100"/>
          <w:sz w:val="24"/>
          <w:szCs w:val="24"/>
          <w:spacing w:val="0"/>
        </w:rPr>
        <w:t>D. Follow-up information relating to paragraph 31 (a) of the concluding observations</w:t>
      </w:r>
    </w:p>
    <w:p>
      <w:pPr>
        <w:pStyle w:val="a3"/>
        <w:snapToGrid w:val="0"/>
        <w:spacing w:line="336" w:lineRule="auto"/>
        <w:rPr>
          <w:rFonts w:ascii="Times New Roman" w:hAnsi="Times New Roman" w:cs="Times New Roman"/>
          <w:sz w:val="24"/>
          <w:szCs w:val="24"/>
        </w:rPr>
      </w:pPr>
      <w:r>
        <w:rPr>
          <w:rFonts w:ascii="Times New Roman" w:eastAsia="한양신명조" w:hAnsi="Times New Roman" w:cs="Times New Roman"/>
          <w:sz w:val="24"/>
          <w:szCs w:val="24"/>
        </w:rPr>
        <w:t xml:space="preserve">The Government of the Republic of Korea is continuing its efforts to restore the honor and dignity of the ‘comfort women’ victims and heal their psychological wounds. The Government continues to maintain its principled stance in history issues between the Republic of Korea and Japan, while continuing to pursue future-oriented cooperation between the two countries. </w:t>
      </w:r>
    </w:p>
    <w:p>
      <w:pPr>
        <w:pStyle w:val="a3"/>
        <w:snapToGrid w:val="0"/>
        <w:spacing w:line="336" w:lineRule="auto"/>
        <w:rPr>
          <w:rFonts w:ascii="Times New Roman" w:hAnsi="Times New Roman" w:cs="Times New Roman"/>
          <w:sz w:val="24"/>
          <w:szCs w:val="24"/>
        </w:rPr>
      </w:pPr>
    </w:p>
    <w:p>
      <w:pPr>
        <w:pStyle w:val="a3"/>
        <w:snapToGrid w:val="0"/>
        <w:spacing w:line="336" w:lineRule="auto"/>
        <w:rPr>
          <w:rFonts w:ascii="Times New Roman" w:hAnsi="Times New Roman" w:cs="Times New Roman"/>
          <w:sz w:val="24"/>
          <w:szCs w:val="24"/>
        </w:rPr>
      </w:pPr>
      <w:r>
        <w:rPr>
          <w:rFonts w:ascii="Times New Roman" w:eastAsia="한양신명조" w:hAnsi="Times New Roman" w:cs="Times New Roman"/>
          <w:sz w:val="24"/>
          <w:szCs w:val="24"/>
        </w:rPr>
        <w:t xml:space="preserve">To begin with, regarding descriptions of Japanese textbooks related to such history issues, the Government has consistently expressed its position that the Government of Japan should squarely face history, and approach the education of its future generation with a responsible attitude. </w:t>
      </w:r>
    </w:p>
    <w:p>
      <w:pPr>
        <w:pStyle w:val="a3"/>
        <w:snapToGrid w:val="0"/>
        <w:spacing w:line="336" w:lineRule="auto"/>
        <w:rPr>
          <w:rFonts w:ascii="Times New Roman" w:hAnsi="Times New Roman" w:cs="Times New Roman"/>
          <w:sz w:val="24"/>
          <w:szCs w:val="24"/>
        </w:rPr>
      </w:pPr>
    </w:p>
    <w:p>
      <w:pPr>
        <w:pStyle w:val="a3"/>
        <w:snapToGrid w:val="0"/>
        <w:spacing w:line="336" w:lineRule="auto"/>
        <w:rPr>
          <w:rFonts w:ascii="Times New Roman" w:eastAsia="한양신명조" w:hAnsi="Times New Roman" w:cs="Times New Roman"/>
          <w:sz w:val="24"/>
          <w:szCs w:val="24"/>
        </w:rPr>
      </w:pPr>
      <w:r>
        <w:rPr>
          <w:rFonts w:ascii="Times New Roman" w:eastAsia="한양신명조" w:hAnsi="Times New Roman" w:cs="Times New Roman"/>
          <w:sz w:val="24"/>
          <w:szCs w:val="24"/>
        </w:rPr>
        <w:t xml:space="preserve">In addition, </w:t>
      </w:r>
      <w:r>
        <w:rPr>
          <w:rFonts w:ascii="Times New Roman" w:eastAsia="한양신명조" w:hAnsi="Times New Roman" w:cs="Times New Roman"/>
          <w:sz w:val="24"/>
          <w:szCs w:val="24"/>
        </w:rPr>
        <w:t>t</w:t>
      </w:r>
      <w:r>
        <w:rPr>
          <w:rFonts w:ascii="Times New Roman" w:eastAsia="한양신명조" w:hAnsi="Times New Roman" w:cs="Times New Roman"/>
          <w:sz w:val="24"/>
          <w:szCs w:val="24"/>
        </w:rPr>
        <w:t>he</w:t>
      </w:r>
      <w:r>
        <w:rPr>
          <w:rFonts w:ascii="Times New Roman" w:eastAsia="한양신명조" w:hAnsi="Times New Roman" w:cs="Times New Roman"/>
          <w:sz w:val="24"/>
          <w:szCs w:val="24"/>
        </w:rPr>
        <w:t xml:space="preserve"> Government of the Republic of Korea has consistently expressed its commitment to restoring the honor and dignity of comfort women on occasions including the United Nations Human Rights Council and the </w:t>
      </w:r>
      <w:r>
        <w:rPr>
          <w:rFonts w:ascii="Times New Roman" w:eastAsia="한양신명조" w:hAnsi="Times New Roman" w:cs="Times New Roman"/>
          <w:sz w:val="24"/>
          <w:szCs w:val="24"/>
        </w:rPr>
        <w:t>United Nations General Assembly and has actively participated in international discussions on eliminating and preventing sexual violence in conflict.</w:t>
      </w:r>
    </w:p>
    <w:p>
      <w:pPr>
        <w:pStyle w:val="a3"/>
        <w:snapToGrid w:val="0"/>
        <w:spacing w:line="336" w:lineRule="auto"/>
        <w:rPr>
          <w:rFonts w:ascii="Times New Roman" w:hAnsi="Times New Roman" w:cs="Times New Roman"/>
          <w:sz w:val="24"/>
          <w:szCs w:val="24"/>
        </w:rPr>
      </w:pPr>
    </w:p>
    <w:p>
      <w:pPr>
        <w:pStyle w:val="a3"/>
        <w:rPr>
          <w:rFonts w:ascii="Times New Roman" w:hAnsi="Times New Roman" w:cs="Times New Roman"/>
          <w:sz w:val="24"/>
          <w:szCs w:val="24"/>
        </w:rPr>
      </w:pPr>
      <w:r>
        <w:rPr>
          <w:rFonts w:ascii="Times New Roman" w:eastAsia="한양신명조" w:hAnsi="Times New Roman" w:cs="Times New Roman"/>
          <w:sz w:val="24"/>
          <w:szCs w:val="24"/>
        </w:rPr>
        <w:t xml:space="preserve">In particular, under the “Action with Women and Peace Initiative” launched in 2018, the Government has convened an annual international conference since 2019, organizing the 7th conference in November 2025. Furthermore, in cooperation with the United Nations Population Fund (UNFPA) and the Women’s Peace and Humanitarian Fund (WPHF), the Government has also implemented projects aimed at preventing and responding to sexual violence in conflict and expanding women’s participation in peace processes. </w:t>
      </w:r>
    </w:p>
    <w:p>
      <w:pPr>
        <w:pStyle w:val="111"/>
        <w:ind w:firstLine="0"/>
        <w:spacing w:after="0" w:line="360" w:lineRule="auto"/>
        <w:rPr>
          <w:rFonts w:ascii="Times New Roman" w:hAnsi="Times New Roman" w:cs="Times New Roman"/>
          <w:w w:val="100"/>
          <w:sz w:val="24"/>
          <w:szCs w:val="24"/>
          <w:spacing w:val="0"/>
        </w:rPr>
      </w:pPr>
    </w:p>
    <w:p>
      <w:pPr>
        <w:pStyle w:val="a3"/>
        <w:rPr>
          <w:rFonts w:ascii="Times New Roman" w:hAnsi="Times New Roman" w:cs="Times New Roman"/>
          <w:sz w:val="24"/>
          <w:szCs w:val="24"/>
        </w:rPr>
      </w:pPr>
      <w:r>
        <w:rPr>
          <w:rFonts w:ascii="Times New Roman" w:eastAsia="한양신명조" w:hAnsi="Times New Roman" w:cs="Times New Roman"/>
          <w:sz w:val="24"/>
          <w:szCs w:val="24"/>
        </w:rPr>
        <w:t>In addition to these international efforts, the Government of the Republic of Korea has been implementing multifaceted measures to provide remedies for the ‘comfort women’ victims, including the continuous expansion of support for victims and the strengthening of research and archival management.</w:t>
      </w:r>
    </w:p>
    <w:p>
      <w:pPr>
        <w:pStyle w:val="a3"/>
        <w:spacing w:line="360" w:lineRule="auto"/>
        <w:rPr>
          <w:rFonts w:ascii="Times New Roman" w:hAnsi="Times New Roman" w:cs="Times New Roman"/>
          <w:sz w:val="24"/>
          <w:szCs w:val="24"/>
        </w:rPr>
      </w:pPr>
    </w:p>
    <w:p>
      <w:pPr>
        <w:pStyle w:val="a3"/>
        <w:rPr>
          <w:rFonts w:ascii="Times New Roman" w:hAnsi="Times New Roman" w:cs="Times New Roman"/>
          <w:sz w:val="24"/>
          <w:szCs w:val="24"/>
        </w:rPr>
      </w:pPr>
      <w:r>
        <w:rPr>
          <w:rFonts w:ascii="Times New Roman" w:eastAsia="한양신명조" w:hAnsi="Times New Roman" w:cs="Times New Roman"/>
          <w:sz w:val="24"/>
          <w:szCs w:val="24"/>
        </w:rPr>
        <w:t xml:space="preserve">First and foremost, in order to ensure that surviving elderly victims are able to maintain stable living conditions, the Government of the Republic of Korea has expanded the level of subsidies for livelihood stability and nursing expenses. As of 2026, the monthly subsidy for livelihood stability was increased by 5 percent from KRW 1.88 million in the previous year to KRW 1.97 million, while the subsidy for nursing expenses was also raised by 8 percent year-on-year to KRW 3.72 million, thereby further ensuring robust support for the victims’ livelihood stability and care. </w:t>
      </w:r>
    </w:p>
    <w:p>
      <w:pPr>
        <w:pStyle w:val="a3"/>
        <w:spacing w:line="360" w:lineRule="auto"/>
        <w:rPr>
          <w:rFonts w:ascii="Times New Roman" w:hAnsi="Times New Roman" w:cs="Times New Roman"/>
          <w:sz w:val="24"/>
          <w:szCs w:val="24"/>
        </w:rPr>
      </w:pPr>
    </w:p>
    <w:p>
      <w:pPr>
        <w:pStyle w:val="a3"/>
        <w:rPr>
          <w:rFonts w:ascii="Times New Roman" w:eastAsia="한양신명조" w:hAnsi="Times New Roman" w:cs="Times New Roman"/>
          <w:sz w:val="24"/>
          <w:szCs w:val="24"/>
        </w:rPr>
      </w:pPr>
      <w:r>
        <w:rPr>
          <w:rFonts w:ascii="Times New Roman" w:eastAsia="한양신명조" w:hAnsi="Times New Roman" w:cs="Times New Roman"/>
          <w:sz w:val="24"/>
          <w:szCs w:val="24"/>
        </w:rPr>
        <w:t xml:space="preserve">Moreover, annual fact-finding surveys on living conditions and policy satisfaction are conducted to closely assess victims’ living circumstances and support needs, and the results are reflected in future policy improvements and expanded support, thus helping to ensure effective remedies for victims. </w:t>
      </w:r>
    </w:p>
    <w:p>
      <w:pPr>
        <w:pStyle w:val="a3"/>
        <w:rPr>
          <w:rFonts w:ascii="Times New Roman" w:hAnsi="Times New Roman" w:cs="Times New Roman"/>
          <w:sz w:val="24"/>
          <w:szCs w:val="24"/>
        </w:rPr>
      </w:pPr>
    </w:p>
    <w:p>
      <w:pPr>
        <w:pStyle w:val="a3"/>
        <w:rPr>
          <w:rFonts w:ascii="Times New Roman" w:eastAsia="한양신명조" w:hAnsi="Times New Roman" w:cs="Times New Roman"/>
          <w:sz w:val="24"/>
          <w:szCs w:val="24"/>
        </w:rPr>
      </w:pPr>
      <w:r>
        <w:rPr>
          <w:rFonts w:ascii="Times New Roman" w:eastAsia="한양신명조" w:hAnsi="Times New Roman" w:cs="Times New Roman"/>
          <w:sz w:val="24"/>
          <w:szCs w:val="24"/>
        </w:rPr>
        <w:t>Recently, the Act on Protection, Support and Commemorative Projects for ‘Comfort Women’ Victims</w:t>
      </w:r>
      <w:r>
        <w:rPr>
          <w:rFonts w:ascii="Times New Roman" w:eastAsia="한양신명조" w:hAnsi="Times New Roman" w:cs="Times New Roman"/>
          <w:color w:val="008000"/>
          <w:sz w:val="24"/>
          <w:szCs w:val="24"/>
        </w:rPr>
        <w:t xml:space="preserve"> </w:t>
      </w:r>
      <w:r>
        <w:rPr>
          <w:rFonts w:ascii="Times New Roman" w:eastAsia="한양신명조" w:hAnsi="Times New Roman" w:cs="Times New Roman"/>
          <w:sz w:val="24"/>
          <w:szCs w:val="24"/>
        </w:rPr>
        <w:t xml:space="preserve">was amended in order to strengthen the restoration of the honor of the ‘comfort women’ victims, protect their human rights, and prevent the distortion of historical facts. </w:t>
      </w:r>
    </w:p>
    <w:p>
      <w:pPr>
        <w:pStyle w:val="a3"/>
        <w:rPr>
          <w:rFonts w:ascii="Times New Roman" w:hAnsi="Times New Roman" w:cs="Times New Roman"/>
          <w:sz w:val="24"/>
          <w:szCs w:val="24"/>
        </w:rPr>
      </w:pPr>
    </w:p>
    <w:p>
      <w:pPr>
        <w:pStyle w:val="a3"/>
        <w:tabs>
          <w:tab w:val="right" w:pos="7482" w:leader="middleDot"/>
        </w:tabs>
        <w:spacing w:line="360" w:lineRule="auto"/>
        <w:rPr>
          <w:rFonts w:ascii="Times New Roman" w:hAnsi="Times New Roman" w:cs="Times New Roman"/>
          <w:sz w:val="24"/>
          <w:szCs w:val="24"/>
        </w:rPr>
      </w:pPr>
      <w:r>
        <w:rPr>
          <w:rFonts w:ascii="Times New Roman" w:eastAsia="한양신명조" w:hAnsi="Times New Roman" w:cs="Times New Roman"/>
          <w:sz w:val="24"/>
          <w:szCs w:val="24"/>
        </w:rPr>
        <w:t>The amended Act prohibits acts that defame the honor of the ‘comfort women’ victims by denying or distorting the facts of their victimization or by disseminating false information with the intent to slander such victims. In particular, it newly establishes provisions allowing for punishment in cases of disseminating false information. Through these measures, legal safeguards to protect the honor and dignity of the ‘comfort women’ victims have been reinforced.</w:t>
      </w:r>
    </w:p>
    <w:p>
      <w:pPr>
        <w:pStyle w:val="a3"/>
        <w:tabs>
          <w:tab w:val="right" w:pos="7482" w:leader="middleDot"/>
        </w:tabs>
        <w:spacing w:line="360" w:lineRule="auto"/>
        <w:rPr>
          <w:rFonts w:ascii="Times New Roman" w:hAnsi="Times New Roman" w:cs="Times New Roman"/>
          <w:sz w:val="24"/>
          <w:szCs w:val="24"/>
        </w:rPr>
      </w:pPr>
    </w:p>
    <w:p>
      <w:pPr>
        <w:pStyle w:val="a3"/>
        <w:tabs>
          <w:tab w:val="right" w:pos="7482" w:leader="middleDot"/>
        </w:tabs>
        <w:spacing w:line="360" w:lineRule="auto"/>
        <w:rPr>
          <w:rFonts w:ascii="Times New Roman" w:hAnsi="Times New Roman" w:cs="Times New Roman"/>
          <w:sz w:val="24"/>
          <w:szCs w:val="24"/>
        </w:rPr>
      </w:pPr>
      <w:r>
        <w:rPr>
          <w:rFonts w:ascii="Times New Roman" w:eastAsia="한양신명조" w:hAnsi="Times New Roman" w:cs="Times New Roman"/>
          <w:sz w:val="24"/>
          <w:szCs w:val="24"/>
        </w:rPr>
        <w:t xml:space="preserve">The amended Act further provides a legal basis for conducting fact-finding surveys on memorial structures commemorating the ‘comfort women’ victims (commonly known as the “Statue of Peace”), thereby enabling the systematic identification of the status of such memorials, as well as the formulation of related management policies. The Government of the Republic of Korea will continue pursuing policies aimed at restoring the honor of the </w:t>
      </w:r>
      <w:r>
        <w:rPr>
          <w:rFonts w:ascii="Times New Roman" w:eastAsia="한양신명조" w:hAnsi="Times New Roman" w:cs="Times New Roman"/>
          <w:sz w:val="24"/>
          <w:szCs w:val="24"/>
        </w:rPr>
        <w:t>‘comfort women’ victims</w:t>
      </w:r>
      <w:r>
        <w:rPr>
          <w:rFonts w:ascii="Times New Roman" w:eastAsia="한양신명조" w:hAnsi="Times New Roman" w:cs="Times New Roman"/>
          <w:color w:val="008000"/>
          <w:sz w:val="24"/>
          <w:szCs w:val="24"/>
        </w:rPr>
        <w:t xml:space="preserve"> </w:t>
      </w:r>
      <w:r>
        <w:rPr>
          <w:rFonts w:ascii="Times New Roman" w:eastAsia="한양신명조" w:hAnsi="Times New Roman" w:cs="Times New Roman"/>
          <w:sz w:val="24"/>
          <w:szCs w:val="24"/>
        </w:rPr>
        <w:t>and enhancing historical awareness.</w:t>
      </w:r>
    </w:p>
    <w:p>
      <w:pPr>
        <w:pStyle w:val="a3"/>
        <w:tabs>
          <w:tab w:val="right" w:pos="7482" w:leader="middleDot"/>
        </w:tabs>
        <w:spacing w:line="360" w:lineRule="auto"/>
        <w:rPr>
          <w:rFonts w:ascii="Times New Roman" w:hAnsi="Times New Roman" w:cs="Times New Roman"/>
          <w:sz w:val="24"/>
          <w:szCs w:val="24"/>
        </w:rPr>
      </w:pPr>
    </w:p>
    <w:p>
      <w:pPr>
        <w:pStyle w:val="a3"/>
        <w:tabs>
          <w:tab w:val="right" w:pos="7482" w:leader="middleDot"/>
        </w:tabs>
        <w:spacing w:line="360" w:lineRule="auto"/>
        <w:rPr>
          <w:rFonts w:ascii="Times New Roman" w:hAnsi="Times New Roman" w:cs="Times New Roman"/>
          <w:sz w:val="24"/>
          <w:szCs w:val="24"/>
        </w:rPr>
      </w:pPr>
      <w:r>
        <w:rPr>
          <w:rFonts w:ascii="Times New Roman" w:eastAsia="한양신명조" w:hAnsi="Times New Roman" w:cs="Times New Roman"/>
          <w:sz w:val="24"/>
          <w:szCs w:val="24"/>
        </w:rPr>
        <w:t>The Government of the Republic of Korea is also conducting systematic research and archival management on the issue of the ‘comfort women’ victims. With the digital archive repository “Archive 814 (www.archive814.or.kr)” at its core, it collects and organizes materials related to the ‘comfort women’ victims dispersed across the Republic of Korea and abroad, while systematically accumulating victims’ testimonies and related records.</w:t>
      </w:r>
    </w:p>
    <w:p>
      <w:pPr>
        <w:pStyle w:val="a3"/>
        <w:tabs>
          <w:tab w:val="right" w:pos="7482" w:leader="middleDot"/>
        </w:tabs>
        <w:spacing w:line="360" w:lineRule="auto"/>
        <w:rPr>
          <w:rFonts w:ascii="Times New Roman" w:hAnsi="Times New Roman" w:cs="Times New Roman"/>
          <w:sz w:val="24"/>
          <w:szCs w:val="24"/>
        </w:rPr>
      </w:pPr>
    </w:p>
    <w:p>
      <w:pPr>
        <w:pStyle w:val="a3"/>
        <w:tabs>
          <w:tab w:val="right" w:pos="7482" w:leader="middleDot"/>
        </w:tabs>
        <w:spacing w:line="336" w:lineRule="auto"/>
        <w:rPr>
          <w:rFonts w:ascii="Times New Roman" w:eastAsia="한양신명조" w:hAnsi="Times New Roman" w:cs="Times New Roman"/>
          <w:sz w:val="24"/>
          <w:szCs w:val="24"/>
        </w:rPr>
      </w:pPr>
      <w:r>
        <w:rPr>
          <w:rFonts w:ascii="Times New Roman" w:eastAsia="한양신명조" w:hAnsi="Times New Roman" w:cs="Times New Roman"/>
          <w:sz w:val="24"/>
          <w:szCs w:val="24"/>
        </w:rPr>
        <w:t>Additionally, the Government is strengthening the foundation for research and ensuring the more accurate preservation of historical facts by archiving materials held by other institutions and carrying out transcription work for oral history recordings, among other activities, while also expanding international and academic research through support programs for survey of materials related to the ‘comfort women’ victims in Asia and for joint research on the themes of the ‘comfort women’ victims and wartime sexual violence.</w:t>
      </w:r>
    </w:p>
    <w:p>
      <w:pPr>
        <w:pStyle w:val="a3"/>
        <w:tabs>
          <w:tab w:val="right" w:pos="7482" w:leader="middleDot"/>
        </w:tabs>
        <w:spacing w:line="336" w:lineRule="auto"/>
        <w:rPr>
          <w:rFonts w:ascii="Times New Roman" w:hAnsi="Times New Roman" w:cs="Times New Roman"/>
          <w:sz w:val="24"/>
          <w:szCs w:val="24"/>
        </w:rPr>
      </w:pPr>
    </w:p>
    <w:p>
      <w:pPr>
        <w:pStyle w:val="a3"/>
        <w:tabs>
          <w:tab w:val="right" w:pos="7482" w:leader="middleDot"/>
        </w:tabs>
        <w:spacing w:line="336" w:lineRule="auto"/>
        <w:rPr>
          <w:rFonts w:ascii="Times New Roman" w:hAnsi="Times New Roman" w:cs="Times New Roman"/>
          <w:sz w:val="24"/>
          <w:szCs w:val="24"/>
        </w:rPr>
      </w:pPr>
      <w:r>
        <w:rPr>
          <w:rFonts w:ascii="Times New Roman" w:eastAsia="한양신명조" w:hAnsi="Times New Roman" w:cs="Times New Roman"/>
          <w:sz w:val="24"/>
          <w:szCs w:val="24"/>
        </w:rPr>
        <w:t xml:space="preserve">Moreover, with the aim of promoting broader public understanding of and access to the issues related to the ‘comfort women’ victims at home and abroad, the Government of the Republic of Korea publishes the Korean- and English-language webzine “KYEOL,” as well as newsletters, introducing related commentaries, research, essays, and other content, thereby providing a wide range of information and content. It also hosts international conferences under the theme of </w:t>
      </w:r>
      <w:r>
        <w:rPr>
          <w:rFonts w:ascii="Times New Roman" w:eastAsia="한양신명조" w:hAnsi="Times New Roman" w:cs="Times New Roman"/>
          <w:sz w:val="24"/>
          <w:szCs w:val="24"/>
        </w:rPr>
        <w:t>“ ‘</w:t>
      </w:r>
      <w:r>
        <w:rPr>
          <w:rFonts w:ascii="Times New Roman" w:eastAsia="한양신명조" w:hAnsi="Times New Roman" w:cs="Times New Roman"/>
          <w:sz w:val="24"/>
          <w:szCs w:val="24"/>
        </w:rPr>
        <w:t>Comfort Women’ Issue: Global Citizenship and Solidarity” in order to foster international consensus and bolster solidarity on the issue, while expanding the foundation for international cooperation.</w:t>
      </w:r>
    </w:p>
    <w:p>
      <w:pPr>
        <w:pStyle w:val="a3"/>
        <w:tabs>
          <w:tab w:val="right" w:pos="7482" w:leader="middleDot"/>
        </w:tabs>
        <w:spacing w:line="336" w:lineRule="auto"/>
        <w:rPr>
          <w:rFonts w:ascii="Times New Roman" w:hAnsi="Times New Roman" w:cs="Times New Roman"/>
          <w:sz w:val="24"/>
          <w:szCs w:val="24"/>
        </w:rPr>
      </w:pPr>
    </w:p>
    <w:p>
      <w:pPr>
        <w:pStyle w:val="a3"/>
        <w:tabs>
          <w:tab w:val="right" w:pos="7482" w:leader="middleDot"/>
        </w:tabs>
        <w:spacing w:line="336" w:lineRule="auto"/>
        <w:rPr>
          <w:rFonts w:ascii="Times New Roman" w:hAnsi="Times New Roman" w:cs="Times New Roman"/>
          <w:sz w:val="24"/>
          <w:szCs w:val="24"/>
        </w:rPr>
      </w:pPr>
      <w:r>
        <w:rPr>
          <w:rFonts w:ascii="Times New Roman" w:eastAsia="한양신명조" w:hAnsi="Times New Roman" w:cs="Times New Roman"/>
          <w:sz w:val="24"/>
          <w:szCs w:val="24"/>
        </w:rPr>
        <w:t>Furthermore, to honor the ‘comfort women’ victims and to promote historical awareness among future generations, it holds a commemorative ceremony on August 14 of each year, marking the Day to Commemorate ‘Comfort Women’ Victims (since 2018), and organizes youth competitions on issues related to the ‘comfort women’ victims (since 2014), thereby providing future generations with an opportunity to develop a correct understanding of historical facts and to reflect on the importance of human rights and peace.</w:t>
      </w:r>
    </w:p>
    <w:p>
      <w:pPr>
        <w:pStyle w:val="a3"/>
        <w:tabs>
          <w:tab w:val="right" w:pos="7482" w:leader="middleDot"/>
        </w:tabs>
        <w:spacing w:line="336" w:lineRule="auto"/>
      </w:pPr>
      <w:r>
        <w:rPr>
          <w:rFonts w:ascii="Times New Roman" w:eastAsia="한양신명조" w:hAnsi="Times New Roman" w:cs="Times New Roman"/>
          <w:sz w:val="24"/>
          <w:szCs w:val="24"/>
        </w:rPr>
        <w:t>Going forward, the Government of the Republic of Korea will continue to refine and expand its policies from a victim-centered perspective, while striving to restore the honor of the ‘comfort women’ victims and achieve historical justice.</w:t>
      </w: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Times New Roman">
    <w:panose1 w:val="02020603050405020304"/>
    <w:family w:val="roman"/>
    <w:charset w:val="00"/>
    <w:notTrueType w:val="false"/>
    <w:sig w:usb0="E0002EFF" w:usb1="C000785B" w:usb2="00000009" w:usb3="00000001" w:csb0="400001FF" w:csb1="FFFF0000"/>
  </w:font>
  <w:font w:name="굴림">
    <w:panose1 w:val="020B0600000101010101"/>
    <w:family w:val="modern"/>
    <w:charset w:val="81"/>
    <w:notTrueType w:val="false"/>
    <w:sig w:usb0="B00002AF" w:usb1="69D77CFB" w:usb2="00000030" w:usb3="00000001" w:csb0="4008009F" w:csb1="DFD70000"/>
  </w:font>
  <w:font w:name="한양신명조">
    <w:panose1 w:val="00000000000000000000"/>
    <w:family w:val="roman"/>
    <w:altName w:val="바탕"/>
    <w:charset w:val="81"/>
    <w:notTrueType w:val="false"/>
    <w:sig w:usb0="00000001" w:usb1="09060000" w:usb2="00000010" w:usb3="00000000" w:csb0="00080000" w:csb1="00000000"/>
  </w:font>
  <w:font w:name="Arial">
    <w:panose1 w:val="020B0604020202020204"/>
    <w:family w:val="swiss"/>
    <w:charset w:val="00"/>
    <w:notTrueType w:val="false"/>
    <w:sig w:usb0="E0002EFF" w:usb1="C000785B" w:usb2="00000009" w:usb3="00000001"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34"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7"/>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uiPriority="99"/>
    <w:lsdException w:name="Medium Shading 2" w:uiPriority="100"/>
    <w:lsdException w:name="Medium List 1" w:uiPriority="101"/>
    <w:lsdException w:name="Medium List 2" w:uiPriority="102"/>
    <w:lsdException w:name="Medium Grid 1" w:uiPriority="103"/>
    <w:lsdException w:name="Medium Grid 2" w:uiPriority="104"/>
    <w:lsdException w:name="Medium Grid 3" w:uiPriority="105"/>
    <w:lsdException w:name="Dark List" w:uiPriority="112"/>
    <w:lsdException w:name="Colorful Shading" w:uiPriority="113"/>
    <w:lsdException w:name="Colorful List" w:uiPriority="114"/>
    <w:lsdException w:name="Colorful Grid" w:uiPriority="115"/>
    <w:lsdException w:name="Light Shading Accent 1" w:uiPriority="96"/>
    <w:lsdException w:name="Light List Accent 1" w:uiPriority="97"/>
    <w:lsdException w:name="Light Grid Accent 1" w:uiPriority="98"/>
    <w:lsdException w:name="Medium Shading 1 Accent 1" w:uiPriority="99"/>
    <w:lsdException w:name="Medium Shading 2 Accent 1" w:uiPriority="100"/>
    <w:lsdException w:name="Medium List 1 Accent 1" w:uiPriority="101"/>
    <w:lsdException w:name="Revision" w:semiHidden="1"/>
    <w:lsdException w:name="List Paragraph" w:uiPriority="52" w:qFormat="1"/>
    <w:lsdException w:name="Quote" w:uiPriority="41" w:qFormat="1"/>
    <w:lsdException w:name="Intense Quote" w:uiPriority="48" w:qFormat="1"/>
    <w:lsdException w:name="Medium List 2 Accent 1" w:uiPriority="102"/>
    <w:lsdException w:name="Medium Grid 1 Accent 1" w:uiPriority="103"/>
    <w:lsdException w:name="Medium Grid 2 Accent 1" w:uiPriority="104"/>
    <w:lsdException w:name="Medium Grid 3 Accent 1" w:uiPriority="105"/>
    <w:lsdException w:name="Dark List Accent 1" w:uiPriority="112"/>
    <w:lsdException w:name="Colorful Shading Accent 1" w:uiPriority="113"/>
    <w:lsdException w:name="Colorful List Accent 1" w:uiPriority="114"/>
    <w:lsdException w:name="Colorful Grid Accent 1" w:uiPriority="115"/>
    <w:lsdException w:name="Light Shading Accent 2" w:uiPriority="96"/>
    <w:lsdException w:name="Light List Accent 2" w:uiPriority="97"/>
    <w:lsdException w:name="Light Grid Accent 2" w:uiPriority="98"/>
    <w:lsdException w:name="Medium Shading 1 Accent 2" w:uiPriority="99"/>
    <w:lsdException w:name="Medium Shading 2 Accent 2" w:uiPriority="100"/>
    <w:lsdException w:name="Medium List 1 Accent 2" w:uiPriority="101"/>
    <w:lsdException w:name="Medium List 2 Accent 2" w:uiPriority="102"/>
    <w:lsdException w:name="Medium Grid 1 Accent 2" w:uiPriority="103"/>
    <w:lsdException w:name="Medium Grid 2 Accent 2" w:uiPriority="104"/>
    <w:lsdException w:name="Medium Grid 3 Accent 2" w:uiPriority="105"/>
    <w:lsdException w:name="Dark List Accent 2" w:uiPriority="112"/>
    <w:lsdException w:name="Colorful Shading Accent 2" w:uiPriority="113"/>
    <w:lsdException w:name="Colorful List Accent 2" w:uiPriority="114"/>
    <w:lsdException w:name="Colorful Grid Accent 2" w:uiPriority="115"/>
    <w:lsdException w:name="Light Shading Accent 3" w:uiPriority="96"/>
    <w:lsdException w:name="Light List Accent 3" w:uiPriority="97"/>
    <w:lsdException w:name="Light Grid Accent 3" w:uiPriority="98"/>
    <w:lsdException w:name="Medium Shading 1 Accent 3" w:uiPriority="99"/>
    <w:lsdException w:name="Medium Shading 2 Accent 3" w:uiPriority="100"/>
    <w:lsdException w:name="Medium List 1 Accent 3" w:uiPriority="101"/>
    <w:lsdException w:name="Medium List 2 Accent 3" w:uiPriority="102"/>
    <w:lsdException w:name="Medium Grid 1 Accent 3" w:uiPriority="103"/>
    <w:lsdException w:name="Medium Grid 2 Accent 3" w:uiPriority="104"/>
    <w:lsdException w:name="Medium Grid 3 Accent 3" w:uiPriority="105"/>
    <w:lsdException w:name="Dark List Accent 3" w:uiPriority="112"/>
    <w:lsdException w:name="Colorful Shading Accent 3" w:uiPriority="113"/>
    <w:lsdException w:name="Colorful List Accent 3" w:uiPriority="114"/>
    <w:lsdException w:name="Colorful Grid Accent 3" w:uiPriority="115"/>
    <w:lsdException w:name="Light Shading Accent 4" w:uiPriority="96"/>
    <w:lsdException w:name="Light List Accent 4" w:uiPriority="97"/>
    <w:lsdException w:name="Light Grid Accent 4" w:uiPriority="98"/>
    <w:lsdException w:name="Medium Shading 1 Accent 4" w:uiPriority="99"/>
    <w:lsdException w:name="Medium Shading 2 Accent 4" w:uiPriority="100"/>
    <w:lsdException w:name="Medium List 1 Accent 4" w:uiPriority="101"/>
    <w:lsdException w:name="Medium List 2 Accent 4" w:uiPriority="102"/>
    <w:lsdException w:name="Medium Grid 1 Accent 4" w:uiPriority="103"/>
    <w:lsdException w:name="Medium Grid 2 Accent 4" w:uiPriority="104"/>
    <w:lsdException w:name="Medium Grid 3 Accent 4" w:uiPriority="105"/>
    <w:lsdException w:name="Dark List Accent 4" w:uiPriority="112"/>
    <w:lsdException w:name="Colorful Shading Accent 4" w:uiPriority="113"/>
    <w:lsdException w:name="Colorful List Accent 4" w:uiPriority="114"/>
    <w:lsdException w:name="Colorful Grid Accent 4" w:uiPriority="115"/>
    <w:lsdException w:name="Light Shading Accent 5" w:uiPriority="96"/>
    <w:lsdException w:name="Light List Accent 5" w:uiPriority="97"/>
    <w:lsdException w:name="Light Grid Accent 5" w:uiPriority="98"/>
    <w:lsdException w:name="Medium Shading 1 Accent 5" w:uiPriority="99"/>
    <w:lsdException w:name="Medium Shading 2 Accent 5" w:uiPriority="100"/>
    <w:lsdException w:name="Medium List 1 Accent 5" w:uiPriority="101"/>
    <w:lsdException w:name="Medium List 2 Accent 5" w:uiPriority="102"/>
    <w:lsdException w:name="Medium Grid 1 Accent 5" w:uiPriority="103"/>
    <w:lsdException w:name="Medium Grid 2 Accent 5" w:uiPriority="104"/>
    <w:lsdException w:name="Medium Grid 3 Accent 5" w:uiPriority="105"/>
    <w:lsdException w:name="Dark List Accent 5" w:uiPriority="112"/>
    <w:lsdException w:name="Colorful Shading Accent 5" w:uiPriority="113"/>
    <w:lsdException w:name="Colorful List Accent 5" w:uiPriority="114"/>
    <w:lsdException w:name="Colorful Grid Accent 5" w:uiPriority="115"/>
    <w:lsdException w:name="Light Shading Accent 6" w:uiPriority="96"/>
    <w:lsdException w:name="Light List Accent 6" w:uiPriority="97"/>
    <w:lsdException w:name="Light Grid Accent 6" w:uiPriority="98"/>
    <w:lsdException w:name="Medium Shading 1 Accent 6" w:uiPriority="99"/>
    <w:lsdException w:name="Medium Shading 2 Accent 6" w:uiPriority="100"/>
    <w:lsdException w:name="Medium List 1 Accent 6" w:uiPriority="101"/>
    <w:lsdException w:name="Medium List 2 Accent 6" w:uiPriority="102"/>
    <w:lsdException w:name="Medium Grid 1 Accent 6" w:uiPriority="103"/>
    <w:lsdException w:name="Medium Grid 2 Accent 6" w:uiPriority="104"/>
    <w:lsdException w:name="Medium Grid 3 Accent 6" w:uiPriority="105"/>
    <w:lsdException w:name="Dark List Accent 6" w:uiPriority="112"/>
    <w:lsdException w:name="Colorful Shading Accent 6" w:uiPriority="113"/>
    <w:lsdException w:name="Colorful List Accent 6" w:uiPriority="114"/>
    <w:lsdException w:name="Colorful Grid Accent 6" w:uiPriority="115"/>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ChG">
    <w:name w:val="_ H _Ch_G"/>
    <w:basedOn w:val="a"/>
    <w:next w:val="a"/>
    <w:qFormat/>
    <w:pPr>
      <w:ind w:left="1134" w:right="1134" w:hanging="1134"/>
      <w:autoSpaceDE/>
      <w:autoSpaceDN/>
      <w:keepNext/>
      <w:keepLines/>
      <w:widowControl/>
      <w:suppressAutoHyphens/>
      <w:wordWrap/>
      <w:jc w:val="left"/>
      <w:suppressAutoHyphens/>
      <w:tabs>
        <w:tab w:val="right" w:pos="851"/>
      </w:tabs>
      <w:spacing w:after="240" w:before="360" w:line="300" w:lineRule="exact"/>
    </w:pPr>
    <w:rPr>
      <w:lang w:val="en-GB" w:eastAsia="en-US"/>
      <w:rFonts w:ascii="Times New Roman" w:hAnsi="Times New Roman" w:cs="Times New Roman"/>
      <w:b/>
      <w:sz w:val="28"/>
      <w:szCs w:val="20"/>
      <w:kern w:val="0"/>
    </w:rPr>
  </w:style>
  <w:style w:type="paragraph" w:customStyle="1" w:styleId="11">
    <w:name w:val="1.1"/>
    <w:basedOn w:val="a"/>
    <w:pPr>
      <w:snapToGrid w:val="0"/>
      <w:spacing w:after="200" w:line="408" w:lineRule="auto"/>
      <w:textAlignment w:val="baseline"/>
    </w:pPr>
    <w:rPr>
      <w:rFonts w:ascii="한양신명조" w:eastAsia="굴림" w:hAnsi="굴림" w:cs="굴림"/>
      <w:b/>
      <w:bCs/>
      <w:color w:val="000000"/>
      <w:w w:val="95"/>
      <w:sz w:val="24"/>
      <w:szCs w:val="24"/>
      <w:kern w:val="0"/>
      <w:spacing w:val="-6"/>
    </w:rPr>
  </w:style>
  <w:style w:type="paragraph" w:customStyle="1" w:styleId="a3">
    <w:name w:val="바탕글"/>
    <w:basedOn w:val="a"/>
    <w:pPr>
      <w:spacing w:after="0" w:line="384" w:lineRule="auto"/>
      <w:textAlignment w:val="baseline"/>
    </w:pPr>
    <w:rPr>
      <w:rFonts w:ascii="한양신명조" w:eastAsia="굴림" w:hAnsi="굴림" w:cs="굴림"/>
      <w:color w:val="000000"/>
      <w:sz w:val="30"/>
      <w:szCs w:val="30"/>
      <w:kern w:val="0"/>
    </w:rPr>
  </w:style>
  <w:style w:type="paragraph" w:customStyle="1" w:styleId="111">
    <w:name w:val="1.1.1"/>
    <w:basedOn w:val="a"/>
    <w:pPr>
      <w:ind w:firstLine="200"/>
      <w:snapToGrid w:val="0"/>
      <w:spacing w:after="140" w:line="408" w:lineRule="auto"/>
      <w:textAlignment w:val="baseline"/>
    </w:pPr>
    <w:rPr>
      <w:rFonts w:ascii="한양신명조" w:eastAsia="굴림" w:hAnsi="굴림" w:cs="굴림"/>
      <w:b/>
      <w:bCs/>
      <w:color w:val="000000"/>
      <w:w w:val="95"/>
      <w:sz w:val="22"/>
      <w:kern w:val="0"/>
      <w:spacing w:val="-6"/>
    </w:rPr>
  </w:style>
  <w:style w:type="paragraph" w:customStyle="1" w:styleId="1">
    <w:name w:val="표준1"/>
    <w:basedOn w:val="a"/>
    <w:pPr>
      <w:wordWrap/>
      <w:jc w:val="left"/>
      <w:spacing w:after="0" w:line="276" w:lineRule="auto"/>
      <w:textAlignment w:val="baseline"/>
    </w:pPr>
    <w:rPr>
      <w:rFonts w:ascii="Arial" w:eastAsia="굴림" w:hAnsi="굴림" w:cs="굴림"/>
      <w:color w:val="000000"/>
      <w:sz w:val="22"/>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lastClr="000000" val="windowText"/>
      </a:dk1>
      <a:lt1>
        <a:sysClr lastClr="FFFFFF" val="window"/>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mogefuser</dc:creator>
  <cp:keywords/>
  <dc:description/>
  <cp:lastModifiedBy/>
  <cp:revision>1</cp:revision>
  <dcterms:created xsi:type="dcterms:W3CDTF">2026-05-22T05:19:00Z</dcterms:created>
  <dcterms:modified xsi:type="dcterms:W3CDTF">2026-05-22T07:27:19Z</dcterms:modified>
  <cp:lastPrinted>2026-05-22T06:59:00Z</cp:lastPrinted>
  <cp:version>1000.0100.01</cp:version>
</cp:coreProperties>
</file>