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개인통보(2023): 마리아 시모나 벨리니 vs 이탈리아</w:t>
      </w:r>
    </w:p>
    <w:p>
      <w:pPr>
        <w:ind w:left="0" w:firstLine="0" w:hanging="0"/>
        <w:jc w:val="center"/>
      </w:pPr>
      <w:r>
        <w:rPr>
          <w:rFonts w:ascii="Times New Roman" w:hAnsi="굴림체" w:cs="굴림체" w:eastAsia="굴림체"/>
          <w:sz w:val="24"/>
        </w:rPr>
        <w:t>CRPD Individual Communication(2023): Maria Simona Bellini vs Italy</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개인통보(51/2018)</w:t>
      </w:r>
    </w:p>
    <w:p>
      <w:pPr>
        <w:ind w:left="0" w:firstLine="0" w:hanging="0"/>
        <w:jc w:val="right"/>
      </w:pPr>
      <w:r>
        <w:rPr>
          <w:rFonts w:ascii="Times New Roman" w:hAnsi="굴림체" w:cs="굴림체" w:eastAsia="굴림체"/>
          <w:sz w:val="24"/>
        </w:rPr>
        <w:t>CRPD/C/27/D/51/2018</w:t>
      </w:r>
    </w:p>
    <w:p>
      <w:pPr>
        <w:ind w:left="0" w:firstLine="0" w:hanging="0"/>
        <w:jc w:val="right"/>
      </w:pPr>
      <w:r>
        <w:rPr>
          <w:rFonts w:ascii="Times New Roman" w:hAnsi="굴림체" w:cs="굴림체" w:eastAsia="굴림체"/>
          <w:sz w:val="24"/>
        </w:rPr>
        <w:t>위반 -  통보인 자녀 및 파트너(제19조, 제23조 및 제28조와 제5조 연계), 통보인(제28조와 제5조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2023. 1. 27.</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마리아 시모나 벨리니(Maria Simona Bellini) (변호인 안드레아 사쿠치(Andrea Saccucci)가 대리함)</w:t>
      </w:r>
    </w:p>
    <w:p>
      <w:pPr>
        <w:ind w:left="0" w:firstLine="0" w:hanging="0"/>
        <w:jc w:val="left"/>
      </w:pPr>
      <w:r>
        <w:rPr>
          <w:rFonts w:ascii="Times New Roman" w:hAnsi="굴림체" w:cs="굴림체" w:eastAsia="굴림체"/>
          <w:sz w:val="24"/>
        </w:rPr>
        <w:t>피해자: 통보인, 레티지아 코스탄조(Letizia Constanzo, 살바토레 레티니(Salvatore Lentini)</w:t>
      </w:r>
    </w:p>
    <w:p>
      <w:pPr>
        <w:ind w:left="0" w:firstLine="0" w:hanging="0"/>
        <w:jc w:val="left"/>
      </w:pPr>
      <w:r>
        <w:rPr>
          <w:rFonts w:ascii="Times New Roman" w:hAnsi="굴림체" w:cs="굴림체" w:eastAsia="굴림체"/>
          <w:sz w:val="24"/>
        </w:rPr>
        <w:t>당사국: 이탈리아</w:t>
      </w:r>
    </w:p>
    <w:p>
      <w:pPr>
        <w:ind w:left="0" w:firstLine="0" w:hanging="0"/>
        <w:jc w:val="left"/>
      </w:pPr>
      <w:r>
        <w:rPr>
          <w:rFonts w:ascii="Times New Roman" w:hAnsi="굴림체" w:cs="굴림체" w:eastAsia="굴림체"/>
          <w:sz w:val="24"/>
        </w:rPr>
        <w:t>제출일: 2017-03-28</w:t>
      </w:r>
    </w:p>
    <w:p>
      <w:pPr>
        <w:ind w:left="0" w:firstLine="0" w:hanging="0"/>
        <w:jc w:val="left"/>
      </w:pPr>
      <w:r>
        <w:rPr>
          <w:rFonts w:ascii="Times New Roman" w:hAnsi="굴림체" w:cs="굴림체" w:eastAsia="굴림체"/>
          <w:sz w:val="24"/>
        </w:rPr>
        <w:t>참고문서: 위원회 절차규칙의 규칙 제70조에 따라 취한 결정, 2018년 4월 12일 당사국에 송부 (문서 형태로 발행되지 않음)</w:t>
      </w:r>
    </w:p>
    <w:p>
      <w:pPr>
        <w:ind w:left="0" w:firstLine="0" w:hanging="0"/>
        <w:jc w:val="left"/>
      </w:pPr>
      <w:r>
        <w:rPr>
          <w:rFonts w:ascii="Times New Roman" w:hAnsi="굴림체" w:cs="굴림체" w:eastAsia="굴림체"/>
          <w:sz w:val="24"/>
        </w:rPr>
        <w:t>채택일: 2022. 8. 26.</w:t>
      </w:r>
    </w:p>
    <w:p>
      <w:pPr>
        <w:ind w:left="0" w:firstLine="0" w:hanging="0"/>
        <w:jc w:val="left"/>
      </w:pPr>
      <w:r>
        <w:rPr>
          <w:rFonts w:ascii="Times New Roman" w:hAnsi="굴림체" w:cs="굴림체" w:eastAsia="굴림체"/>
          <w:sz w:val="24"/>
        </w:rPr>
        <w:t>주제: 장애인 가족 돌봄 제공자에 대한 법적 인정 및 사회적 지원 부족</w:t>
      </w:r>
    </w:p>
    <w:p>
      <w:pPr>
        <w:ind w:left="0" w:firstLine="0" w:hanging="0"/>
        <w:jc w:val="left"/>
      </w:pPr>
      <w:r>
        <w:rPr>
          <w:rFonts w:ascii="Times New Roman" w:hAnsi="굴림체" w:cs="굴림체" w:eastAsia="굴림체"/>
          <w:sz w:val="24"/>
        </w:rPr>
        <w:t>절차쟁점: 국내 구제절차의 소진, 주장의 소명</w:t>
      </w:r>
    </w:p>
    <w:p>
      <w:pPr>
        <w:ind w:left="0" w:firstLine="0" w:hanging="0"/>
        <w:jc w:val="left"/>
      </w:pPr>
      <w:r>
        <w:rPr>
          <w:rFonts w:ascii="Times New Roman" w:hAnsi="굴림체" w:cs="굴림체" w:eastAsia="굴림체"/>
          <w:sz w:val="24"/>
        </w:rPr>
        <w:t>본안쟁점: 평등 및 비차별, 인식 제고, 법 앞의 동등한 인정, 착취, 폭력 및 학대로부터의 자유, 자립 생활 및 지역사회에 동참, 가족에 대한 존중, 건강, 적정한 생활수준과 사회적 보호</w:t>
      </w:r>
    </w:p>
    <w:p>
      <w:pPr>
        <w:ind w:left="0" w:firstLine="0" w:hanging="0"/>
        <w:jc w:val="left"/>
      </w:pPr>
      <w:r>
        <w:rPr>
          <w:rFonts w:ascii="Times New Roman" w:hAnsi="굴림체" w:cs="굴림체" w:eastAsia="굴림체"/>
          <w:sz w:val="24"/>
        </w:rPr>
        <w:t>관련조항: 제5조, 제8조, 제12조, 제16조, 제19조, 제23조, 제25조, 제28조</w:t>
      </w:r>
    </w:p>
    <w:p>
      <w:pPr>
        <w:ind w:left="0" w:firstLine="0" w:hanging="0"/>
        <w:jc w:val="left"/>
      </w:pPr>
      <w:r>
        <w:rPr>
          <w:rFonts w:ascii="Times New Roman" w:hAnsi="굴림체" w:cs="굴림체" w:eastAsia="굴림체"/>
          <w:sz w:val="24"/>
        </w:rPr>
        <w:t>선택의정서 관련조항: 제2조 제d호 및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51/2018</w:t>
      </w:r>
    </w:p>
    <w:p>
      <w:pPr>
        <w:ind w:left="0" w:firstLine="0" w:hanging="0"/>
        <w:jc w:val="left"/>
      </w:pPr>
      <w:r>
        <w:rPr>
          <w:rFonts w:ascii="Times New Roman" w:hAnsi="굴림체" w:cs="굴림체" w:eastAsia="굴림체"/>
          <w:sz w:val="24"/>
        </w:rPr>
        <w:t>1. 통보인은 마리아 시모나 베리니(Maria Simona Bellini)로서 1957년생 이탈리아 국민이다. 통보인은 딸인 1988년생 레티지아 코스타노조(Letizia Costanzo)과 파트너(partner)인 1956년생 살바토레 렌티니(Salvatore Lentini)에 대한 가족 돌봄 제공자이다. 레티지아 코스타노조와 살바토레 렌티니 모두 이탈리아 국민이며 장애인이다. 통보인은 본인과, 본인의 딸, 본인의 파트너를 대리해서 개인 통보를 제출했다. 통보인은 이탈리아의 법률 시스템이 가족 돌봄 제공자를 위한 어떠한 법적 지위나 보호를 제공하지 않고 있으며, 이는 협약의 제5조, 제8조, 제12조, 제16조, 제19조, 제23조, 제25조, 제28조를 위반하는 것이라고 주장했다. 협약 선택의정서는 2009년 6월 14일부로 당사국에서 발효되었다. 변호사가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자신의 딸 콘스탄조(Ms. Constanzo)와 파트너 렌티니(Mr. Lentini)의 돌봄 제공자이다. 통보인의 딸은 단두증(brachycephaly), 전신성 근력저하를 동반한 사지마비(quadriplegia with generalized hypotony), 근간대성 뇌전증(myoclonic epilepsy), 지적 장애, 식이 및 수면 장애, 운동실조증(ataxia), 언어 능력의 전반적 결여, 주기성 구토 증후군, 통제 불가능한 침 흘림, 그리고 자해 행동을 진단받았다. 통보인은 딸의 개인 위생, 투약, 자세 변경, 식사, 재활 보조기구 이용, 집안 청소, 침실 일간 정리, 야간 돌봄 등 딸의 일상 생활 전부를 돌봐주고 있다. 또한 통보인은 평일 오전 9:30부터 14:30까지, 그리고 토요일 9:30부터 12:00까지 딸을 특수 주간 센터에 데려가서 돌봐주고 있다. 밤에도 종종 딸을 보기 위해 깨어 있어야 하며 간질 발작이나 심한 구토 상황을 처리해야 한다. 또한 그녀의 딸이 자해 문제가 있고 이로 인해 혀나 손을 깨물어 몇 차례의 재건 수술을 받았기 때문에 통보인은 심지어 야간에도 종종 딸이 손을 깨물지 못하도록 해야만 한다.</w:t>
      </w:r>
    </w:p>
    <w:p>
      <w:pPr>
        <w:ind w:left="0" w:firstLine="0" w:hanging="0"/>
        <w:jc w:val="left"/>
      </w:pPr>
      <w:r>
        <w:rPr>
          <w:rFonts w:ascii="Times New Roman" w:hAnsi="굴림체" w:cs="굴림체" w:eastAsia="굴림체"/>
          <w:sz w:val="24"/>
        </w:rPr>
        <w:t>2.2 지난 10년간 통보인은 파트너에 대한 돌봄도 부담해야 했다. 2007년 서로 관계를 맺은 지 5년이 지난 시점에 통보인의 파트너는 뇌출혈로 의식불명 상태에 빠졌었다. 그로 인하여 파트너의 건강은 심각한 상태에 이르렀다. 또한 파트너는 당뇨병, 고혈압, 대뇌 운동실조(cerebral ataxia) 진단을 받고 균형감과 운동감 상실, 기억력 감퇴, 우울증에 시달리고 있다. 그는 위생 관리, 투약, 식사, 보행 이동에 있어 계속적인 지원이 필요한 상황이다.</w:t>
      </w:r>
    </w:p>
    <w:p>
      <w:pPr>
        <w:ind w:left="0" w:firstLine="0" w:hanging="0"/>
        <w:jc w:val="left"/>
      </w:pPr>
      <w:r>
        <w:rPr>
          <w:rFonts w:ascii="Times New Roman" w:hAnsi="굴림체" w:cs="굴림체" w:eastAsia="굴림체"/>
          <w:sz w:val="24"/>
        </w:rPr>
        <w:t>2.3 통보인은 또한 지방자치단체, 사회복지부, 병원, 학교, 재활 센터, 금융기관, 자립 센터와 같은 기관과의 모든 관련 업무를 관리하여 자신의 딸과 파트너가 서비스, 수당 지급, 가족 지원, 방문 및 의료 서비스를 제공받을 수 있도록 지원해야 한다. 또한 다양한 행정적인 절차의 요구 사항에도 대응해야 한다.</w:t>
      </w:r>
    </w:p>
    <w:p>
      <w:pPr>
        <w:ind w:left="0" w:firstLine="0" w:hanging="0"/>
        <w:jc w:val="left"/>
      </w:pPr>
      <w:r>
        <w:rPr>
          <w:rFonts w:ascii="Times New Roman" w:hAnsi="굴림체" w:cs="굴림체" w:eastAsia="굴림체"/>
          <w:sz w:val="24"/>
        </w:rPr>
        <w:t>2.4 통보인은 장애 문제와 관련한 의료적, 법적 지식을 쌓기 위해 추가적인 시간과 노력을 기울인다. 통보인은 지속적으로 필요한 수입을 얻기 위해 재택근무를 통해 집에서 일을 한다. 2013년부터 자녀와 파트너에게 필수적인 지원과 사무실 업무를 양립할 수 없었기 때문에 통보인에게 재택근무가 허용되었다. 그러나 2017년 1월 통보인의 재택근무 권한이 취소되어 더 이상 일을 할 수 없게 되었다.</w:t>
      </w:r>
    </w:p>
    <w:p>
      <w:pPr>
        <w:ind w:left="0" w:firstLine="0" w:hanging="0"/>
        <w:jc w:val="left"/>
      </w:pPr>
      <w:r>
        <w:rPr>
          <w:rFonts w:ascii="Times New Roman" w:hAnsi="굴림체" w:cs="굴림체" w:eastAsia="굴림체"/>
          <w:sz w:val="24"/>
        </w:rPr>
        <w:t>2.5 통보인은 선택의정서 제1조에 따르면 위원회는 당사국의 협약 조항 위반으로 인한 피해자라고 주장하는 개인 또는 집단으로부터 또는 그들을 대리하여 통보를 접수하고 심리할 권한이 있음을 주목한다. 통보인은 선택의정서 1조에 따르면, 본인은 또한 장애인의 가족 돌봄제공자로서 진정을 제기할 자격이 있다고 주장한다. 이는 다음과 같은 3개의 연결된 논거를 기반으로 한다. (a) 돌봄 제공자로서의 본인과 장애인 사이에는 근본적인 연결 관계가 존재한다. (b) 어떠한 법률적 인정도 받지 못하는 돌봄 행위는 차별의 한 형태이다. (c) 돌봄은 핵심적인 인권이다.</w:t>
      </w:r>
    </w:p>
    <w:p>
      <w:pPr>
        <w:ind w:left="0" w:firstLine="0" w:hanging="0"/>
        <w:jc w:val="left"/>
      </w:pPr>
      <w:r>
        <w:rPr>
          <w:rFonts w:ascii="Times New Roman" w:hAnsi="굴림체" w:cs="굴림체" w:eastAsia="굴림체"/>
          <w:sz w:val="24"/>
        </w:rPr>
        <w:t>2.6 통보인은 또한 2007년 설립된 전국중증장애인가족협회(이하 ‘협회’)의 대표를 역임하고 있다. 이 협회는 모든 장애인과 가족 돌봄 제공자들의 권리 증진을 위한 활동을 하고 있으며, 법률, 행정 절차, 돌봄과 시설에 대한 광범위한 지식을 장려하고 가족과 기관 간의 소통을 강화하는 것을 목표로 한다. 지난 10년 동안, 협회는 당사국에 가족 돌봄 제공자에 대한 법적 보호를 요구하는 몇 가지 사업을 진행해 왔다. 협회는 20만 명의 서명을 받아 가족 돌봄 제공자의 지위와 자격에 관한 법안 마련 요청을 위해 이탈리아 의회에 청원을 제출하기도 했다. 협회의 지원을 통해, 통보인과 다른 가족 돌봄 제공자들은 국가사회보장연구소를 대상으로 사회보장급여 지급을 청구하는 소송을 제기했다. 그러나 밀라노와 로마의 법원은 소송을 기각했다. 지난 10년 동안, 가족 돌봄 제공자에 관한 몇 건의 법안이 의회 상하 양원에 제출되었으나 심사가 마무리되지 않았고 발효된 법안도 없는 상태이다.</w:t>
      </w:r>
    </w:p>
    <w:p>
      <w:pPr>
        <w:ind w:left="0" w:firstLine="0" w:hanging="0"/>
        <w:jc w:val="left"/>
      </w:pPr>
      <w:r>
        <w:rPr>
          <w:rFonts w:ascii="Times New Roman" w:hAnsi="굴림체" w:cs="굴림체" w:eastAsia="굴림체"/>
          <w:sz w:val="24"/>
        </w:rPr>
        <w:t>2.7 국내 입법자들의 무대응으로 인해 협회는 약 3만 명의 개인과 함께 유럽 의회에도 청원을 제출했다. 그 결과 공청회가 2015년 9월 17일에 개최되었고 이 문제에 대한 많은 관심을 불러일으켰다. 공청회 이후 청원위원회 의장이 청원 요청에 대한 정부 당국의 반응을 듣기 위하여 이탈리아 보건부 장관에게 서한을 발송했다.</w:t>
      </w:r>
    </w:p>
    <w:p>
      <w:pPr>
        <w:ind w:left="0" w:firstLine="0" w:hanging="0"/>
        <w:jc w:val="left"/>
      </w:pPr>
      <w:r>
        <w:rPr>
          <w:rFonts w:ascii="Times New Roman" w:hAnsi="굴림체" w:cs="굴림체" w:eastAsia="굴림체"/>
          <w:sz w:val="24"/>
        </w:rPr>
        <w:t>2.8 통보인은 현재 당사국의 법률 시스템이 지원 연금, 배상금, 질병 보험과 관련해 가족 돌봄 제공자에게 어떤 법적 보호도 제공하지 못하고 있다고 주장한다. 법적 인정의 부재 및 지원의 부족으로 인해 통보인과 같은 가족 돌봄 제공자들은 건강, 재정, 사회 경제적 상황, 개인 및 사회 생활에 심각한 결과를 경험할 위기에 처해 있다. 법적 인정의 부재 때문에, 통보인은 빈곤화 과정의 피해자가 되었다. 그녀는 자녀와 파트너에게 제공하는 돌봄에 대한 보상이나 경제적 지원을 받을 수 있는 자격이 없다. 당사국에서 인정한 유일한 형태의 돌봄 수당은 장애인을 위한 매우 적은 수당이 전부다. 통보인은 집에서 자녀와 파트너를 돌봐야 하는 상황이지만 더 이상 재택근무를 할 수 없기 때문에 직장을 잃고 수입도 끊어지게 될 것이라는 점에 주목한다. 또한 통보인은 가족 돌봄 제공자로서 돌봄 제공과 관련한 직간접적인 비용을 감당해야 한다는 점도 언급한다. 게다가 통보인이 더 이상 일을 할 수 없고 소득이 없다는 사실은 장기적으로 통보인의 연금 수급 자격에도 영향을 미치게 될 것이다.</w:t>
      </w:r>
    </w:p>
    <w:p>
      <w:pPr>
        <w:ind w:left="0" w:firstLine="0" w:hanging="0"/>
        <w:jc w:val="left"/>
      </w:pPr>
      <w:r>
        <w:rPr>
          <w:rFonts w:ascii="Times New Roman" w:hAnsi="굴림체" w:cs="굴림체" w:eastAsia="굴림체"/>
          <w:sz w:val="24"/>
        </w:rPr>
        <w:t>2.9 통보인은 이러한 입법 공백으로 인해 협약에 따른 본인과 본인의 가족들의 권리 침해를 구제할 수 있는 효과적인 국내 구제책이 없다고 주장한다. 즉, 가족 돌봄 제공자의 권리가 인정되지 않기 때문에, 다른 일반적인 구제 절차를 이행하는 것은 실효적이지 않다는 것이다.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가족 돌봄 제공자의 법적 인정 및 지원 부족으로 인하여 협약 제5조, 제8조, 제12조, 제16조, 제19조, 제23조, 제25조, 제28조에 따른 본인, 본인의 딸, 그리고 본인의 파트너의 권리가 침해되는 결과에 이르게 되었다고 주장한다.</w:t>
      </w:r>
    </w:p>
    <w:p>
      <w:pPr>
        <w:ind w:left="0" w:firstLine="0" w:hanging="0"/>
        <w:jc w:val="left"/>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3.2 통보인은 이탈리아 법률 체계의 특징적인 법적 공백으로 인하여 가족 돌봄 제공자가 협약 제5조를 위반하는 ‘연계 차별’에 취약하게 노출되어 있다고 주장한다. 통보인은 본인이 돌보고 있는 가족들과 긴밀한 관계를 맺고 있으며, 이로 인하여 재택근무 권한이 취소되고 일자리를 잃을 가능성이 있는 등 노동시장에서 차별을 경험했다고 주장했다. 통보인은 유급 노동과 돌봄 활동을 동시에 병행하는 것은 돌봄 제공자에게는 어려운 일이고, 이로 인해 돌봄 제공자들은 시간제 일자리를 선택하거나 노동 시장을 완전히 떠날 수 밖에 없으며, 그 결과 해당 가족에게 심각한 재정적 곤란과 비용이 발생한다고 덧붙인다. 통보인은 또한 대부분의 가족 돌봄 제공자가 여성이기 때문에 이에 따라 발생하는 성차별에 직면하고 있다고 주장했다. 통보인은 당사국이 장애인과 가족에게 혜택을 줄 수 있는 구체적인 방안과 적극적 조치를 포함하여 차별을 근절하고 실질적 평등을 달성할 수 있도록 하기 위한 모든 적절한 조치를 취할 의무가 있다고 주장한다.</w:t>
      </w:r>
    </w:p>
    <w:p>
      <w:pPr>
        <w:ind w:left="0" w:firstLine="0" w:hanging="0"/>
        <w:jc w:val="left"/>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3.3 통보인은 개인통보의 사실관계 중 가족 돌봄 제공자들에 대한 전문적인 상담, 정보, 기술에 대한 공식적인 인정이 결여된 상황이 협약 제8조 침해에 해당한다고 주장한다. 통보인은 관계 당국으로부터 돌봄 제공자로서 자신의 역할을 완수하는데 도움이 될 수 있는 정보, 특히 사회적 혜택과 가정 내의 사회 및 의료 서비스에 대한 접근 기준과 관련하여 어떠한 정보도 제공받지 못했다고 주장한다. 통보인은 가족 돌봄 제공자가 돌봄에 대한 인식 개선과 선택의 자유를 보장하고 구체적이며 질 높은 지원을 제공하기 위해 장애인의 요구를 해결하는 방법에 대한 전문적인 상담이 필요하다고 주장한다. 그러나 가족 돌봄 제공자는 종종 기관지 장비와 음식물 튜브 교체, 비강 기관 호흡이나 심폐소생술 시행과 같은 의료 활동 수행에 관련된 관계 당국의 지원이나 도움 없이 방치되는 경우가 많다. 통보인은 당사국이 가정에서 제공하는 돌봄의 질을 높이고 전국적으로 돌봄 제공자의 역량을 표준화 핳 수 있는 특별 교육 프로그램을 수립해야 한다고 주장한다.</w:t>
      </w:r>
    </w:p>
    <w:p>
      <w:pPr>
        <w:ind w:left="0" w:firstLine="0" w:hanging="0"/>
        <w:jc w:val="left"/>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3.4 통보인은 당사국이 가족 돌봄 제공자의 지위를 인정하지 않는 것은 협약 제12조 위반에 해당한다고 주장한다. 통보인은 지역사회에 살 수 있는 권리에 대한 12조의 해석적 의미는 법적 능력 행사에 대한 지원이 지역사회 기반 접근 방식 전반에 걸쳐 제공되어야 하는 것이라고 주장 한다. 마찬가지로 가족 돌봄 제공자의 주요 역할이 인정받는 것이 중요하며, 이러한 접근법을 통해서만 지역사회에서 장애인의 완전환 통합과 참여가 가능할 수 있을 것이다. 나아가 통보인은 그녀의 가족과 같은 상황 속에서 가족 돌봄 제공자의 법적 능력 행사가 이루어져야 하나 당사국의 법률 시스템은 이들의 지위나 역할을 인정하지 않고 있으며 이들의 역할 수행을 위한 구체적인 훈련, 지원, 준비가 제공되지 않는다고 주장한다.</w:t>
      </w:r>
    </w:p>
    <w:p>
      <w:pPr>
        <w:ind w:left="0" w:firstLine="0" w:hanging="0"/>
        <w:jc w:val="left"/>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3.5 통보인은 당사국이 돌봄 제공자에게 직업, 돌봄 제공, 가족 생활을 조화롭게 영위할 수 있는 구체적인 예방 조치를 마련하지 않음으로 인하여 가족 돌봄 제공자의 정신적, 신체적 소진을 예방하지 못하고 있으며, 이는 협약 제16조에 위배된다고 주장한다. 통보인은 만약 가족 돌봄 제공자가 지원을 받는 대상의 욕구를 완벽하게 충족시키지 못하는 상황에 놓인다면 피해자를 방임하거나 학대하는 위험에 이를 수 있다는 점을 강조한다.</w:t>
      </w:r>
    </w:p>
    <w:p>
      <w:pPr>
        <w:ind w:left="0" w:firstLine="0" w:hanging="0"/>
        <w:jc w:val="left"/>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3.6 통보인은 가족 돌봄 제공자의 법적 인정이 이루어지지 않는 것은 장애인과 그 가족들의 지역사회에서 자립 생활을 영위하고 사회의 완전한 통합에 참여할 수 있는 권리에 심각한 결과를 초래할 것이며 이는 권리협약 19조의 권리를 침해하는 것이라고 주장한다. 통보인은 제19조의 조문에 따라 장애인은 어디에서 누구와 함께 살지를 결정할 권리가 있으며, 특정 주거 형태를 취할 것을 강요받지 않아야 한다고 주장한다. 통보인은 장애인과 가족이 자신들의 삶을 결정하고 구체적인 요구에 따라 지원을 받을 권리가 있다고 주장한다. 자립 생활의 보호와 지역사회 통합을 위해서 당사국은 가족, 특히 돌봄 제공자를 지원하는 서비스를 제공해야 한다. 지원은 단순히 수당 지급으로 축소되어서는 안 되지만, 통보인은 당사국이 이조차도 제공하지 않는다고 강조한다. 가족 돌봄 제공자들은 경제적 지원을 받을 자격이 인정되지 않고, 장애인 당사자에게만 소액의 돌봄 수당이 지급될 뿐이다. 통보인은 본인의 가족들이 적정한 가격의 주간 보호 서비스, 가정 도움 서비스, 임시 간호, 야간 간호, 지도와 상담, 교육과 기술 개발이 필요하다는 점을 주목한다.</w:t>
      </w:r>
    </w:p>
    <w:p>
      <w:pPr>
        <w:ind w:left="0" w:firstLine="0" w:hanging="0"/>
        <w:jc w:val="left"/>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3.7 통보인은 또한 당사국이 장애인 가족들이 필요한 지원에 접근할 수 있도록 하는 구체적인 경제적, 사회적, 그 외 기타 자원을 제공하지 않으며, 이는 협약 제23조 위반이라고 주장한다. 통보인은 협약 제23조는 장애인이 시설이 아닌 가족과 함께 거주할 수 있도록 장애인의 욕구에 따라 다양한 형태의 재정적 지원을 제공할 의무를 당사국에 부과하고 있다는 입장을 견지한다. 통보인은 본인의 가족을 지원할 수 있는 적절한 조치가 부족한 것은 협약 제23조 위반에 해당한다고 주장한다.</w:t>
      </w:r>
    </w:p>
    <w:p>
      <w:pPr>
        <w:ind w:left="0" w:firstLine="0" w:hanging="0"/>
        <w:jc w:val="left"/>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3.8 통보인은 또한 당사국의 법률 체계가 의료 시스템 안에서 가족 돌봄 제공자의 역할을 인정하고 있지 않기 때문에 협약 제25조에 따라 본인과 가족의 권리가 침해 받았다고 주장한다. 통보인은 장애인의 의료에 대한 욕구에 대응하기 위해서는 가족 돌봄 제공자와 의료 전문가의 조화로운 협력이 필요하다고 주장한다.</w:t>
      </w:r>
    </w:p>
    <w:p>
      <w:pPr>
        <w:ind w:left="0" w:firstLine="0" w:hanging="0"/>
        <w:jc w:val="left"/>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3.9 통보인은 또한 당사국이 가족 돌봄 제공자를 위한 어떤 형태의 사회적 보호나 보험을 인정하지 않음으로써 협약 제28조를 위반한다고 주장한다. 또한 통보인과 같이 돌봄 활동으로 인해 실직하는 경우 어떠한 형태의 사회적 혜택도 제공되지 않는다. 그 결과 통보인은 장애인 가족은 높은 수준의 빈곤 위험에 직면하게 된다고 주장한다. 이런 이유로 인해, 이들은 특히 자원, 시간, 서비스 형태의 사회적 보호가 필요하다. 통보인은 장애인과 그 가족의 생활 여건을 개선하기 위한 조치는 비용 지출에 대한 보상, 보다 적정한 가격의 주택, 재정적으로 접근 가능한 돌봄 서비스, 세금 우대 적용, 유연한 근무 시간 및 집에서 가까운 직장에 대한 접근, 연금 제도에서 돌봄 제공자의 지위 인정, 직장 내 차별 및 부당한 해고로부터 보호 등 다양한 형태를 취할 수 있다는 점을 주목한다. 그러나 통보인은 당사국 안에 이러한 조치 중 어느 것도 당사국에서 제공되지 않으며 가족을 대상으로 한 적절한 사회보장제도도 제공되지 않는다는 점에 주목한다.</w:t>
      </w:r>
    </w:p>
    <w:p>
      <w:pPr>
        <w:ind w:left="0" w:firstLine="0" w:hanging="0"/>
        <w:jc w:val="left"/>
      </w:pPr>
      <w:r>
        <w:rPr>
          <w:rFonts w:ascii="Times New Roman" w:hAnsi="굴림체" w:cs="굴림체" w:eastAsia="굴림체"/>
          <w:sz w:val="24"/>
        </w:rPr>
        <w:t>요청된 구제 조치</w:t>
      </w:r>
    </w:p>
    <w:p>
      <w:pPr>
        <w:ind w:left="0" w:firstLine="0" w:hanging="0"/>
        <w:jc w:val="left"/>
      </w:pPr>
      <w:r>
        <w:rPr>
          <w:rFonts w:ascii="Times New Roman" w:hAnsi="굴림체" w:cs="굴림체" w:eastAsia="굴림체"/>
          <w:sz w:val="24"/>
        </w:rPr>
        <w:t>3.10 통보인은 위원회가 당사국이 협약 제5호, 제8호, 제12호, 제16호, 제19호, 제23호, 제25호, 제28조에 따른 의무를 위반하였음을 선언하고, 위원회의 조사 결과를 준수하고 통보인의 가족에게 보상금과 더불어 진정 과정에서 발생한 모든 법적 비용의 상환하여 주는 것을 포함하여 효과적인 구제책을 제공하기 위해 필요한 모든 조치를 취할 것을 권고해 달라고 요청한다.</w:t>
      </w:r>
    </w:p>
    <w:p>
      <w:pPr>
        <w:ind w:left="0" w:firstLine="0" w:hanging="0"/>
        <w:jc w:val="center"/>
      </w:pPr>
      <w:r>
        <w:rPr>
          <w:rFonts w:ascii="Times New Roman" w:hAnsi="굴림체" w:cs="굴림체" w:eastAsia="굴림체"/>
          <w:sz w:val="24"/>
        </w:rPr>
        <w:t>심리적격과 본안에 대한 당사국의 견해</w:t>
      </w:r>
    </w:p>
    <w:p>
      <w:pPr>
        <w:ind w:left="0" w:firstLine="0" w:hanging="0"/>
        <w:jc w:val="left"/>
      </w:pPr>
      <w:r>
        <w:rPr>
          <w:rFonts w:ascii="Times New Roman" w:hAnsi="굴림체" w:cs="굴림체" w:eastAsia="굴림체"/>
          <w:sz w:val="24"/>
        </w:rPr>
        <w:t>4.1 2018년 6월 12일과 10월 12일에 당사국은 통보의 심리적격과 본안에 관한 견해를 제출했다. 당사국은 통보 내용이 명백히 근거가 없고 국내 구제절차를 소진하지 못했으므로 심리부적격으로 선언되어야 한다고 진술한다.</w:t>
      </w:r>
    </w:p>
    <w:p>
      <w:pPr>
        <w:ind w:left="0" w:firstLine="0" w:hanging="0"/>
        <w:jc w:val="left"/>
      </w:pPr>
      <w:r>
        <w:rPr>
          <w:rFonts w:ascii="Times New Roman" w:hAnsi="굴림체" w:cs="굴림체" w:eastAsia="굴림체"/>
          <w:sz w:val="24"/>
        </w:rPr>
        <w:t>4.2 당사국은 통보인이 협회의 지원을 받아 밀라노와 로마의 법원에서 국가사회보장연구소를 상대로 사회보장 및 사회 급여 지급을 청구하는 소송을 제기한 사실에 주목한다. 당사국은 두 법원이 2014년 7월 15일과 10월 14일에 소송을 각각 기각한 점에 주목한다. 당사국은 국내 구제절차를 소진하기 위해 통보인이 위 법원의 판결에 대하여 항소했었어야 한다고 주장한다. 당사국은 또한 재택근무 권한을 박탈당하고 노동시장에서 차별을 받았다는 통보인의 주장에 관하여, 통보인은 2006년 3월 1일에 제정된 법률 제67호(차별의 피해자인 장애인의 사법적 보호를 위한 조항)에 따라서 ‘사법적 보호 조치’를 청구했어야 한다고 주장한다.</w:t>
      </w:r>
    </w:p>
    <w:p>
      <w:pPr>
        <w:ind w:left="0" w:firstLine="0" w:hanging="0"/>
        <w:jc w:val="left"/>
      </w:pPr>
      <w:r>
        <w:rPr>
          <w:rFonts w:ascii="Times New Roman" w:hAnsi="굴림체" w:cs="굴림체" w:eastAsia="굴림체"/>
          <w:sz w:val="24"/>
        </w:rPr>
        <w:t>4.3 진정의 본안과 관련해서 당사국은 국내법에 따라 다양한 형태의 보호 조치가 제공되고 있다고 제시한다. 첫째, 1992년 2월 5일 제정된 법률 제104호(장애인의 지원, 사회 통합, 권리에 관한 법률)의 제33조에 따라 중증장애인 가족을 지원하는 민간 또는 공공 고용인을 위한 3일간의 유급 휴가. 둘째, 2001년 3월 26일 제정된 시행령(Legislative Decree) 제151호의 제42조에 따라 장애인을 지원하는 직원을 위해 2년 동안 회사가 제공하는 특별 유급 휴가 조치. 돌봄 제공자는 마지막으로 수령한 임금에 따라 수당을 받을 수 있고 휴가 기간은 사회 보장 제도를 통해 보장받는다. 셋째, 2006년 12월 27일 제정된 법률 제296호의 제1조에 따른 수급자에게 지원되는 기금으로, 장애인 가족을 지원한다. 이 규정에 따라 재가 돌봄 및 지원 서비스 구매를 위한 재정적 지원이 제공될 뿐만 아니라 임시 돌봄을 위한 생활 보호 시설에 입소할 수도 있다. 넷째, 2017년 12월 27일에 제정된 법률 제205호 제1조에 따라 수립된 ‘가족 돌봄 제공자의 돌봄과 활동보조 지원을 위한 기금’이 있으며, 이 기금에 따라 가족 돌봄 제공자의 사회적, 경제적 가치를 인정하는 목적의 입법적 개입 비용을 충당하기 위해 2018년, 2019년, 2020년에 연간 2천만 유로의 비용이 집행되었다. 다섯째, 장애 아동의 부모에게 최대 3년의 장기 육아 휴직이 제공되는 시행령 제151호가 있다.</w:t>
      </w:r>
    </w:p>
    <w:p>
      <w:pPr>
        <w:ind w:left="0" w:firstLine="0" w:hanging="0"/>
        <w:jc w:val="center"/>
      </w:pPr>
      <w:r>
        <w:rPr>
          <w:rFonts w:ascii="Times New Roman" w:hAnsi="굴림체" w:cs="굴림체" w:eastAsia="굴림체"/>
          <w:sz w:val="24"/>
        </w:rPr>
        <w:t>심리적격과 본안에 관한 당사국 견해에 대한 통보인의 의견</w:t>
      </w:r>
    </w:p>
    <w:p>
      <w:pPr>
        <w:ind w:left="0" w:firstLine="0" w:hanging="0"/>
        <w:jc w:val="left"/>
      </w:pPr>
      <w:r>
        <w:rPr>
          <w:rFonts w:ascii="Times New Roman" w:hAnsi="굴림체" w:cs="굴림체" w:eastAsia="굴림체"/>
          <w:sz w:val="24"/>
        </w:rPr>
        <w:t>5.1 2018년 12월 21일, 통보인은 심리적격과 본안에 대한 당사국 견해에 대해 의견을 제출했다. 통보인은 통보가 심리적격이라고 주장한다.</w:t>
      </w:r>
    </w:p>
    <w:p>
      <w:pPr>
        <w:ind w:left="0" w:firstLine="0" w:hanging="0"/>
        <w:jc w:val="left"/>
      </w:pPr>
      <w:r>
        <w:rPr>
          <w:rFonts w:ascii="Times New Roman" w:hAnsi="굴림체" w:cs="굴림체" w:eastAsia="굴림체"/>
          <w:sz w:val="24"/>
        </w:rPr>
        <w:t>5.2 국내 구제절차 소진과 관련해서 통보인은 통보에서 제기된 주장은 국내법으로부터 직접적으로 비롯된 것이거나 혹은 더 정확하게 말하자면 당사국이 가족 돌봄 제공자의 역할을 인정하는데 있어 적절한 법적 틀을 제공하지 못한 데에서 비롯된 것이라고 강조한다. 통보인은 이러한 이유로 선택의정서 제2조제d호의 의미에 비추어 당사국의 어떠한 사법적 매커니즘도 효과적인 것으로 간주할 수 없다고 주장한다.</w:t>
      </w:r>
    </w:p>
    <w:p>
      <w:pPr>
        <w:ind w:left="0" w:firstLine="0" w:hanging="0"/>
        <w:jc w:val="left"/>
      </w:pPr>
      <w:r>
        <w:rPr>
          <w:rFonts w:ascii="Times New Roman" w:hAnsi="굴림체" w:cs="굴림체" w:eastAsia="굴림체"/>
          <w:sz w:val="24"/>
        </w:rPr>
        <w:t>5.3 통보인은 2014년 2월 3일, 26일 각각 밀라노와 로마 법원에 본인과 다른 가족 돌봄 제공자들이 소송을 제기한 사실을 언급하며 당사국이 가족 돌봄 제공자들에게 사회보장급여를 지급해야 한다고 주장했다. 통보인은 돌봄 제공자로서 수행하는 업무 활동에 대해 어떤 형태로든 법적으로 인정받기 위해 소송을 제기했다고 언급한다. 통보인은 법원에 법적으로 보호를 받고 있는 다른 사회 서비스 제공자에게 적용되는 규정을 가족 돌봄 제공자에게도 확대 적용할 것을 요구했다. 특히, 통보인은 사회보장제도와 수당의 지급뿐만 아니라 사고, 질병 및 제3자 배상책임에 대한 보험 가입을 의무화할 것을 주장했다. 2014년 7월 15일 밀라노 법원은 판결문을 통해 이탈리아 법률 제도의 구조적인 문제가 있다는 점을 명백하게 인정하며, “제기된 문제에 사법 당국이 관심을 가져야 하며 해당 문제의 내용과 범위를 고려했을 때, 의회에서 해결해야 한다.”는 입장을 전했다. 법원은 또한 가족 돌봄 제공자의 법적 지위가 법률에 보장되지 않으며 “판결을 통해 법적 지위를 창설할 수는 없다.”라고 했다. 결과적으로 통보인은 항소가 성공할 가능성이 전혀 없었다고 주장한다. 통보인은 유럽인권재판소의 올리에리 외 vs 이탈리아(Oliari and others v. Italy) 사건 *1 ) 을 통해 유럽인권재판소는 국내 법원이 “입법부가 조치를 취하도록 할 수밖에 없으며”, 따라서 “청구인들이 효과적이지 않은 구제절차를 전혀 구하지 않았거나 또는 사법절차가 끝날 때까지 구하지 않은 것에 대해서 비난받아서는 안된다.”라는 재판소의 판단에 주목한다. 통보인은 나아가 국내법에 따라 개인에게 법률의 합헌성 검토를 헌법재판소에 직접적으로 요구하거나 법률적 조치의 부재에 대해 이의를 제기할 수 있는 청구 권한이 없다는 점을 지적한다. 국내 법원은 현행 법률을 해석하거나 적용할 수는 있어도 기존 법률을 개정할 권한은 없다.</w:t>
      </w:r>
    </w:p>
    <w:p>
      <w:pPr>
        <w:ind w:left="0" w:firstLine="0" w:hanging="0"/>
        <w:jc w:val="left"/>
      </w:pPr>
      <w:r>
        <w:rPr>
          <w:rFonts w:ascii="Times New Roman" w:hAnsi="굴림체" w:cs="굴림체" w:eastAsia="굴림체"/>
          <w:sz w:val="24"/>
        </w:rPr>
        <w:t>5.4 차별의 피해자를 위한 법률 제67호의 구제절차와 관련된 당사국의 주장에 대해서, 통보인은 이러한 사례는 본질을 왜곡하는 것이라고 주장한다. 당사국 주장은 가족 돌봄 제공자의 법적 지위 인정과 관련된 통보인과 통보인 가족의 상황에는 맞지 않으며 그보다는 고용과 근로 조건과 관련된 장애인에 대한 차별에 해당하는 내용이다.</w:t>
      </w:r>
    </w:p>
    <w:p>
      <w:pPr>
        <w:ind w:left="0" w:firstLine="0" w:hanging="0"/>
        <w:jc w:val="left"/>
      </w:pPr>
      <w:r>
        <w:rPr>
          <w:rFonts w:ascii="Times New Roman" w:hAnsi="굴림체" w:cs="굴림체" w:eastAsia="굴림체"/>
          <w:sz w:val="24"/>
        </w:rPr>
        <w:t>5.5 통보인은 당사국이 가족 돌봄 제공자에 대하여 보호를 제공하고 있다고 주장하며 일련의 법률(위 단락 4.3 참조)을 언급한 점을 주목한다. 통보인은 당사국이 언급한 조치를 포함하여 당사국의 법률 제도는 지출 비용 보상, 주택 지원, 경제적으로 접근 가능한 돌봄 서비스, 세금 우대, 유연한 노동 시간, 집 근처의 일자리 마련, 연금 시스템에서 돌봄 제공자의 지위 인정, 노동시장에서 차별과 부당한 해고로부터의 보호와 같은 가족 돌봄 제공자를 보호하기 위한 사회적 안전과 관련된 효과적인 조치를 전혀 제공하지 못하고 있음을 다시 한번 강조한다. 통보인은 돌봄 제공자가 매달 3일간의 유급 휴가를 받을 권리와 관련하여 사회보장기금을 정부가 관리하고 있다며 당사국이 언급한 법률 제104호 제33조의 조항을 주목한다. 통보인은 이러한 내용이 자신의 가족과 같이 항구적이고 지속적인 지원이 필요한 상황을 다루는데 있어 충분하지 않은 것은 명백하다고 주장한다. 통보인은 또한 12세 이하 중증 장애아동을 가진 부모의 경우 육아 휴가를 최대 3년까지 연장할 수 있다는 당사국의 정보를 지적한다. 통보인은 이 규정은 자신의 딸과 같이 자녀가 성인인 경우에 적용되지 않는다고 주장한다. 시행령 제151호의 특별 유급 휴가를 사용할 수 있다는 당사국의 정보와 관련해서, 통보인은 이러한 특별 조치는 일생에 단 한번 사용할 수 있을 뿐이며 그것도 많아 봐야 2년이라고 주장한다. 당사국의 어느 조치도 지속적이고, 중단 없는, 세심한 돌봄이 필요한 자신의 딸과 파트너의 상황에 맞는 구제 내용에 해당하지 않는다. 통보인은 또한 당사국이 지원이 필요한 수급자를 위한 기금을 언급한 점을 지적한다. 통보인은 이러한 조치가 다시금 가족 돌봄 제공자의 범주를 공식적으로 인정하거나 제도화하지 못한 것이라고 주장했다. 통보인은 기금에 따른 경제적 지원은 단편적이고 범위가 제한되어 있으며 사용 가능한 경제적 자원이 종종 특정서비스에만 할당되는 경우가 많다고 지적한다. 마지막으로 통보인은 가족 돌봄 제공자의 돌봄과 활동보조 역할을 지원하기 위해 당사국이 설립한 기금에 대해서도 언급한다. 당사국이 제공한 정보는 불완전하며 오해의 소지가 있다고 주장한다. 통보인은 기획재정부가 기금 집행에 필요한 재정 예산 변경을 승인하지 않았기 때문이다. 바로 이런 이유로, 기금이 형식적으로 존재하지만 실제적으로 이행이 되지 않고 있으며 통보인과 같은 가족 돌봄 제공자들에게 어떠한 형태의 구제나 보상도 제공하지 않고 있다고 주장한다.</w:t>
      </w:r>
    </w:p>
    <w:p>
      <w:pPr>
        <w:ind w:left="0" w:firstLine="0" w:hanging="0"/>
        <w:jc w:val="center"/>
      </w:pPr>
      <w:r>
        <w:rPr>
          <w:rFonts w:ascii="Times New Roman" w:hAnsi="굴림체" w:cs="굴림체" w:eastAsia="굴림체"/>
          <w:sz w:val="24"/>
        </w:rPr>
        <w:t>B. 심리적격과 본안에 대한 위원회 심리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6.1 통보에 포함된 주장을 심리하기 전, 위원회는 선택의정서 제2조와 위원회 절차규칙 제65조에 따라 통보인이 제기한 통보가 선택의정서에 따른 심리 대상이 될 수 있는지 여부를 먼저 결정해야 한다.</w:t>
      </w:r>
    </w:p>
    <w:p>
      <w:pPr>
        <w:ind w:left="0" w:firstLine="0" w:hanging="0"/>
        <w:jc w:val="left"/>
      </w:pPr>
      <w:r>
        <w:rPr>
          <w:rFonts w:ascii="Times New Roman" w:hAnsi="굴림체" w:cs="굴림체" w:eastAsia="굴림체"/>
          <w:sz w:val="24"/>
        </w:rPr>
        <w:t>6.2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6.3 위원회는 통보인의 가족 돌봄 제공자의 사회보장급여 지급 청구를 기각한 2014년 7월 15일, 10월 14일의 밀라노와 로마 법원의 판결에 통보인이 항소하지 않았기 때문에 국내 구제절차가 소진되지 않았다는 당사국의 주장을 주목한다. 위원회는 또한 재택근무 권한을 취소당하여 노동시장에서 차별을 당했다는 통보인의 주장과 관련해 법률 제67호에 따라 통보인이 사법적 보호를 신청했었어야 했다는 의견에 주목한다. 또한 위원회는 통보에서 제기된 주장은 가족 돌봄 제공자의 지위를 인정하는 적절한 법적 틀을 당사국이 제공하지 못한 상황에서 직접적으로 비롯된 것이며 그로 인해 선택의정서 제2조제d호의 의미에 비추어 효과적인 사법적 구제수단을 고려할 수 없었다는 통보인의 주장을 주목한다.</w:t>
      </w:r>
    </w:p>
    <w:p>
      <w:pPr>
        <w:ind w:left="0" w:firstLine="0" w:hanging="0"/>
        <w:jc w:val="left"/>
      </w:pPr>
      <w:r>
        <w:rPr>
          <w:rFonts w:ascii="Times New Roman" w:hAnsi="굴림체" w:cs="굴림체" w:eastAsia="굴림체"/>
          <w:sz w:val="24"/>
        </w:rPr>
        <w:t>6.4 위원회는 승소할 것이라는 합리적인 전망이 없는 경우 국내 구제절차를 소진할 의무가 없지만, 통보인은 이용 가능한 구제조치를 모두 확인하여 성실하게 진행해야 할 의무가 있으며, 국내 구제 절차의 효율성에 대한 단순한 의심이나 추측만으로 통보인이 구제 절차를 소진해야 하는 의무가 면제되지 않는다는 위원회의 법리를 상기한다. *2 )</w:t>
      </w:r>
    </w:p>
    <w:p>
      <w:pPr>
        <w:ind w:left="0" w:firstLine="0" w:hanging="0"/>
        <w:jc w:val="left"/>
      </w:pPr>
      <w:r>
        <w:rPr>
          <w:rFonts w:ascii="Times New Roman" w:hAnsi="굴림체" w:cs="굴림체" w:eastAsia="굴림체"/>
          <w:sz w:val="24"/>
        </w:rPr>
        <w:t>6.5 위원회는 밀라노 법원이 2014년 7월 15일 판결에서 이탈리아 법률 체계에 구조적인 문제가 있음을명시적으로 인정하면서, 이러한 구조적인 문제는 그 내용과 범주를 고려했을 때 사법 당국으로는 문제를 해결할 수 없고 의회의 입법 행위를 통해서만 해결할 수 있다고 판단하였다는 통보인의 정보에 주목한다. 위원회는 또한 국내법상 개인은 헌법재판소에 직접 법률의 합헌성 검토를 신청하거나 입법적 조치의 부작위에 대한 이의 제기를 할 자격이 없다는 통보인의 주장을 확인한다. 또한, 위원회는 차별 피해자를 위한 법률 제67호에서 제시하는 구제 방안이 가족 돌봄 제공자의 법적 인정과 관련된 통보인과 가족의 상황에 해당하지 않으며 오히려 고용과 근로 조건에 관한 장애인의 차별에 대한 절차와 관련이 더 있다는 통보인의 주장에 주목한다. 위원회는 당사국이 밀라노 재판소의 판결, 개인이 헌법재판소에 신청서를 제출할 수 있는 가능성, 그리고 차별 피해자를 위한 법률 제67호에 규정된 구제절차에 관한 통보인의 의견을 반박하지 않았다는 점에 주목한다. 또한 밀라노와 로마의 법원에 제기한 통보인의 초기 소송 기각 판결이 가족 돌봄 제공자의 지위를 인정하는 국내 법률의 부재에서 비롯된 것이라는 점을 고려할 때, 당사국이 2014년 7월 15일과 10월 14일의 밀라노 및 로마 법원의 판결에 관한 항소의 승소 가능성에 대해 어떠한 정보도 제공하지 않은 점도 주목한다. 상기에서 언급한 사실을 고려하여, 위원회는 선택의정서 제2조제d호에 따라 통보가 심리가능한 것으로 결정한다.</w:t>
      </w:r>
    </w:p>
    <w:p>
      <w:pPr>
        <w:ind w:left="0" w:firstLine="0" w:hanging="0"/>
        <w:jc w:val="left"/>
      </w:pPr>
      <w:r>
        <w:rPr>
          <w:rFonts w:ascii="Times New Roman" w:hAnsi="굴림체" w:cs="굴림체" w:eastAsia="굴림체"/>
          <w:sz w:val="24"/>
        </w:rPr>
        <w:t>6.6 위원회는 또한 선택의정서 제2조제e호에 따라 명백하게 근거가 없는 통보는 심리 대상이 되어서는 안된다는 당사자의 견해를 주목한다. 위원회는 가족 돌봄 제공자의 법적 인식 및 지원의 부재가 본인과 본인의 자녀와 파트너의 협약 제5조, 제8조, 제12조, 제16조, 제19조, 제23조, 제25조, 제28조에 따른 권리가 침해되는 결과로 이어졌다는 통보인의 주장도 주목한다. 통보인은 나아가 3개의 연결된 논거 - (a) 돌봄 제공자와 장애인 사이에는 근본적인 관계성이 존재한다, (b) 어떠한 법적 인정을 받지 못한 돌봄 행위는 차별의 한 형태이다, (c) 돌봄은 핵심적인 인권이다 - 에 기반해 가족 돌봄 제공자의 권한을 스스로 대변해 선택의정서 제1조에 따라서 의견을 제기할 수 있다고 주장했다.</w:t>
      </w:r>
    </w:p>
    <w:p>
      <w:pPr>
        <w:ind w:left="0" w:firstLine="0" w:hanging="0"/>
        <w:jc w:val="left"/>
      </w:pPr>
      <w:r>
        <w:rPr>
          <w:rFonts w:ascii="Times New Roman" w:hAnsi="굴림체" w:cs="굴림체" w:eastAsia="굴림체"/>
          <w:sz w:val="24"/>
        </w:rPr>
        <w:t>6.7 선택의정서 제1조에 따라 위원회는 협약과 관련해 당사국에 의해 권리 침해를 받았다고 주장하는 피해자 개인 또는 집단으로부터 또는 이들을 대리하여 제기된 통보를 접수하고 심리할 권한을 가지고 있음을 주목했다. 위원회는 협약 제1조에 따라, 장애인은 다양한 장애물과의 상호 작용으로 인해 장기간에 걸쳐 신체적, 정신적, 지적, 감각적 손상을 입어 타인과 동등하게 사회에서 완전하고 효과적인 참여를 방해받는 사람들과 이에 국한되지 않는 사람들을 포함한다는 위원회의 법리를 상기한다. 위원회는 질병과 장애의 차이점이 종류의 차이가 아닌 정도의 차이라고 본다. 초기에 질병으로 인지되는 건강상의 손상은 기간과 만성성으로 인해 장애의 맥락에서 손상으로 발전할 수 있다. 인권 기반의 장애 모델은 장애인의 다양성이 손상을 입은 개인과 태도적, 환경적 장애물의 상호 작용(전문, 제e항)에서 함께 고려되어야 한다는 점(전문 제i항)을 요구하고 있다. *3 ) 본 사건에서 당사자들이 제공한 정보에 따르면, 위원회는 협약 제1조의 내용에 따라 장애물과의 상호 작용 속에 나타난 통보인의 딸과 파트너의 손상으로 인해 이들이 다른 사람과 동등하게 완전하고 효과적으로 사회에 참여하는 것을 방해받을 수도 있다는 주장에 관해 심리할 수 있다.</w:t>
      </w:r>
    </w:p>
    <w:p>
      <w:pPr>
        <w:ind w:left="0" w:firstLine="0" w:hanging="0"/>
        <w:jc w:val="left"/>
      </w:pPr>
      <w:r>
        <w:rPr>
          <w:rFonts w:ascii="Times New Roman" w:hAnsi="굴림체" w:cs="굴림체" w:eastAsia="굴림체"/>
          <w:sz w:val="24"/>
        </w:rPr>
        <w:t>6.8 위원회는 통보인이 스스로를 협약 제1조의 내용에 따른 장기간의 신체적, 정신적, 지적, 감각적 손상을 가진 사람이라고 주장하지 않은 점을 주목한다. 따라서 자신의 권리에 근거한 통보인의 주장에 관하여 위원회는 협약이 장애인이 아닌 개인의 권리를 보호할 수 있는지의 여부와 그러한 권리의 침해가 선택의정서에 따라 청구될 수 있는지 여부를 결정해야 한다. 위원회는 협약 제1조에 명시된 바와 같이 협약의 목적은 장애인이 모든 인권을 완전하게 그리고 동등하게 향유하는 것을 증진하고 보호하며 보장하기 위함임을 상기한다. 그러나 위원회는 장애인의 권리가 가족 돌봄 제공자의 보호 없이는 실현될 수 없다는 사실도 인지하고 있다. 이런 점에서, 위원회는 협약 전문(제x항)에서 가족은 자연적이고 근본적인 사회의 구성 단위이며, 사회와 국가의 보호를 받을 자격이 있고, 장애인과 그 가족들은 장애인의 완전하고 동등한 권리 향유를 위해 가족들이 기여할 수 있도록 필요한 보호와 지원을 받아야 한다는 것을 언급하고 있는 점을 주목한다. 제1조에 명시된 것처럼 협약의 목적에 부합하기 위해, 협약 제28조제1항은 장애인 자신과 가족의 적정한 생활 수준에 대한 권리를 인정하고 있다. 그러나 제28조제2항제c호는 장애인의 사회적 보호에 대한 권리를 보호하고 증진하기 위하여 당사국이 장애인과 그 가족의 지원에 대한 접근을 보장할 것을 분명하게 요구하고 있다. 이 문구는 – 원래 초안 과정에서는 현재의 제23조에 포함되어 있던 – 제28조제2항제c호의 좁은 맥락에서 보자면 협약이 장애인의 가족이 국가가 제공하는 지원에 대한 권리가 있음을 인정하고 있다는 점을 시사한다. 이 권리는 협약에서 보장하는 다른 모든 권리들과 마찬가지로 제1조에서 언급된 협약의 목적을 달성하는 것을 목표로 한다. 그러므로 제28제2항제c호에 따른 가족의 권리는 장애인 가족의 권리 보호와 불가분의 관계에 있어야 한다. 제28조제2항제c호는 장애가 없는 가족 구성원에게 다음의 조건 하에 권리를 부여한다. 즉, 해당 권리가 장애가 있는 가족 구성원의 권리를 실현하기 위한 필수적인 전제이어야 하고, 해당 권리를 부정하는 것은 장애가 있는 가족 구성원의 권리에 직접적으로 부정적인 영향을 미칠 수 있다는 조건 하에서 권리가 부여된다. 이런 전제 조건의 충족은 구체적인 사례별로 평가되어야 한다. 위원회가 일반 논평 제6호(2018년)(단락 20)에서 밝혔듯이, “연계 차별”의 개념을 협약에 도입한 이유는 모든 차별적 상황 및 차별적인 행위를 근절하고 퇴치하기 위함이다.</w:t>
      </w:r>
    </w:p>
    <w:p>
      <w:pPr>
        <w:ind w:left="0" w:firstLine="0" w:hanging="0"/>
        <w:jc w:val="left"/>
      </w:pPr>
      <w:r>
        <w:rPr>
          <w:rFonts w:ascii="Times New Roman" w:hAnsi="굴림체" w:cs="굴림체" w:eastAsia="굴림체"/>
          <w:sz w:val="24"/>
        </w:rPr>
        <w:t>6.9 위 내용에 비추어, 위원회는 본 사건의 구체적인 상황 속에서 통보인이 제28조제2항제c호에 근거하여 가족 돌봄 제공자로서 본인에 대한 당사국의 지원이 가족으로 함께 살고 있는 장애가 있는 딸과 파트너의 권리 실현을 위한 필수적인 조건이라는 점, 이들의 권리 향유가 제28조제2항제c호에 따라 통보인의 권리 인정과 불가분의 관계가 있으며, 당사국의 지원 부족이 딸과 파트너의 권리에 직접적으로 부정적인 영향을 미치게 될 것이라는 점을 심리적격의 측면에서 충분히 입증하였다고 본다. 이런 결론에 도달한 위원회는 통보인이 자녀와 파트너를 대리하여 하는 주장과, 그리고 협약 제28조제2항제c호에 근거하는 한 통보인 본인이 직접 제시하는 주장을 모두 협약 제5조와 연계하여 검토하는 것이 선택의정서 제1조에 의하여 배제되지 않는다고 판단한다.</w:t>
      </w:r>
    </w:p>
    <w:p>
      <w:pPr>
        <w:ind w:left="0" w:firstLine="0" w:hanging="0"/>
        <w:jc w:val="left"/>
      </w:pPr>
      <w:r>
        <w:rPr>
          <w:rFonts w:ascii="Times New Roman" w:hAnsi="굴림체" w:cs="굴림체" w:eastAsia="굴림체"/>
          <w:sz w:val="24"/>
        </w:rPr>
        <w:t>6.10 위원회는 가족 돌봄 제공자에 대한 법적 인정의 부재가 협약 제16조 위반에 해당한다는 통보인의 주장과 당사국의 법률 체계가 의료 시스템 안에서 가족 돌봄 제공자의 역할을 인정하지 않아 협약 제25조에 따른 통보인과 통보인 가족의 권리가 침해되었다는 주장을 주목한다. 그러나 위원회는 통보인이 이러한 주장을 입증할 수 있는 어떠한 추가적인 정보나 주장을 제시하지 않았으므로 선택의정서 제2조 제e호에 따라 소명 부족으로 위 주장은 심리 불가능하다고 판단한다.</w:t>
      </w:r>
    </w:p>
    <w:p>
      <w:pPr>
        <w:ind w:left="0" w:firstLine="0" w:hanging="0"/>
        <w:jc w:val="left"/>
      </w:pPr>
      <w:r>
        <w:rPr>
          <w:rFonts w:ascii="Times New Roman" w:hAnsi="굴림체" w:cs="굴림체" w:eastAsia="굴림체"/>
          <w:sz w:val="24"/>
        </w:rPr>
        <w:t>6.11 위원회는 또한 돌봄 제공자에게 제공되는 전문적인 상담과 정보의 부족 및 돌봄 제공자로서의 기술에 대한 공식적인 인정의 부재로 인하여 당사국이 협약 제8조를 위반하고 있다는 통보인의 주장을 주목한다. 위원회는 또한 당사국이 가족 돌봄 제공자의 지위를 법적으로 인정하지 않음으로 인해 협약 제12조를 침해받았다는 통보인의 주장도 주목한다. 그러나 위원회는 통보인이 돌봄 제공자로서 자신의 권리가 침해당했다는 주장을 제기했지만, 제기된 주장이 위 조항에 따른 본인의 딸과 파트너의 권리를 어떻게 침해하는지에 대한 구체적인 정보를 제공하지 않았다는 점에 주목한다. 협약 제12조에 따라 제기된 주장과 관련하여 위원회는 나아가 통보인이 본인의 자녀와 파트너의 법적 능력이 거부되었다고 주장하지 않았다는 점에 주목한다. 따라서 위원회는 협약 제8조 및 제12조에 따라 제기된 주장은 선택의정서 제2조제e호에 따라 소명 부족으로 심리 불가능하다고 판단한다.</w:t>
      </w:r>
    </w:p>
    <w:p>
      <w:pPr>
        <w:ind w:left="0" w:firstLine="0" w:hanging="0"/>
        <w:jc w:val="left"/>
      </w:pPr>
      <w:r>
        <w:rPr>
          <w:rFonts w:ascii="Times New Roman" w:hAnsi="굴림체" w:cs="굴림체" w:eastAsia="굴림체"/>
          <w:sz w:val="24"/>
        </w:rPr>
        <w:t>6.12 위원회는 다음과 같은 통보인의 추가 주장에 주목한다: 통보인은 돌봄 제공자로서의 역할 때문에 노동시장에서 차별을 받아 실직하였고 소득을 상실하게 된 것은 협약 제5조를 위반한 것이라는 주장과 가족 돌봄 제공자의 법적 인정의 부재로 인하여 본인의 자녀과 파트너의 지역사회에서의 자립생활과 사회에 통합 및 참여할 권리에 영향을 미쳤으며 이는 협약 제19조를 위반한 것이라는 주장, 마지막으로 당사국이 구체적인 재정적, 사회적, 기타 다른 자원을 가족에게 제공하지 못한 것은 협약 제23조에 따라 자녀와 파트너의 권리를 침해한 것이라는 주장이다. 위원회는 나아가 가족 돌봄 제공자의 법적 인정의 부재와 이로 인한 경제적, 사회적 보호의 결여는 협약 제28조 위반에 해당된다는 통보인의 주장을 주목한다. 위원회는 협약 제28조에 따라 제기된 청구가 가족 전체와 관련하여 제기된 것으로 이해하며, 당사국이 통보인의 가족과 같은 장애인 가족에게 제공한 지원이 부족하여 빈곤의 위험이 높다는 주장을 주목한다. 통보인이 제출한 정보를 고려할 때, 위원회는 통보인이 제19조와 제23조에 따라 본인의 자녀와 파트너를 대신해 제기한 주장, 그리고 협약 제5조와 연계되어 제28조에 따라 제기한 주장이 심리적격의 차원에서 충분히 입증되었다고 판단한다.</w:t>
      </w:r>
    </w:p>
    <w:p>
      <w:pPr>
        <w:ind w:left="0" w:firstLine="0" w:hanging="0"/>
        <w:jc w:val="left"/>
      </w:pPr>
      <w:r>
        <w:rPr>
          <w:rFonts w:ascii="Times New Roman" w:hAnsi="굴림체" w:cs="굴림체" w:eastAsia="굴림체"/>
          <w:sz w:val="24"/>
        </w:rPr>
        <w:t>6.13 통보의 심리적격에 대한 다른 이의 제기가 없었기 때문에, 위원회는 협약 제19조와 제23조에 따라 통보인이 자녀와 파트너를 대신해 제기한 주장에 대해 그리고 협약 5조와 결부되어 제28조제2항제c호에 따라 자신과 가족을 대신해 제기한 주장이 심리적격하다고 선언하고 본안 심리를 진행하기로 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7.1 위원회는 선택의정서 제5조 및 위원회 절차규칙 제73조제1항에 따라 접수된 모든 정보에 비추어 통보를 심사했다.</w:t>
      </w:r>
    </w:p>
    <w:p>
      <w:pPr>
        <w:ind w:left="0" w:firstLine="0" w:hanging="0"/>
        <w:jc w:val="left"/>
      </w:pPr>
      <w:r>
        <w:rPr>
          <w:rFonts w:ascii="Times New Roman" w:hAnsi="굴림체" w:cs="굴림체" w:eastAsia="굴림체"/>
          <w:sz w:val="24"/>
        </w:rPr>
        <w:t>7.2 위원회는 가족 돌봄 제공자에 대한 법적 인정이 이루어지지 않는 것이 본인과 가족을 포함한 장애인의 지역사회에서의 자립 생활 및 사회의 통합과 참여를 달성하기 위한 권리를 심각하게 침해하는 결과로 이어졌으며, 이는 협약 제19조에 따른 장애인의 권리를 침해한 것이라는 통보인의 주장을 주목한다. 위원회는 또한 장애인이 어디에서 누구와 함께 살지 선택할 권리 및 특정 주거 형태에서 거주할 것을 강요받지 않을 권리가 있으며, 장애인과 그 가족은 자신의 삶에 대한 결정을 내리고 구체적인 욕구에 근거한 지원을 받을 권리가 있다는 통보인의 주장을 주목한다. 또한 위윈회는 국내법에 따라 다양한 형태의 장애인 가족 보호를 위한 조치가 제공되고 있다는 당사국의 견해를 주목한다.</w:t>
      </w:r>
    </w:p>
    <w:p>
      <w:pPr>
        <w:ind w:left="0" w:firstLine="0" w:hanging="0"/>
        <w:jc w:val="left"/>
      </w:pPr>
      <w:r>
        <w:rPr>
          <w:rFonts w:ascii="Times New Roman" w:hAnsi="굴림체" w:cs="굴림체" w:eastAsia="굴림체"/>
          <w:sz w:val="24"/>
        </w:rPr>
        <w:t>7.3 위원회는 협약 제19조에 따라 장애인이 다른 사람과 동등한 선택권을 가지고 지역사회에서 살 권리를 향유할 수 있도록 효과적이고 적절한 조치를 취하여야 하며, 여기에는 장애인이 다른 사람과 동등하게 자신의 거주지와 거주 장소 및 거주 대상을 선택할 수 있는 기회를 보장하는 것이 포함된다는 점을 상기한다; 지역사회에서의 생활과 통합을 지원하고 지역사회로부터의 고립이나 분리를 방지하기 위해 필요한 개인적 지원을 포함하여 다양한 재가, 주거 및 기타 지역사회 지원 서비스를 이용할 수 있는 권리; 그리고 일반 대중에게 제공되는 지역사회 서비스 및 시설이 장애인에게 동등하게 제공되고 그들의 필요에 부응하도록 하는 권리를 보장한다.</w:t>
      </w:r>
    </w:p>
    <w:p>
      <w:pPr>
        <w:ind w:left="0" w:firstLine="0" w:hanging="0"/>
        <w:jc w:val="left"/>
      </w:pPr>
      <w:r>
        <w:rPr>
          <w:rFonts w:ascii="Times New Roman" w:hAnsi="굴림체" w:cs="굴림체" w:eastAsia="굴림체"/>
          <w:sz w:val="24"/>
        </w:rPr>
        <w:t>7.4 더 나아가 위원회는 자립생활과 지역사회의 통합에 관한 위원회 일반논평 제5호(2017)를 상기한다. 해당 일반논평에서 개별화된 지원 서비스는 의료적, 사회적, 시혜적 돌봄 보다는 권리로서 간주되어야 한다고 언급한 바 있다. 따라서 장애인은 자신의 개인적 요구와 개인적 선호에 따라 서비스와 서비스 제공자를 선택할 권리가 있으며, 개별화된 지원은 “이용자”의 요구에 맞출 수 있도록 유연하게 조정되어야 하며 그 반대가 되어서는 안된다. *4 ) 또한 위원회는 당사국은 장애인이 지역사회에서 살 수 있는 권리를 완전히 누릴 수 있도록 촉진할 의무가 있으며, 이를 위해 당사국은 협약에 명시된 대로 장애인이 지역사회에서 자립 생활 및 포함될 권리의 완전한 실현을 보장하기 위해 적절한 입법, 행정, 예산, 사법, 프로그램, 홍보 및 기타 조치를 제공하고 촉진하며 장려해야 한다고 결론을 내렸다. *5 ) 위원회는 또한 가족 구성원들로 하여금 장애를 가진 가족 구성원이 자립 생활하고 지역사회에 포함될 권리를 실현하는 것을 지원하게 하기 위하여, 당사국은 가족 구성원의 역량을 강화해야 함을 강조한다. *6 ) 나아가 위원회는 장애 지원 서비스는 모든 장애인이 이용 가능하고, 접근 가능하고, 적정한 가격이어야 하고, 수용 가능하고, 조정 가능하며, 그리고 개인 또는 가족의 소득과 같은 다양한 생활 조건과 개별 상황에 민감해야 한다고 명시한다. *7 ) 마지막으로 위원회는 당사국이 가족 돌봄 제공자에게 적절한 지원 서비스를 제공하여 그들이 지역사회에서 자립 생활할 수 있도록 지원해야 한다고 강조한다. 이런 지원에는 임시 돌봄 서비스 및 기타 지원 서비스가 포함되어야 한다. *8 ) 덧붙여서 위원회는 노동 시장에 접근할 가능성이 없어 종종 극심한 빈곤 상황에서 살고 있는 가족 보호자를 위한 경제적 지원이 중요하다는 점을 확인하며, 따라서 당사국은 장애인 가족에게 사회적 서비스를 제공할 의무와 상담 서비스, 순회 지원 서비스, 기타 적절한 지원 옵션 개발을 촉진할 의무를 부담한다. *9 ) 위원회는 당사국이 제출한 최초 보고서에 대한 최종 견해에서 장애인이 당사국 내에서 재시설화 되는 경향과 시설에 배정된 예산이 지역사회에서 모든 장애인의 자립 생활 증진하고 보장하는 데 재할당되고 있지 않다는 사실에 우려를 표명했다. 또한 위원회는 여성이 노동시장에서 고용되는 대신 가족 내 다른 장애인 가족의 돌봄 제공자로 남아 있을 수밖에 없도록 강요하는 정책의 성차별적 결과에 대해 우려를 표명했다. 위원회는 당사국이 모든 지역에서 자율적 자립 생활에 대한 권리를 유지하기 위한 보호 장치를 시행하고, 장애인이 전국적으로 독립적으로 생활하고 개인 지원을 포함한 서비스에 동등하게 접근할 수 있도록 시설화 정책에서 지역사회 기반 서비스로 자원을 전환하고 예산 지원을 늘릴 것을 권고했다. *10 )</w:t>
      </w:r>
    </w:p>
    <w:p>
      <w:pPr>
        <w:ind w:left="0" w:firstLine="0" w:hanging="0"/>
        <w:jc w:val="left"/>
      </w:pPr>
      <w:r>
        <w:rPr>
          <w:rFonts w:ascii="Times New Roman" w:hAnsi="굴림체" w:cs="굴림체" w:eastAsia="굴림체"/>
          <w:sz w:val="24"/>
        </w:rPr>
        <w:t>7.5 본 사안에서 위원회는 가족 돌봄 제공자에 대한 법적 인정 및 지원의 부재가 통보인의 딸과 파트너의 지역사회에서 살 권리 및 사회의 통합과 참여 달성을 위한 권리에 영향을 미쳤으며 이는 협약 제19조에 따른 자신들의 권리를 침해한 것이라는 통보인의 주장을 주목한다. 위원회는 당사국이 자신의 가족에게 재정 지원, 사회적 지원, 적절한 주간 보호 서비스, 재가 보호, 임시 보호, 야간 보호, 지침 및 상담, 교육, 기술 개발과 같은 지원을 전혀 제공하지 않았다는 통보인의 정보를 주목한다. 위원회는 나아가 국내법에 따라 가족 돌봄 제공자의 3일 유급 휴가, 장애인 가족을 지원하는 직원에게 2년 기간의 특별 유급 휴가, 장애인 가족에게 지원을 제공하는 펀드로부터의 지원, 장애 아동 부모에게 주어지는 최대 3년 간의 육아 휴가와 같이 다양한 형태의 보호 조치를 제공하고 있다는 당사국의 주장을 주목한다. 그러나 위원회는 통보인의 가족이 지속적인 지원을 필요로 한다는 사실을 고려했을 때, 당사국이 제시한 보호 조치 중 어떤 것도 통보인의 가족 상황과는 관련이 없다는 통보인의 주장을 주목한다. 위원회는 또한 당사국이 언급한 조치들은 예를 들어 비용 지출 보상, 주택 지원, 경제적으로 이용 가능한 보호 서비스, 세금 우대, 유연한 근무 시간, 연금 시스템에서 돌봄 제공자의 지위 인정, 노동 시장에서 차별 및 임의적인 해고로부터의 보호와 같이 가족 돌봄 제공자를 지원하기 위한 효과적인 사회적 안전 조치를 전혀 제공하지 못하고 있다는 통보인의 주장을 확인했다. 위원회는 또한 당사국이 언급한 기금을 포함해 자신들의 상황에 대처하기 위해 어떤 형태의 구제 또는 보상도 제공되지 않았다는 통보인의 정보를 주목한다.</w:t>
      </w:r>
    </w:p>
    <w:p>
      <w:pPr>
        <w:ind w:left="0" w:firstLine="0" w:hanging="0"/>
        <w:jc w:val="left"/>
      </w:pPr>
      <w:r>
        <w:rPr>
          <w:rFonts w:ascii="Times New Roman" w:hAnsi="굴림체" w:cs="굴림체" w:eastAsia="굴림체"/>
          <w:sz w:val="24"/>
        </w:rPr>
        <w:t>7.6 위원회는 통보인의 자녀와 파트너가 다른 사람과 동등한 선택권을 가지고 지역사회에 살아갈 권리와 지역사회에 완전히 통합되고 참여하기 위한 권리를 촉진하기 위하여 통보인의 가족들에게 제공되어야 하는 적절한 지원 서비스가 없었다는 통보인의 정보를 주목한다. 위원회는 당사국이 현행 국내법에 따라 제공되는 통보인 가족의 상황에 맞지 않는 몇몇 형태의 일반적인 지원 조치에 관한 정보를 제공하는 것 이외에 통보인의 주장을 반박하지 않은 점을 주목한다. 따라서 위원회는 제출된 정보에 근거하여 다음과 같이 판단한다. 즉, 통보인의 자녀와 파트너에게 제공된 개별화된 지원 서비스가 부재한 것; 당사국이 협약에 명시된 지역사회에서의 자립 생활을 하고 지역사회에 포용될 권리를 실현하기 위한 적절한 입법, 행정, 예산, 사법, 프로그램, 홍보 및 기타 조치를 제공하고 홍보하거나 증진하지 않은 것; 가족 돌봄 제공자에게 적절한 지원 서비스를 제공하지 않아 그들의 가족이 임시 보호 서비스, 기타 지원 서비스, 경제적 지원, 사회적 지원, 상담 서비스, 기타 적절한 지원 옵션의 제공을 포함한 지역사회에서 자립하여 생활하기 위한 지원을 받을 수 없었던 것은 통보인과 통보인의 자녀와 파트너의 협약 제19조에 따른 권리를 침해한 것에 해당한다.</w:t>
      </w:r>
    </w:p>
    <w:p>
      <w:pPr>
        <w:ind w:left="0" w:firstLine="0" w:hanging="0"/>
        <w:jc w:val="left"/>
      </w:pPr>
      <w:r>
        <w:rPr>
          <w:rFonts w:ascii="Times New Roman" w:hAnsi="굴림체" w:cs="굴림체" w:eastAsia="굴림체"/>
          <w:sz w:val="24"/>
        </w:rPr>
        <w:t>7.7 위원회는 당사국이 통보인의 가족과 같은 장애인 가족들이 필수적인 지원에 접근할 수 있도록 보장하기 위한 구체적인 재정적, 사회적, 그 외 기타 자원을 배정하지 못한 것은 협약 제23조에 위반된다는 통보인의 주장을 주목한다. 위원회는 협약 제23조가 장애인이 시설에 수용되지 않고 가족과 함께 살 수 있도록 하기 위하여 장애인의 요구에 따라 다양한 재정적 지원 형태의 조치를 취할 의무를 당사국에 부과한다는 통보인의 주장을 주목한다. 위원회는 지역사회에서 독립적으로 삶을 영위할 수 있는 권리는 장애아동과 장애 부모를 위한 가족의 권리와 밀접하게 연결되어 있으며, 지역사회 기반 지원과 서비스의 부재는 장애인 가족에 대한 경제적 압박과 제약을 초래할 수 있음을 상기한다. *11 ) 위원회는 당사국의 최초 보고서에 대한 최종 견해에서 재정적 지원을 포함하여 지원 요구 수준이 높은 장애 아동 또는 성인 가족에 대한 구체적인 지원 조치가 부족하다는 점에 대하여 우려를 표명했음을 상기한다. 위원회는 주거과 가족에 대한 권리를 보장하고, 지역사회에 대한 통합과 참여를 보장하고, 시설에 의존할 필요가 없도록 하기 위해 높은 수준의 지원이 필요한 장애인을 포함해 장애인 가족 구성원이 있는 모든 가족이 자신들이 필요한 지원에 접근할 수 있도록 보장하기 위하여, 당사국은 모든 지역에 구체적인 재정적, 사회적, 기타 자원을 할당할 것을 권고한 바 있다. *12 ) 본 사안에서 위원회는 통보인의 자녀와 파트너의 주거와 가족에 대한 권리 및 지역사회에 통합, 참여하기 위한 권리를 보장하고, 본인과 같은 상황에 있는 가족들이 시설에 의존하지 않을 수 있도록 재정 지원을 포함한 어떠한 구체적인 지원 조치도 제공받지 못했다는 통보인의 주장을 당사국이 반박하지 않았음에 주목한다. 따라서 위원회는 주거와 가족에 대한 권리에 있어 당사국이 적절한 지원을 가족에게 제공하지 못한 것은 통보인의 자녀와 파트너의 협약 제23조에 따른 권리를 침해한 것으로 판단한다.</w:t>
      </w:r>
    </w:p>
    <w:p>
      <w:pPr>
        <w:ind w:left="0" w:firstLine="0" w:hanging="0"/>
        <w:jc w:val="left"/>
      </w:pPr>
      <w:r>
        <w:rPr>
          <w:rFonts w:ascii="Times New Roman" w:hAnsi="굴림체" w:cs="굴림체" w:eastAsia="굴림체"/>
          <w:sz w:val="24"/>
        </w:rPr>
        <w:t>7.8 위원회는 당사국이 가족들의 협약 제28조에 따른 권리를 침해하였다는 통보인의 주장을 주목한다. 당사국은 가족 돌봄 제공자를 위한 사회적 보호나 보험에 대해 전혀 인정하지 않으며, 이러한 당사국의 법적 보호와 지원 부재의 결과로 통보인의 가족을 포함한 장애인 가족들은 심각한 빈곤의 위기에 처해 있어 자원, 시간, 서비스 측면에서 특별히 사회적 보호가 필요한 상황이다. 위원회는 협약 28조제2항제c호에 따라 당사국은 빈곤 상태에 있는 장애인과 그 가족들에게 적절한 훈련, 상담, 재정적 지원, 임시 돌봄을 포함하여 장애 관련 비용에 대한 국가의 지원을 보장하기 위한 적절한 조치를 취해야 한다는 점을 상기한다. 위원회는 나아가 장애인이 적절한 생활 수준을 영위할 수 있도록 당사국은 특히 빈곤에 처한 장애인이 본인의 장애와 관련된 요구에 대한 적절하고 합리적인 가격의 서비스와 장비, 지원에 접근할 수 있도록 보장할 의무가 있음을 상기한다. 또한 지역사회의 공공 보조금을 지원하는 주택 프로그램에 대한 접근도 필요하다. 위원회는 장애 관련 비용을 장애인이 홀로 부담하는 것은 협약에 반하는 것이라는 점을 상기한다. *13 ) 위원회는 또한 협약 제28조와 관련된 당사국의 최초 보고서에 대한 최종 견해에서 당사국의 사회보장제도의 지역적 차이, 사회적 지원에 대한 최소 기준 부재, 당사국의 장애인과 가족에서 보이는 높은 수준의 빈곤, 긴축 정책의 부정적 영향에 관한 평가가 부재한 상황에 대해 우려를 표명한 바 있다. *14 )</w:t>
      </w:r>
    </w:p>
    <w:p>
      <w:pPr>
        <w:ind w:left="0" w:firstLine="0" w:hanging="0"/>
        <w:jc w:val="left"/>
      </w:pPr>
      <w:r>
        <w:rPr>
          <w:rFonts w:ascii="Times New Roman" w:hAnsi="굴림체" w:cs="굴림체" w:eastAsia="굴림체"/>
          <w:sz w:val="24"/>
        </w:rPr>
        <w:t>7.9 위원회는 나아가 이탈리아 법률 체계의 특징적인 법적 공백으로 인하여 가족 돌봄 제공자가 취약한 상황에 놓여 있으며 장애인과의 관계에 근거를 둔 연계 차별에 노출되어 있고 이는 협약 제5조를 위반한다는 통보인의 주장을 주목한다. 위원회는 통보인이 자신이 돌보는 가족과 긴밀한 관계를 맺고 있으며, 재택근무 권한이 취소되어 일자리와 소득을 잃어버린 상황에서 볼 수 있듯이 바로 이러한 이유 때문에 본인이 노동 시장에서 차별을 당했다는 통보인의 주장을 주목한다. 위원회는 장애인 및 장애 아동의 부모를 포함한 장애인 관련자에 대하여 장애를 이유로 한 모든 차별을 금지해야 하는 의무를 명시한 평등과 비차별에 관한 위원회 일반논평 제6호(2018년)를 상기한다. *15 ) 위원회는 나아가 “장애를 이유로 한(on the basis of disability)” 차별은 “연계 차별(discrimination by association)”로 알려진 바와 같이 장애인과 관련된 사람에 대해서도 나타날 수 있으며, 협약 제5조를 광범위하게 해석하는 이유는 모든 차별적인 상황과 장애와 관련된 차별적인 행위를 근절하고 이에 맞서 싸우기 위함이라는 사실을 주목한다. *16 ) 이러한 맥락에서 위원회는 빈곤이 다중차별의 가중 요소인 동시에 결과임을 강조한다. 장애인과 그 가족을 위한 적정한 생활 수준을 영위하는 것을 내용으로 하는 장애인의 권리를 실현하지 않는 것은 협약의 목적을 위반하는 것이다. 다른 사람들과 비교하여 적정한 생활 수준에 이르기 위해서, 장애인은 일반적으로 추가적인 비용을 지불하여야 한다. 따라서 당사국은 장애인이 장애와 관련된 추가적인 비용을 보전할 수 있도록 효과적인 조치를 이행할 의무를 지닌다. *17 ) 또한 위원회는 유럽사법재판소가 고용과 직업에 관한 동등한 대우의 원칙은 장애인 당사자에게만 국한되지 않는다고 판단했으며, 그리고 고용주가 장애인 자녀를 일차적 양육자인 비장애인 직원에 대하여 장애인 자녀를 돌본다는 이유로 다른 직원들에 비해 대등하지 않은 대우를 하는 것은 직접 차별을 금지하는 규정을 위반하는 것이라고 결정한 사실에 주목한다. *18 ) 위원회는 또한 자녀의 장애를 이유로 청원인이 차별적인 대우를 받는 것은 유럽인권협약 제14조에 따라 장애에 기반한 차별의 형태라는 유럽인권재판소 판결을 주목한다. *19 )</w:t>
      </w:r>
    </w:p>
    <w:p>
      <w:pPr>
        <w:ind w:left="0" w:firstLine="0" w:hanging="0"/>
        <w:jc w:val="left"/>
      </w:pPr>
      <w:r>
        <w:rPr>
          <w:rFonts w:ascii="Times New Roman" w:hAnsi="굴림체" w:cs="굴림체" w:eastAsia="굴림체"/>
          <w:sz w:val="24"/>
        </w:rPr>
        <w:t>7.10 본 사안에서 위원회는 재택근무 권한의 박탈로 인하여 통보인이 더 이상 고용 상태를 유지할 수 없었고 이후 수입까지 줄어들게 되었다는 주장에 당사국이 반박하지 않은 것을 주목한다. 나아가 위원회는 통보인의 자녀와 파트너에게 지속적인 돌봄이 필요하기 때문에 재택근무가 고용 상태를 유지하면서 동시에 가족을 시설에 보내지 않고 돌볼 수 있는 필요한 환경 조건이라는 통보인의 주장을 주목한다. 위원회는 가족 돌봄 제공자로서의 역할 때문에 노동 시장에서 일자리에 접근할 수 없는 것은 협약 제5조의 연계 차별에 해당한다는 통보인의 주장에 주목한다. 위원회는 또한 당사국이 통보인과 같은 상황에 놓인 가족들에게 제공되는 어떠한 형태의 지원 조치, 도움, 또는 사회적 보호에 대한 정보를 전혀 제공하지 않았다는 사실을 주목한다. 따라서 위원회는 당사국의 관계 기관이 제공해야 하는 사회적 보호, 장애 관련 비용의 지원, 적절한 훈련, 상담, 재정적 지원, 임시 보호가 이루어지지 않는 것은 협약 제5조와 결부시켜 고려해야 하는 제28조에 따른 통보인과 가족의 권리를 침해한 것에 해당한다고 판단한다.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8. 위원회는 선택의정서 제5조에 따른 심의 결과 당사국이 통보인의 자녀와 파트너에 대하여 협약 제19조, 제23조, 제28조제2항제c호와 협약 제5조가 연계되어 발생하는 의무, 그리고 통보인에 대하여 협약 제28조제2항제c호 및 제5조가 연계되어 발생하는 당사국의 의무를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 통보인의 자녀와 파트너와 관련하여 당사국은 다음을 행할 의무가 있다.</w:t>
      </w:r>
    </w:p>
    <w:p>
      <w:pPr>
        <w:ind w:left="0" w:firstLine="0" w:hanging="0"/>
        <w:jc w:val="left"/>
      </w:pPr>
      <w:r>
        <w:rPr>
          <w:rFonts w:ascii="Times New Roman" w:hAnsi="굴림체" w:cs="굴림체" w:eastAsia="굴림체"/>
          <w:sz w:val="24"/>
        </w:rPr>
        <w:t xml:space="preserve">		(i) 본 통보를 제기하는 데 발생한 법적 비용의 배상을 비롯해 통보인에게 적정한 배상을 지급한다.</w:t>
      </w:r>
    </w:p>
    <w:p>
      <w:pPr>
        <w:ind w:left="0" w:firstLine="0" w:hanging="0"/>
        <w:jc w:val="left"/>
      </w:pPr>
      <w:r>
        <w:rPr>
          <w:rFonts w:ascii="Times New Roman" w:hAnsi="굴림체" w:cs="굴림체" w:eastAsia="굴림체"/>
          <w:sz w:val="24"/>
        </w:rPr>
        <w:t xml:space="preserve">		(ii) 통보인의 가족이 협약 제19조, 제23조, 제28조제2항제c호에 따른 권리를 보장하기 위하여, 그들에게 임시 돌봄 서비스, 재정 지원, 상담 서비스, 사회적 지원 및 기타 적절한 지원 옵션을 포함한 충분한 개인 맞춤형 지원 서비스에 접근할 수 있도록 하는 적절한 조치를 취한다.</w:t>
      </w:r>
    </w:p>
    <w:p>
      <w:pPr>
        <w:ind w:left="0" w:firstLine="0" w:hanging="0"/>
        <w:jc w:val="left"/>
      </w:pPr>
      <w:r>
        <w:rPr>
          <w:rFonts w:ascii="Times New Roman" w:hAnsi="굴림체" w:cs="굴림체" w:eastAsia="굴림체"/>
          <w:sz w:val="24"/>
        </w:rPr>
        <w:t xml:space="preserve">  (b) 일반적으로 당사국은 향후 유사한 권리 침해를 방지하기 위해 조치를 취할 의무가 있다. 이와 관련하여 위원회는 당사국에 다음을 요구한다.</w:t>
      </w:r>
    </w:p>
    <w:p>
      <w:pPr>
        <w:ind w:left="0" w:firstLine="0" w:hanging="0"/>
        <w:jc w:val="left"/>
      </w:pPr>
      <w:r>
        <w:rPr>
          <w:rFonts w:ascii="Times New Roman" w:hAnsi="굴림체" w:cs="굴림체" w:eastAsia="굴림체"/>
          <w:sz w:val="24"/>
        </w:rPr>
        <w:t xml:space="preserve">		(i) 필요한 경우 국내법을 개정하여 사회보장 프로그램이 다양한 범주의 장애인들의 요구를 다른 사람들과 동등한 수준으로 충족하도록 한다. *20 )</w:t>
      </w:r>
    </w:p>
    <w:p>
      <w:pPr>
        <w:ind w:left="0" w:firstLine="0" w:hanging="0"/>
        <w:jc w:val="left"/>
      </w:pPr>
      <w:r>
        <w:rPr>
          <w:rFonts w:ascii="Times New Roman" w:hAnsi="굴림체" w:cs="굴림체" w:eastAsia="굴림체"/>
          <w:sz w:val="24"/>
        </w:rPr>
        <w:t xml:space="preserve">		(ii) 장애인들이 자립하여 생활하고 지역사회에 포함될 권리에 대해 이해할 수 있는 방식으로 정보를 제공하고, 장애인들이 스스로 자신의 권리를 행사하는 방법을 배울 수 있도록 역량 강화 훈련을 제공한다. *21 )</w:t>
      </w:r>
    </w:p>
    <w:p>
      <w:pPr>
        <w:ind w:left="0" w:firstLine="0" w:hanging="0"/>
        <w:jc w:val="left"/>
      </w:pPr>
      <w:r>
        <w:rPr>
          <w:rFonts w:ascii="Times New Roman" w:hAnsi="굴림체" w:cs="굴림체" w:eastAsia="굴림체"/>
          <w:sz w:val="24"/>
        </w:rPr>
        <w:t xml:space="preserve">		(iii) 모든 지역에서 자율적이고 독립적인 생활을 할 권리를 유지하기 위한 안전장치를 구축하고, 시설 중심에서 지역사회 기반 서비스로 자원을 전환하며, 장애인이 자립하여 생활하고 개인 지원과 가족 돌봄 제공자에 대한 지원을 포함한 서비스에 동등하게 접근할 수 있도록 예산 지원을 확대한다.</w:t>
      </w:r>
    </w:p>
    <w:p>
      <w:pPr>
        <w:ind w:left="0" w:firstLine="0" w:hanging="0"/>
        <w:jc w:val="left"/>
      </w:pPr>
      <w:r>
        <w:rPr>
          <w:rFonts w:ascii="Times New Roman" w:hAnsi="굴림체" w:cs="굴림체" w:eastAsia="굴림체"/>
          <w:sz w:val="24"/>
        </w:rPr>
        <w:t>9. 선택의정서 제5조와 위원회 절차규칙 제75조에 따라 당사국은 본 진정에 대한 위원회의 견해와 권고에 따라 취한 조치에 관한 정보를 포함하여 6개월 이내에 위원회에 서면 응답을 제출해야 한다. 당사국은 또한 위원회의 견해를 발표하고, 이 내용을 모든 국민들이 알 수 있도록 접근 가능한 방식으로 당사국의 공식 언어로 번역해 광범위하게 배포하도록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사건번호 18766/11 및 36030/11, 판결, 2015년 7월 21일, 단락 82-83</w:t>
      </w:r>
    </w:p>
    <w:p>
      <w:pPr>
        <w:ind w:left="0" w:firstLine="0" w:hanging="0"/>
        <w:jc w:val="left"/>
      </w:pPr>
      <w:r>
        <w:rPr>
          <w:rFonts w:ascii="Times New Roman" w:hAnsi="굴림체" w:cs="굴림체" w:eastAsia="굴림체"/>
          <w:sz w:val="24"/>
        </w:rPr>
        <w:t>2. D.L. v.스웨덴 (CRPD/C/17/D/31/2015), 단락 7.3; E.O.J. et al. v. 스웨덴 (CRPD/C/18/D/28/2015), 단락. 10.6; and T.M. v. 그리스 (CRPD/C/21/D/42/2017), 단락. 6.4. 또한 V.S. v. 뉴질랜드 (CCPR/C/115/D/2072/2011), 단락. 6.3; García Perea v. 스페인 (CCPR/C/95/D/1511/2006), 단락. 6.2; and Vargay v. 캐나다 (CCPR/C/96/D/1639/2007), 단락 7.3 참조</w:t>
      </w:r>
    </w:p>
    <w:p>
      <w:pPr>
        <w:ind w:left="0" w:firstLine="0" w:hanging="0"/>
        <w:jc w:val="left"/>
      </w:pPr>
      <w:r>
        <w:rPr>
          <w:rFonts w:ascii="Times New Roman" w:hAnsi="굴림체" w:cs="굴림체" w:eastAsia="굴림체"/>
          <w:sz w:val="24"/>
        </w:rPr>
        <w:t>3. S.C. v 브라질l (CRPD/C/12/D/10/2013), 단락 6.3; Sherlock v. 호주 (CRPD/C/24/D/20/2014), 단락 8.6.</w:t>
      </w:r>
    </w:p>
    <w:p>
      <w:pPr>
        <w:ind w:left="0" w:firstLine="0" w:hanging="0"/>
        <w:jc w:val="left"/>
      </w:pPr>
      <w:r>
        <w:rPr>
          <w:rFonts w:ascii="Times New Roman" w:hAnsi="굴림체" w:cs="굴림체" w:eastAsia="굴림체"/>
          <w:sz w:val="24"/>
        </w:rPr>
        <w:t>4. 일반논평 제5호(2017) 단락 28.</w:t>
      </w:r>
    </w:p>
    <w:p>
      <w:pPr>
        <w:ind w:left="0" w:firstLine="0" w:hanging="0"/>
        <w:jc w:val="left"/>
      </w:pPr>
      <w:r>
        <w:rPr>
          <w:rFonts w:ascii="Times New Roman" w:hAnsi="굴림체" w:cs="굴림체" w:eastAsia="굴림체"/>
          <w:sz w:val="24"/>
        </w:rPr>
        <w:t>5. 같은문서 단락 54</w:t>
      </w:r>
    </w:p>
    <w:p>
      <w:pPr>
        <w:ind w:left="0" w:firstLine="0" w:hanging="0"/>
        <w:jc w:val="left"/>
      </w:pPr>
      <w:r>
        <w:rPr>
          <w:rFonts w:ascii="Times New Roman" w:hAnsi="굴림체" w:cs="굴림체" w:eastAsia="굴림체"/>
          <w:sz w:val="24"/>
        </w:rPr>
        <w:t>6. 같은 문서 단락 55</w:t>
      </w:r>
    </w:p>
    <w:p>
      <w:pPr>
        <w:ind w:left="0" w:firstLine="0" w:hanging="0"/>
        <w:jc w:val="left"/>
      </w:pPr>
      <w:r>
        <w:rPr>
          <w:rFonts w:ascii="Times New Roman" w:hAnsi="굴림체" w:cs="굴림체" w:eastAsia="굴림체"/>
          <w:sz w:val="24"/>
        </w:rPr>
        <w:t>7. 같은 문서 단락 60</w:t>
      </w:r>
    </w:p>
    <w:p>
      <w:pPr>
        <w:ind w:left="0" w:firstLine="0" w:hanging="0"/>
        <w:jc w:val="left"/>
      </w:pPr>
      <w:r>
        <w:rPr>
          <w:rFonts w:ascii="Times New Roman" w:hAnsi="굴림체" w:cs="굴림체" w:eastAsia="굴림체"/>
          <w:sz w:val="24"/>
        </w:rPr>
        <w:t>8. 같은 문서 단락 67</w:t>
      </w:r>
    </w:p>
    <w:p>
      <w:pPr>
        <w:ind w:left="0" w:firstLine="0" w:hanging="0"/>
        <w:jc w:val="left"/>
      </w:pPr>
      <w:r>
        <w:rPr>
          <w:rFonts w:ascii="Times New Roman" w:hAnsi="굴림체" w:cs="굴림체" w:eastAsia="굴림체"/>
          <w:sz w:val="24"/>
        </w:rPr>
        <w:t>9. 같은 문서</w:t>
      </w:r>
    </w:p>
    <w:p>
      <w:pPr>
        <w:ind w:left="0" w:firstLine="0" w:hanging="0"/>
        <w:jc w:val="left"/>
      </w:pPr>
      <w:r>
        <w:rPr>
          <w:rFonts w:ascii="Times New Roman" w:hAnsi="굴림체" w:cs="굴림체" w:eastAsia="굴림체"/>
          <w:sz w:val="24"/>
        </w:rPr>
        <w:t>10. CRPD/C/ITA/CO/1, 단락 47–48.</w:t>
      </w:r>
    </w:p>
    <w:p>
      <w:pPr>
        <w:ind w:left="0" w:firstLine="0" w:hanging="0"/>
        <w:jc w:val="left"/>
      </w:pPr>
      <w:r>
        <w:rPr>
          <w:rFonts w:ascii="Times New Roman" w:hAnsi="굴림체" w:cs="굴림체" w:eastAsia="굴림체"/>
          <w:sz w:val="24"/>
        </w:rPr>
        <w:t>11. 일반논평 제5호(2017) 단락 87</w:t>
      </w:r>
    </w:p>
    <w:p>
      <w:pPr>
        <w:ind w:left="0" w:firstLine="0" w:hanging="0"/>
        <w:jc w:val="left"/>
      </w:pPr>
      <w:r>
        <w:rPr>
          <w:rFonts w:ascii="Times New Roman" w:hAnsi="굴림체" w:cs="굴림체" w:eastAsia="굴림체"/>
          <w:sz w:val="24"/>
        </w:rPr>
        <w:t>12. CRPD/C/ITA/CO/1, 단락 51–52.</w:t>
      </w:r>
    </w:p>
    <w:p>
      <w:pPr>
        <w:ind w:left="0" w:firstLine="0" w:hanging="0"/>
        <w:jc w:val="left"/>
      </w:pPr>
      <w:r>
        <w:rPr>
          <w:rFonts w:ascii="Times New Roman" w:hAnsi="굴림체" w:cs="굴림체" w:eastAsia="굴림체"/>
          <w:sz w:val="24"/>
        </w:rPr>
        <w:t>13. 일반논평 제5호(2017년) 단락 92</w:t>
      </w:r>
    </w:p>
    <w:p>
      <w:pPr>
        <w:ind w:left="0" w:firstLine="0" w:hanging="0"/>
        <w:jc w:val="left"/>
      </w:pPr>
      <w:r>
        <w:rPr>
          <w:rFonts w:ascii="Times New Roman" w:hAnsi="굴림체" w:cs="굴림체" w:eastAsia="굴림체"/>
          <w:sz w:val="24"/>
        </w:rPr>
        <w:t>14. CRPD/C/ITA/CO/1, 단락 71–72.</w:t>
      </w:r>
    </w:p>
    <w:p>
      <w:pPr>
        <w:ind w:left="0" w:firstLine="0" w:hanging="0"/>
        <w:jc w:val="left"/>
      </w:pPr>
      <w:r>
        <w:rPr>
          <w:rFonts w:ascii="Times New Roman" w:hAnsi="굴림체" w:cs="굴림체" w:eastAsia="굴림체"/>
          <w:sz w:val="24"/>
        </w:rPr>
        <w:t>15. 일반논평 제6호(2018년) 단락 17</w:t>
      </w:r>
    </w:p>
    <w:p>
      <w:pPr>
        <w:ind w:left="0" w:firstLine="0" w:hanging="0"/>
        <w:jc w:val="left"/>
      </w:pPr>
      <w:r>
        <w:rPr>
          <w:rFonts w:ascii="Times New Roman" w:hAnsi="굴림체" w:cs="굴림체" w:eastAsia="굴림체"/>
          <w:sz w:val="24"/>
        </w:rPr>
        <w:t>16. 같은 문서 단락 20</w:t>
      </w:r>
    </w:p>
    <w:p>
      <w:pPr>
        <w:ind w:left="0" w:firstLine="0" w:hanging="0"/>
        <w:jc w:val="left"/>
      </w:pPr>
      <w:r>
        <w:rPr>
          <w:rFonts w:ascii="Times New Roman" w:hAnsi="굴림체" w:cs="굴림체" w:eastAsia="굴림체"/>
          <w:sz w:val="24"/>
        </w:rPr>
        <w:t>17. 같은 문서 단락 68</w:t>
      </w:r>
    </w:p>
    <w:p>
      <w:pPr>
        <w:ind w:left="0" w:firstLine="0" w:hanging="0"/>
        <w:jc w:val="left"/>
      </w:pPr>
      <w:r>
        <w:rPr>
          <w:rFonts w:ascii="Times New Roman" w:hAnsi="굴림체" w:cs="굴림체" w:eastAsia="굴림체"/>
          <w:sz w:val="24"/>
        </w:rPr>
        <w:t>18. 유럽사법재판소 S. Coleman v. Attridge Law and Steve Law, ECLI:EU:C:2008:415, 2008년 7월 17일, 단락 38, 50, 56</w:t>
      </w:r>
    </w:p>
    <w:p>
      <w:pPr>
        <w:ind w:left="0" w:firstLine="0" w:hanging="0"/>
        <w:jc w:val="left"/>
      </w:pPr>
      <w:r>
        <w:rPr>
          <w:rFonts w:ascii="Times New Roman" w:hAnsi="굴림체" w:cs="굴림체" w:eastAsia="굴림체"/>
          <w:sz w:val="24"/>
        </w:rPr>
        <w:t>19. 유럽인권재판소, Guberina v. Croatia, 사건번호 23682/13, 판결, 2016년 3월 22일, 단락 76–79</w:t>
      </w:r>
    </w:p>
    <w:p>
      <w:pPr>
        <w:ind w:left="0" w:firstLine="0" w:hanging="0"/>
        <w:jc w:val="left"/>
      </w:pPr>
      <w:r>
        <w:rPr>
          <w:rFonts w:ascii="Times New Roman" w:hAnsi="굴림체" w:cs="굴림체" w:eastAsia="굴림체"/>
          <w:sz w:val="24"/>
        </w:rPr>
        <w:t>20. 일반논평 제5호(2017) 단락 97(c)</w:t>
      </w:r>
    </w:p>
    <w:p>
      <w:pPr>
        <w:ind w:left="0" w:firstLine="0" w:hanging="0"/>
        <w:jc w:val="left"/>
      </w:pPr>
      <w:r>
        <w:rPr>
          <w:rFonts w:ascii="Times New Roman" w:hAnsi="굴림체" w:cs="굴림체" w:eastAsia="굴림체"/>
          <w:sz w:val="24"/>
        </w:rPr>
        <w:t>21. 같은 문서 단락 97(f)</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