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개인통보(2023): 로렌 헨리 vs 호주</w:t>
      </w:r>
    </w:p>
    <w:p>
      <w:pPr>
        <w:ind w:left="0" w:firstLine="0" w:hanging="0"/>
        <w:jc w:val="center"/>
      </w:pPr>
      <w:r>
        <w:rPr>
          <w:rFonts w:ascii="Times New Roman" w:hAnsi="굴림체" w:cs="굴림체" w:eastAsia="굴림체"/>
          <w:sz w:val="24"/>
        </w:rPr>
        <w:t>CRPD Individual Communication(2023): Lauren Henley vs Australia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개인통보(56/2018)</w:t>
      </w:r>
    </w:p>
    <w:p>
      <w:pPr>
        <w:ind w:left="0" w:firstLine="0" w:hanging="0"/>
        <w:jc w:val="right"/>
      </w:pPr>
      <w:r>
        <w:rPr>
          <w:rFonts w:ascii="Times New Roman" w:hAnsi="굴림체" w:cs="굴림체" w:eastAsia="굴림체"/>
          <w:sz w:val="24"/>
        </w:rPr>
        <w:t>CRPD/C/27/D/56/2018</w:t>
      </w:r>
    </w:p>
    <w:p>
      <w:pPr>
        <w:ind w:left="0" w:firstLine="0" w:hanging="0"/>
        <w:jc w:val="right"/>
      </w:pPr>
      <w:r>
        <w:rPr>
          <w:rFonts w:ascii="Times New Roman" w:hAnsi="굴림체" w:cs="굴림체" w:eastAsia="굴림체"/>
          <w:sz w:val="24"/>
        </w:rPr>
        <w:t>위반 - 제4조1항 및 2항과 연계해석한 제9조1항b, 제30조1항b</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2023. 1. 15.</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로렌 헨리(Lauren Henley) (대리인 에린 터너 매너즈(Erin Turner Manners))</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호주</w:t>
      </w:r>
    </w:p>
    <w:p>
      <w:pPr>
        <w:ind w:left="0" w:firstLine="0" w:hanging="0"/>
        <w:jc w:val="left"/>
      </w:pPr>
      <w:r>
        <w:rPr>
          <w:rFonts w:ascii="Times New Roman" w:hAnsi="굴림체" w:cs="굴림체" w:eastAsia="굴림체"/>
          <w:sz w:val="24"/>
        </w:rPr>
        <w:t>제출일: 2018-10-03</w:t>
      </w:r>
    </w:p>
    <w:p>
      <w:pPr>
        <w:ind w:left="0" w:firstLine="0" w:hanging="0"/>
        <w:jc w:val="left"/>
      </w:pPr>
      <w:r>
        <w:rPr>
          <w:rFonts w:ascii="Times New Roman" w:hAnsi="굴림체" w:cs="굴림체" w:eastAsia="굴림체"/>
          <w:sz w:val="24"/>
        </w:rPr>
        <w:t>참고문서: 위원회 절차규칙 제70조에 따라 취한결정, 2018년 11월 28일 당사국 송부(문서 형태로 발행되지 않음)</w:t>
      </w:r>
    </w:p>
    <w:p>
      <w:pPr>
        <w:ind w:left="0" w:firstLine="0" w:hanging="0"/>
        <w:jc w:val="left"/>
      </w:pPr>
      <w:r>
        <w:rPr>
          <w:rFonts w:ascii="Times New Roman" w:hAnsi="굴림체" w:cs="굴림체" w:eastAsia="굴림체"/>
          <w:sz w:val="24"/>
        </w:rPr>
        <w:t>채택일: 2022. 8. 26.</w:t>
      </w:r>
    </w:p>
    <w:p>
      <w:pPr>
        <w:ind w:left="0" w:firstLine="0" w:hanging="0"/>
        <w:jc w:val="left"/>
      </w:pPr>
      <w:r>
        <w:rPr>
          <w:rFonts w:ascii="Times New Roman" w:hAnsi="굴림체" w:cs="굴림체" w:eastAsia="굴림체"/>
          <w:sz w:val="24"/>
        </w:rPr>
        <w:t>주제: 무료 공중파 TV의 화면해설 미제공으로 인한 시각장애인의 접근성 침해</w:t>
      </w:r>
    </w:p>
    <w:p>
      <w:pPr>
        <w:ind w:left="0" w:firstLine="0" w:hanging="0"/>
        <w:jc w:val="left"/>
      </w:pPr>
      <w:r>
        <w:rPr>
          <w:rFonts w:ascii="Times New Roman" w:hAnsi="굴림체" w:cs="굴림체" w:eastAsia="굴림체"/>
          <w:sz w:val="24"/>
        </w:rPr>
        <w:t>절차쟁점: 국내 구제절차의 소진, 주장에 대한 소명 여부</w:t>
      </w:r>
    </w:p>
    <w:p>
      <w:pPr>
        <w:ind w:left="0" w:firstLine="0" w:hanging="0"/>
        <w:jc w:val="left"/>
      </w:pPr>
      <w:r>
        <w:rPr>
          <w:rFonts w:ascii="Times New Roman" w:hAnsi="굴림체" w:cs="굴림체" w:eastAsia="굴림체"/>
          <w:sz w:val="24"/>
        </w:rPr>
        <w:t>본안쟁점: 평등 및 비차별; 접근성; 문화생활 참여</w:t>
      </w:r>
    </w:p>
    <w:p>
      <w:pPr>
        <w:ind w:left="0" w:firstLine="0" w:hanging="0"/>
        <w:jc w:val="left"/>
      </w:pPr>
      <w:r>
        <w:rPr>
          <w:rFonts w:ascii="Times New Roman" w:hAnsi="굴림체" w:cs="굴림체" w:eastAsia="굴림체"/>
          <w:sz w:val="24"/>
        </w:rPr>
        <w:t>관련조항: 제4조 제1항 및 제2항, 제5조 제3항, 제9조 제1항 제b호, 제30조 제1항 제b호</w:t>
      </w:r>
    </w:p>
    <w:p>
      <w:pPr>
        <w:ind w:left="0" w:firstLine="0" w:hanging="0"/>
        <w:jc w:val="left"/>
      </w:pPr>
      <w:r>
        <w:rPr>
          <w:rFonts w:ascii="Times New Roman" w:hAnsi="굴림체" w:cs="굴림체" w:eastAsia="굴림체"/>
          <w:sz w:val="24"/>
        </w:rPr>
        <w:t>선택의정서 관련조항: 제2조 제d호 및 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56/2018</w:t>
      </w:r>
    </w:p>
    <w:p>
      <w:pPr>
        <w:ind w:left="0" w:firstLine="0" w:hanging="0"/>
        <w:jc w:val="left"/>
      </w:pPr>
      <w:r>
        <w:rPr>
          <w:rFonts w:ascii="Times New Roman" w:hAnsi="굴림체" w:cs="굴림체" w:eastAsia="굴림체"/>
          <w:sz w:val="24"/>
        </w:rPr>
        <w:t>1. 통보인은 1986년 3월 25일생 호주 국적의 로렌 헨리(Lauren Henley)이다. 통보인은 당사국이 무료 공중파 TV에서 화면해설을 제공하지 않음으로 인해 자신이 장애인으로서 자립생활을 하고 삶의 모든 영역에 완전히 참여할 수 있도록 보장하지 않은 점에서 당사국이 협약 제9조 제(1항 제b호 및 제30조 제1항 제b호에 따른 권리를 제4조 제1항과 제2항) 및 제5조 제3항과 연계하여 위반하였다고 주장한다. 선택의정서는 2009년 9월 21일에 당사국에서 발효되었다. 변호사가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2006년 오토바이 사고로 완전히 실명했다. 그 이후로 시각장애인을 위한 권익옹호 활동을 하고 있다.</w:t>
      </w:r>
    </w:p>
    <w:p>
      <w:pPr>
        <w:ind w:left="0" w:firstLine="0" w:hanging="0"/>
        <w:jc w:val="left"/>
      </w:pPr>
      <w:r>
        <w:rPr>
          <w:rFonts w:ascii="Times New Roman" w:hAnsi="굴림체" w:cs="굴림체" w:eastAsia="굴림체"/>
          <w:sz w:val="24"/>
        </w:rPr>
        <w:t>2.2 통보인은 화면해설(TV, 영화, 라이브 공연의 시각적 요소에 대한 설명) 부족으로 인해 당사국이 제공하는 무료 공중파 TV를 비시각장애인과 동등하게 이용할 수 없다고 주장한다. 대화와 대화 사이에 제공되는 화면해설은 장면, 배경, 행동, 의상, 자막 등 화면에 나타나는 시각적 요소를 설명한다. 화면해설을 제공하는 나라의 경우, 시각장애인들은 디지털 TV의 별도 언어 트랙이나 TV에서 기본적으로 송출되는 소리와 화면해설을 함께 제공하는 셋톱 박스와 같은 별도의 장비를 통해 화면해설을 들을 수 있다. 화면해설을 제공하면 시각장애가 있는 호주인이 TV 프로그램에 접근할 수 있다. 통보인은 호주 방송국들이 무료 공중파 TV나 무료 온라인 "다시보기“ 서비스와 관련하여 화면해설을 제공하지 않는다고 주장한다.</w:t>
      </w:r>
    </w:p>
    <w:p>
      <w:pPr>
        <w:ind w:left="0" w:firstLine="0" w:hanging="0"/>
        <w:jc w:val="left"/>
      </w:pPr>
      <w:r>
        <w:rPr>
          <w:rFonts w:ascii="Times New Roman" w:hAnsi="굴림체" w:cs="굴림체" w:eastAsia="굴림체"/>
          <w:sz w:val="24"/>
        </w:rPr>
        <w:t>2.3 2015년 5월 12일, 통보인은 무료 공중파 TV가 화면해설을 제공하지 않는다며 호주인권위원회에 진정을 제기했다. 2015년 8월 21일, 호주 통신부는 TV에 화면해설 콘텐츠를 시험 운영 또는 제공하는 등 호주 정부가 몇몇 조치를 취했다고 답변했다(아래 단락 4.7 참조). 통보인은 이러한 조치가 불충분할 뿐 아니라 TV 방송 인허가 요건으로 화면해설 제공을 의무화하는 법률을 제정하는 등 정부가 취할 수 있는 많은 조치들이 아직 이행되지 않고 있다고 주장한다.</w:t>
      </w:r>
    </w:p>
    <w:p>
      <w:pPr>
        <w:ind w:left="0" w:firstLine="0" w:hanging="0"/>
        <w:jc w:val="left"/>
      </w:pPr>
      <w:r>
        <w:rPr>
          <w:rFonts w:ascii="Times New Roman" w:hAnsi="굴림체" w:cs="굴림체" w:eastAsia="굴림체"/>
          <w:sz w:val="24"/>
        </w:rPr>
        <w:t>2.4 2016년 3월 14일, 호주인권위원회 위원장은 호주인권위원회법 제20조 제2항 제c호 (ii)에 따른 위원회의 조사 중단 결정을 통보인에게 통보했다. 해당 법 조항에 따르면, 위원회는 진정 사안이 오해를 불러일으킬 수 있거나 관련 내용이 부족하다고 판단할 경우, 조사를 중단할 수 있다.</w:t>
      </w:r>
    </w:p>
    <w:p>
      <w:pPr>
        <w:ind w:left="0" w:firstLine="0" w:hanging="0"/>
        <w:jc w:val="left"/>
      </w:pPr>
      <w:r>
        <w:rPr>
          <w:rFonts w:ascii="Times New Roman" w:hAnsi="굴림체" w:cs="굴림체" w:eastAsia="굴림체"/>
          <w:sz w:val="24"/>
        </w:rPr>
        <w:t>2.5 2016년 4월 11일, 통보인은 1977년 행정결정(사법심사)법(Administrative Decisions (Judicial Review) Act 1977)에 따라 인권위원회 결정에 대한 행정 심사를 호주 연방순회법원에 신청했다. 법원은 인권위원회가 법적 오류를 범했는지, 또는 권한을 올바르게 행사했는지 여부는 판단할 수 있었지만, 인권위원회 결정의 타당성에 대한 심사 권한은 없었다. 2017년 4월 10일, 법원은 통보인의 행정 심사 신청을 기각하고, 진정 조사를 중단하기로 한 호주인권위원회의 결정에 법적 오류가 없었다고 판결했다.</w:t>
      </w:r>
    </w:p>
    <w:p>
      <w:pPr>
        <w:ind w:left="0" w:firstLine="0" w:hanging="0"/>
        <w:jc w:val="left"/>
      </w:pPr>
      <w:r>
        <w:rPr>
          <w:rFonts w:ascii="Times New Roman" w:hAnsi="굴림체" w:cs="굴림체" w:eastAsia="굴림체"/>
          <w:sz w:val="24"/>
        </w:rPr>
        <w:t>2.6 통보인은 이러한 판결에 대하여 호주 연방대법원에 항소하지 않았다. 항소를 하더라도 성공 가능성이 제한적이고 적절한 구제를 제공받을 가능성이 낮다고 판단하였기 때문이다. 또한 항소에서 패소할 경우, 통보인은 막대한 소송 비용을 부담해야 했을 것이다. 통보인은 가능한 구제책에 대한 청구의 성공 전망이 낮은 경우 해당 청구는 통보인에게 효과적인 구제책을 제공하지 못할 가능성이 높다고 명시한위원회의 법리를 언급한다. *1 )</w:t>
      </w:r>
    </w:p>
    <w:p>
      <w:pPr>
        <w:ind w:left="0" w:firstLine="0" w:hanging="0"/>
        <w:jc w:val="left"/>
      </w:pPr>
      <w:r>
        <w:rPr>
          <w:rFonts w:ascii="Times New Roman" w:hAnsi="굴림체" w:cs="굴림체" w:eastAsia="굴림체"/>
          <w:sz w:val="24"/>
        </w:rPr>
        <w:t>2.7 통보인은 “호주 법원은 일반적으로 인권을 재판의 대상으로 삼지 않는다”는 이유로 자신이 국내에서 이용할 수 있는 유일한 진정 청구 기관은 호주인권위원회라고 주장한다. 통보인은 비즐리 대 호주(Beasley v. Australia) 진정과 관련한 위원회의 견해를 언급하며, 호주인권위원회는 호주 정부가 통보인의 권리를 이행하도록 강제할 권한이 없었기 때문에 자신의 인권위원회 진정은 효과적이지 않았으며, 인권위원회에 대한 진정 제기가 국내 구제절차의 소진을 위해 필요하지 않다고 주장한다. *2 )</w:t>
      </w:r>
    </w:p>
    <w:p>
      <w:pPr>
        <w:ind w:left="0" w:firstLine="0" w:hanging="0"/>
        <w:jc w:val="left"/>
      </w:pPr>
      <w:r>
        <w:rPr>
          <w:rFonts w:ascii="Times New Roman" w:hAnsi="굴림체" w:cs="굴림체" w:eastAsia="굴림체"/>
          <w:sz w:val="24"/>
        </w:rPr>
        <w:t>2.8 통보인은 본 사안을 다른 국제 조사 또는 조정 기관에 제출하지 않았다고 진술한다.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당사국이 무료 공중파 TV 화면해설을 제공하기 위한 적절한 모든 조치를 취하지 않음으로써 협약 제4조 제1항과 제2항 및 제5조 제3항과 연계하여 해석되는 제9조 제1항 제b호 및 제30조 제1항 제b호에 따른 권리를 침해하였다고 주장한다. 협약 제9조 제1항 제b호는 당사국이 정보, 통신 및 기타 서비스에 대한 접근성을 가로막는 장애물과 장벽을 식별하고 제거함으로써 장애인이 자립생활을 하고 삶의 모든 측면에 완전히 참여할 수 있도록 할 의무를 규정한다.</w:t>
      </w:r>
    </w:p>
    <w:p>
      <w:pPr>
        <w:ind w:left="0" w:firstLine="0" w:hanging="0"/>
        <w:jc w:val="left"/>
      </w:pPr>
      <w:r>
        <w:rPr>
          <w:rFonts w:ascii="Times New Roman" w:hAnsi="굴림체" w:cs="굴림체" w:eastAsia="굴림체"/>
          <w:sz w:val="24"/>
        </w:rPr>
        <w:t>3.2 또한 협약 제30조 제1항 제b호에 따르면, 당사국은 "장애인이 ... 접근 가능한 형식으로 TV 프로그램에 접근할 수 있도록 보장하기 위한 적절한 모든 조치"를 취할 의무가 있다. 이와 관련하여 제9조 제1항 제b호 및 제30조 제1항 제b호는 화면해설 제공을 포함한 접근 가능한 형식으로 TV 프로그램에 접근할 수 있는 통보인의 권리를 명확히 규정한다.</w:t>
      </w:r>
    </w:p>
    <w:p>
      <w:pPr>
        <w:ind w:left="0" w:firstLine="0" w:hanging="0"/>
        <w:jc w:val="left"/>
      </w:pPr>
      <w:r>
        <w:rPr>
          <w:rFonts w:ascii="Times New Roman" w:hAnsi="굴림체" w:cs="굴림체" w:eastAsia="굴림체"/>
          <w:sz w:val="24"/>
        </w:rPr>
        <w:t>3.3 이와 관련한 당사국의 의무는 협약 제4조 제1항과 제2항 및 제5조 제3항의 맥락에서 해석되어야 한다. 제4조 제1항에 따르면, 당사국은 협약상의 권리 실현을 위해 모든 적절한 입법적, 행정적 및 기타 조치를 취해야 한다. 제4조 제2항)에 따르면, 당사국은 가용 자원을 최대한 활용하고, 필요한 경우 국제 협력을 통해 점진적으로 경제적, 사회적 및 문화적 권리의 완전한 실현을 위한 조치를 취할 의무가 있다. 제5조 제3항은 당사국이 차별을 제거하기 위한 합리적 편의제공을 보장하는 적절한 모든 조치를 취하도록 규정하고 있다.</w:t>
      </w:r>
    </w:p>
    <w:p>
      <w:pPr>
        <w:ind w:left="0" w:firstLine="0" w:hanging="0"/>
        <w:jc w:val="left"/>
      </w:pPr>
      <w:r>
        <w:rPr>
          <w:rFonts w:ascii="Times New Roman" w:hAnsi="굴림체" w:cs="굴림체" w:eastAsia="굴림체"/>
          <w:sz w:val="24"/>
        </w:rPr>
        <w:t>3.4 정부가 화면해설과 관련하여 몇 가지 조치를 취했지만, 이는 협약에 따른 의무를 이행하기에 충분하지 않다.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2019년 9월 30일, 당사국은 진정의 심리적격과 본안에 관한 견해를 제출했다. 당사국은 국내 구제절차가 소진되지 않았으므로 통보는 심리부적격으로 간주되어야 한다고 주장한다.</w:t>
      </w:r>
    </w:p>
    <w:p>
      <w:pPr>
        <w:ind w:left="0" w:firstLine="0" w:hanging="0"/>
        <w:jc w:val="left"/>
      </w:pPr>
      <w:r>
        <w:rPr>
          <w:rFonts w:ascii="Times New Roman" w:hAnsi="굴림체" w:cs="굴림체" w:eastAsia="굴림체"/>
          <w:sz w:val="24"/>
        </w:rPr>
        <w:t>4.2 당사국은 통보인이 공공 생활의 특정 영역에서 장애를 근거로 한 차별을 금지하고 장애인의 동등한 기회 및 접근을 장려하는 1992년 장애차별법(Disability Discrimination Act)에 따라 호주인권위원회에 진정을 제기할 수 있었다고 주장한다. 인권위원회 진정이 조사 및 후속 조정 절차를 거쳤음에도 해결되지 않았을 경우, 통보인은 호주 연방순회법원 또는 호주 연방법원에서 법적 절차를 개시할 수 있었을 것이다. 또 통보인이 그러한 법적 절차에서 승소했을 경우 구제 조치를 받을 수 있었을 것이다. 2016년 3월 14일, 당사국은 호주인권위원회가 진정 사안이 오해를 불러일으킬 수 있거나 관련 내용이 부족하다고 판단하여 진정에 대한 조사를 중단할 경우, 소송을 할 기회가 있다는 것을 통보인에게 조언했다고 지적한다.</w:t>
      </w:r>
    </w:p>
    <w:p>
      <w:pPr>
        <w:ind w:left="0" w:firstLine="0" w:hanging="0"/>
        <w:jc w:val="left"/>
      </w:pPr>
      <w:r>
        <w:rPr>
          <w:rFonts w:ascii="Times New Roman" w:hAnsi="굴림체" w:cs="굴림체" w:eastAsia="굴림체"/>
          <w:sz w:val="24"/>
        </w:rPr>
        <w:t>4.3 당사국은 협약 제5조에 따른 통보인의 주장이 명백히 근거가 없거나 입증이 불충분하다고 적시한다. 또 당사국은 통보인이 진정서에서 “통합적 평등(inclusive equality)” 모델의 관련성을 충분히 입증하지 못하고, 당사국이 제5조에 따른 권리를 침해한 근거를 설명하지도 못했다고 지적한다.</w:t>
      </w:r>
    </w:p>
    <w:p>
      <w:pPr>
        <w:ind w:left="0" w:firstLine="0" w:hanging="0"/>
        <w:jc w:val="left"/>
      </w:pPr>
      <w:r>
        <w:rPr>
          <w:rFonts w:ascii="Times New Roman" w:hAnsi="굴림체" w:cs="굴림체" w:eastAsia="굴림체"/>
          <w:sz w:val="24"/>
        </w:rPr>
        <w:t>4.4 당사국은 협약 제4조 제1항과 제2항 및 제5조 제3항과 연계하여 해석되는 제9조 제1항 제b호에 따른 통보인의 주장은 타당성이 없다고 주장한다.</w:t>
      </w:r>
    </w:p>
    <w:p>
      <w:pPr>
        <w:ind w:left="0" w:firstLine="0" w:hanging="0"/>
        <w:jc w:val="left"/>
      </w:pPr>
      <w:r>
        <w:rPr>
          <w:rFonts w:ascii="Times New Roman" w:hAnsi="굴림체" w:cs="굴림체" w:eastAsia="굴림체"/>
          <w:sz w:val="24"/>
        </w:rPr>
        <w:t>4.5 당사국은 장애인이 “지역사회에서 자립생활을 하고 삶의 모든 측면에 완전히 참여”하려면, 장애인이 다른 사람과 동등하게 지역사회에서 생활할 수 있도록 하는 지원과 접근 가능한 구조와 시스템이 필요하다는 것을 이해한다. 또한 이러한 시스템에 무료 공중파 TV의 접근성을 향상시키기 위한 화면해설과 같은 시스템이 포함된다는 것도 인정한다. 당사국은 이러한 권리를 점진적으로 실현하기 위한 조치를 취하는 것이 협약에 따른 당사국의 의무라고 적시한다. 적절한 조치란 국가가 직면한 제한된 자원 및 장애인에 대한 접근성 선택권 제공을 포함한 우선순위로 해결해야할 여러 사안들 간의 균형 유지를 고려하는 것이다.</w:t>
      </w:r>
    </w:p>
    <w:p>
      <w:pPr>
        <w:ind w:left="0" w:firstLine="0" w:hanging="0"/>
        <w:jc w:val="left"/>
      </w:pPr>
      <w:r>
        <w:rPr>
          <w:rFonts w:ascii="Times New Roman" w:hAnsi="굴림체" w:cs="굴림체" w:eastAsia="굴림체"/>
          <w:sz w:val="24"/>
        </w:rPr>
        <w:t>4.6 당사국은 정보 및 통신 관련 접근성의 완전한 실현을 점진적으로 달성하기 위해 적절한 조치를 취했다고 주장한다. 이러한 조치는 무료 공중파 TV의 화면해설 제공과 관련된 조사와 시험 운영을 포함한다. 당사국은 해당 조치가 호주에서의 화면해설 제공의 실행 가능성, 지역사회의 부문에 미치는 영향 및 실행 방안을 파악함에 있어 합리적이고 적절하며 균형 잡힌 조치라고 간주한다. 당사국은 무료 공중파 및 유료 TV에 자막을 제공하도록 방송사에 강제하는 법적 요건과 같은 조치뿐만 아니라 시험 방송 운영 및 보고서를 통한 화면해설 연구사업 역시 협약에 부합하고 장애인이 접근 가능한 형식으로 TV 프로그램에 접근할 수 있도록 보장하는 조치라고 적시한다.</w:t>
      </w:r>
    </w:p>
    <w:p>
      <w:pPr>
        <w:ind w:left="0" w:firstLine="0" w:hanging="0"/>
        <w:jc w:val="left"/>
      </w:pPr>
      <w:r>
        <w:rPr>
          <w:rFonts w:ascii="Times New Roman" w:hAnsi="굴림체" w:cs="굴림체" w:eastAsia="굴림체"/>
          <w:sz w:val="24"/>
        </w:rPr>
        <w:t>4.7 당사국이 시각장애인의 정보통신 접근권을 다른 사람과 동등하게 점진적으로 실현하기 위해 취한 조치들은 아래와 같다.</w:t>
      </w:r>
    </w:p>
    <w:p>
      <w:pPr>
        <w:ind w:left="0" w:firstLine="0" w:hanging="0"/>
        <w:jc w:val="left"/>
      </w:pPr>
      <w:r>
        <w:rPr>
          <w:rFonts w:ascii="Times New Roman" w:hAnsi="굴림체" w:cs="굴림체" w:eastAsia="굴림체"/>
          <w:sz w:val="24"/>
        </w:rPr>
        <w:t>a) 2008년 6월, 광대역·통신·디지털경제부는 토론 자료집 “청각 및 시각장애인을 위한 전자 매체 접근성(Access to the Electronic Media for the Hearing and Visually Impaired)”을 발간했다. 여기에는 청각 또는 시각장애인과 관련 단체 등이 제출한 167건의 제안을 포함하여 무료 공중파 TV, 유료 TV 및 영화에 대한 자막 및 화면해설의 이용 가능성에 대한 조사 결과가 포함되었다. 또 2009년 11월에 해당 부서는 후속 자료집 "청각 및 시각장애인을 위한 전자 매체 접근성: 검토되어야 할 접근법(Access to Electronic Media for the Hearing and Vision Impaired: approaches for consideration)”을 발간했다.</w:t>
      </w:r>
    </w:p>
    <w:p>
      <w:pPr>
        <w:ind w:left="0" w:firstLine="0" w:hanging="0"/>
        <w:jc w:val="left"/>
      </w:pPr>
      <w:r>
        <w:rPr>
          <w:rFonts w:ascii="Times New Roman" w:hAnsi="굴림체" w:cs="굴림체" w:eastAsia="굴림체"/>
          <w:sz w:val="24"/>
        </w:rPr>
        <w:t>b) 2010년 12월, 광대역·통신·디지털경제부는 다양한 제안과 이해관계자 피드백을 신중하게 검토한 후 “청각 및 시각장애인을 위한 전자 매체 접근에 관한 조사: 미디어 접근성 검토 최종 보고서”를 발표했다. 이 보고서는 화면해설과 관련하여 다음과 같은 두 가지를 정부에 권고했다. 첫째, ABC(Australian Broadcasting Corporation) 방송국에 화면해설 기술 시험을 의뢰하고, 둘째 화면해설 시험이 완료되면 그 결과와 관련한 호주통신및미디어청의 기술 자문을 받아 점진적인 화면해설 요건 도입에 대해 추가로 검토한다.</w:t>
      </w:r>
    </w:p>
    <w:p>
      <w:pPr>
        <w:ind w:left="0" w:firstLine="0" w:hanging="0"/>
        <w:jc w:val="left"/>
      </w:pPr>
      <w:r>
        <w:rPr>
          <w:rFonts w:ascii="Times New Roman" w:hAnsi="굴림체" w:cs="굴림체" w:eastAsia="굴림체"/>
          <w:sz w:val="24"/>
        </w:rPr>
        <w:t>c) 2012년, ABC 방송국은 정부 자금을 지원받아 주 텔레비전 채널인 ABC1에서 주당 15시간씩 화면해설이 포함된 TV 프로그램을 13주 동안 시험 송출했다. 그에 대한 결과 보고서는 2012년 12월에 발표되었다.</w:t>
      </w:r>
    </w:p>
    <w:p>
      <w:pPr>
        <w:ind w:left="0" w:firstLine="0" w:hanging="0"/>
        <w:jc w:val="left"/>
      </w:pPr>
      <w:r>
        <w:rPr>
          <w:rFonts w:ascii="Times New Roman" w:hAnsi="굴림체" w:cs="굴림체" w:eastAsia="굴림체"/>
          <w:sz w:val="24"/>
        </w:rPr>
        <w:t>d) 2015년 4월, ABC 방송국의 온라인 다시보기 서비스가 주당 14시간씩 15개월 동안 시험 운영되었고, 2017년 4월 5일에 최종 보고서를 발표했다.</w:t>
      </w:r>
    </w:p>
    <w:p>
      <w:pPr>
        <w:ind w:left="0" w:firstLine="0" w:hanging="0"/>
        <w:jc w:val="left"/>
      </w:pPr>
      <w:r>
        <w:rPr>
          <w:rFonts w:ascii="Times New Roman" w:hAnsi="굴림체" w:cs="굴림체" w:eastAsia="굴림체"/>
          <w:sz w:val="24"/>
        </w:rPr>
        <w:t>e) 2017년 4월, 당사국은 화면해설 서비스의 가용성을 높이기 위한 방안을 검토하기 위해 화면해설 실무그룹을 만들고, 2018년 5월 22일에 실무그룹 보고서를 발표했다.</w:t>
      </w:r>
    </w:p>
    <w:p>
      <w:pPr>
        <w:ind w:left="0" w:firstLine="0" w:hanging="0"/>
        <w:jc w:val="left"/>
      </w:pPr>
      <w:r>
        <w:rPr>
          <w:rFonts w:ascii="Times New Roman" w:hAnsi="굴림체" w:cs="굴림체" w:eastAsia="굴림체"/>
          <w:sz w:val="24"/>
        </w:rPr>
        <w:t>f) 당사국은 전임 통신·예술부장관이 2019년 3월 방송업계에 무료 공중파 TV에 화면해설 도입 계획을 수립하라고 요청한 서신에 대해 무료 공중파 방송사들과 프리 TV 오스트리아(Free TV Australia)가 제시한 응답을 검토하고 있다.</w:t>
      </w:r>
    </w:p>
    <w:p>
      <w:pPr>
        <w:ind w:left="0" w:firstLine="0" w:hanging="0"/>
        <w:jc w:val="left"/>
      </w:pPr>
      <w:r>
        <w:rPr>
          <w:rFonts w:ascii="Times New Roman" w:hAnsi="굴림체" w:cs="굴림체" w:eastAsia="굴림체"/>
          <w:sz w:val="24"/>
        </w:rPr>
        <w:t>4.8 당사국은 화면해설 제공에 관한 연구를 수행한 것이 적절하고, 합리적이며, 균형 잡힌 조치라고 주장한다. 이 연구는 중대한 기술적 과제가 수반되는 서비스를 제공하는 데 필요한 정보를 확인하는 데 중요하다. 시험 방송에서 드러난 화면해설 제공과 관련된 기술적 과제는 호주 정부의 검토를 필요로 하며, 화면해설 서비스 기능 도입에 앞서 이행되어야 할 절차가 무엇인지 미리 예측할 수 있는 초기 지표를 제공한다. 시험 결과 상당한 자본과 지속적인 운영비가 소요될 전망이고, 따라서 호주 정부는 서비스 제공에 필요한 재정 문제를 해결할 방안을 가지고 있어야 했다. 2015년에 실시된 시험 방송은 기술적 어려움에도 불구하고 대체로 성공적이었지만, 화면해설 제공에 필요한 다양한 기술적 쟁점이 드러났다. 시험 운영에서 일부 도출된 상세한 연구는 당사국이 다양한 방안에 대해 연구하고 보고하는 것이 적절하다는 것을 보여준다. 특히, 화면해설 제공 관련 각 방안별 기술적, 재정적, 실행상의 과제와 그에 따른 영향을 조사하는 것이 중요하다. 예를 들어, 해당 연구를 통해 몇 가지 기술적 방안의 장점과 단점을 고려할 수 있었으며, 특히 시각장애가 있는 고령자들이 적절한 기기에 익숙하지 않아 온라인 플랫폼을 이용하는 데 어려움을 겪을 수 있다는 점과 고령자들이 텔레비전 방송을 선호한다는 점이 부각되었다.</w:t>
      </w:r>
    </w:p>
    <w:p>
      <w:pPr>
        <w:ind w:left="0" w:firstLine="0" w:hanging="0"/>
        <w:jc w:val="left"/>
      </w:pPr>
      <w:r>
        <w:rPr>
          <w:rFonts w:ascii="Times New Roman" w:hAnsi="굴림체" w:cs="굴림체" w:eastAsia="굴림체"/>
          <w:sz w:val="24"/>
        </w:rPr>
        <w:t>4.9 당사국이 화면해설을 의무화하고 지속적인 자금을 지원하는 법률을 제정해야 한다는 통보인의 주장과 관련하여, 당사국은 무료 공중파 시청자가 감소하고 재정적 어려움이 증가하는 시기에 호주 방송사들이 추가 서비스를 도입할 경우 자원 및 규제 관련 부담이 가중된다고 지적한다. 호주의 방송 구조는 제한적이며, 이로 인해 화면해설을 시행할 수 있는 세 가지 플랫폼 중 하나인 방송 텔레비전에서 화면해설을 시행하는 것은 방송사에 주요한 구조적, 기술적, 재정적 혼란을 초래할 수 있고, 잠재적으로 시청자들에게도 상당한 혼란을 일으킬 수 있다. 당사국은 상충되는 국가적 우선순위와 자원을 고려함에 있어 재량권의 중요성을 강조한다.</w:t>
      </w:r>
    </w:p>
    <w:p>
      <w:pPr>
        <w:ind w:left="0" w:firstLine="0" w:hanging="0"/>
        <w:jc w:val="left"/>
      </w:pPr>
      <w:r>
        <w:rPr>
          <w:rFonts w:ascii="Times New Roman" w:hAnsi="굴림체" w:cs="굴림체" w:eastAsia="굴림체"/>
          <w:sz w:val="24"/>
        </w:rPr>
        <w:t>4.10 당사국이 방송사들의 화면해설 제공 관련 목표를 공개적으로 설정해야 한다고 한 통보인의 주장과 관련하여, 당사국은 방송사들이 무료 지상파 텔레비전에서 직면하고 있는 구조적 실행 문제로 인해 정부의 지원을 요청했다고 주장한다. 이러한 이유로 인해 방송사에 대한 목표 설정은 어느 정도의 정부 개입과 분리될 수 없다. 마지막으로, 당사국이 협약 제9조 및 제30조에 명시된 권리를 실현하기 위한 공개적으로 이용 가능한 포괄적인 계획을 수립해야 한다고 통보인이 주장한 것과 관련하여, 당사국은 국가장애전략(National Disability Strategy)을 언급하며, 이는 장애인을 위한 다른 접근성 관련 서비스의 제공을 포함하여 특정 자원 수요를 우선시하는 당사국의 재량권과 일치한다고 설명한다. 당사국은 협약이 당사국으로 하여금 특정한 접근성 조치 도입을 위한 한시적 계획을 일정한 기간 안에 수립하도록 요구하지 않고, 따라서 이를 근거로 협약 위반을 판단해서는 안 된다고 간주한다.</w:t>
      </w:r>
    </w:p>
    <w:p>
      <w:pPr>
        <w:ind w:left="0" w:firstLine="0" w:hanging="0"/>
        <w:jc w:val="left"/>
      </w:pPr>
      <w:r>
        <w:rPr>
          <w:rFonts w:ascii="Times New Roman" w:hAnsi="굴림체" w:cs="굴림체" w:eastAsia="굴림체"/>
          <w:sz w:val="24"/>
        </w:rPr>
        <w:t>4.11 당사국은 당사국이 지속적인 자금 지원에 대한 의지를 보이지 않았으며, 두 차례의 시험 운영을 위한 시간 제한적 자금 할당이 철회된 것을 퇴행적인 조치로 간주해야 한다는 통보인의 주장에 동의하지 않는다. 당사국은 그러한 결론이 국가들이 연구, 시험 운영, 심사를 통해 궁극적으로 더 나은 정책 및 실질적인 결과를 도출하는 것을 방해할 것이라고 주장한다. 이는 "적절한 조치를 취한다"는 표현의 의미와 접근성을 보장하기 위해 필요한 조치를 취해야 한다는 협약의 요건에 반하는 것이다.</w:t>
      </w:r>
    </w:p>
    <w:p>
      <w:pPr>
        <w:ind w:left="0" w:firstLine="0" w:hanging="0"/>
        <w:jc w:val="left"/>
      </w:pPr>
      <w:r>
        <w:rPr>
          <w:rFonts w:ascii="Times New Roman" w:hAnsi="굴림체" w:cs="굴림체" w:eastAsia="굴림체"/>
          <w:sz w:val="24"/>
        </w:rPr>
        <w:t>4.12 협약 제5조와 연계되는 제9조 제1항 제b호에 따른 통보인의 주장과 관련하여, 당사국은 통보인이 자신의 개인적인 사례와 ‘합리적 편의제공’ 의무가 왜 연관되는지 충분히 입증하지 못했다고 주장한다. 당사국은 통보인이 요구하는 구제 조치는 무료 공중파 TV와 관련하여 모든 시각장애인을 위한 것으로 보이는 반면, ‘합리적 편의제공’은 개인과 관련된 특정 사례에서 조정이 필요한 경우에 적용된다고 주장한다. 또한, 당사국은 합리적인 편의 제공 의무가 접근성 제공 의무와 다르다는 위원회의 의견을 언급하며, 두 의무 모두 접근성을 보장하기 위한 것이지만, 보편적 설계 또는 보조 기술을 통한 접근성 제공 의무는 사전적 의무인 반면, 합리적인 편의 제공 의무는 사후적 의무라고 설명한다. 사후적 의무로서 합리적인 편의 제공은 요청이 접수된 순간부터 적용되는 개별적이고 반응적인 의무이다. *3 )</w:t>
      </w:r>
    </w:p>
    <w:p>
      <w:pPr>
        <w:ind w:left="0" w:firstLine="0" w:hanging="0"/>
        <w:jc w:val="left"/>
      </w:pPr>
      <w:r>
        <w:rPr>
          <w:rFonts w:ascii="Times New Roman" w:hAnsi="굴림체" w:cs="굴림체" w:eastAsia="굴림체"/>
          <w:sz w:val="24"/>
        </w:rPr>
        <w:t>4.13 끝으로, 다른 사람과 동등하게 문화생활에 참여할 권리에 관한 제30조 제1항 제b호에 근거한 통보인의 주장과 관련하여, 당사국은 장애인의 문화생활 참여를 증진할 의무가 있고 이 조항에 따른 “적절한 모든 조치를 취하는 것”은 제9조와 관련하여 위에서 논의한 최대 가용 자원의 점진적인 실현과 동일한 또는 유사한 고려사항이 적용되어야 한다고 인정한다. 여기에는 관련 고려 사항을 검토한 후 자원을 지속적으로 평가하고 국가 우선순위를 지정하는 것이 포함된다. 당사국은 제4조 제1항 및 제2항과 연계된 제9조에 따라 호주에서 화면해설을 시행함으로써 문화생활 권리를 점진적으로 실현하기 위한 계획적이고 구체적인 조치를 취했다고 주장한다.</w:t>
      </w:r>
    </w:p>
    <w:p>
      <w:pPr>
        <w:ind w:left="0" w:firstLine="0" w:hanging="0"/>
        <w:jc w:val="left"/>
      </w:pPr>
      <w:r>
        <w:rPr>
          <w:rFonts w:ascii="Times New Roman" w:hAnsi="굴림체" w:cs="굴림체" w:eastAsia="굴림체"/>
          <w:sz w:val="24"/>
        </w:rPr>
        <w:t>4.14 당사국은 위 제9조 제1항 제b호와 관련된 당사국의 주장(위 단락 4.12 참조)을 언급하며, 당사국은 차별적인 방식으로 화면해설을 제공하는 조치를 취하지 않았으며, 위에서 설명한 동일한 고려 사항이 제5조와 마찬가지로 제30조 제1항 제b호에도 관련된다고 주장한다.</w:t>
      </w:r>
    </w:p>
    <w:p>
      <w:pPr>
        <w:ind w:left="0" w:firstLine="0" w:hanging="0"/>
        <w:jc w:val="center"/>
      </w:pPr>
      <w:r>
        <w:rPr>
          <w:rFonts w:ascii="Times New Roman" w:hAnsi="굴림체" w:cs="굴림체" w:eastAsia="굴림체"/>
          <w:sz w:val="24"/>
        </w:rPr>
        <w:t>심리적격과 본안에 관한 당사국 견해에 대한 통보인의 의견</w:t>
      </w:r>
    </w:p>
    <w:p>
      <w:pPr>
        <w:ind w:left="0" w:firstLine="0" w:hanging="0"/>
        <w:jc w:val="left"/>
      </w:pPr>
      <w:r>
        <w:rPr>
          <w:rFonts w:ascii="Times New Roman" w:hAnsi="굴림체" w:cs="굴림체" w:eastAsia="굴림체"/>
          <w:sz w:val="24"/>
        </w:rPr>
        <w:t>5.1 2019년 12월 6일, 통보인은 통보의 심리적격 및 본안에 관한 당사국의 견해에 대한 의견을 제출했다. 통보인은 통보가 심리 가능하다고 주장한다.</w:t>
      </w:r>
    </w:p>
    <w:p>
      <w:pPr>
        <w:ind w:left="0" w:firstLine="0" w:hanging="0"/>
        <w:jc w:val="left"/>
      </w:pPr>
      <w:r>
        <w:rPr>
          <w:rFonts w:ascii="Times New Roman" w:hAnsi="굴림체" w:cs="굴림체" w:eastAsia="굴림체"/>
          <w:sz w:val="24"/>
        </w:rPr>
        <w:t>5.2 국내 구제절차의 소진과 관련하여, 통보인은 1992년 장애차별법이 당사국에서 제한된 유형의 장애차별에 관한 청구만 다룬다고 주장한다. 화면해설 서비스 제공에 관한 청구의 경우, 호주 정부를 상대로는 불가하고 개별 방송사를 상대로만 가능하기 때문에 어느 곳에 청구를 제기하느냐에 따라 매우 상이한 결과를 초래할 수 있다. *4 ) 호주에서는 정부를 상대로 어떠한 구제도 받을 수 없고, 법원은 정부가 화면해설 제공 촉진을 위한 조치를 취하도록 강제할 수도 없다. 또한, 통보인의 청구는 어떠한 연방 법률에 따른 기능 수행이나 권한 행사, 또는 연방 프로그램이나 법률 또는 프로그램의 운영과 관련된 것이 아니다. *5 ) 본 진정과 관련하여 통보인이 문제 삼고 있는 것은 화면해설과 관련된 법률이나 정책의 부재이다. 따라서 통보인의 청구는 장애차별법의 범위 밖에 있다.</w:t>
      </w:r>
    </w:p>
    <w:p>
      <w:pPr>
        <w:ind w:left="0" w:firstLine="0" w:hanging="0"/>
        <w:jc w:val="left"/>
      </w:pPr>
      <w:r>
        <w:rPr>
          <w:rFonts w:ascii="Times New Roman" w:hAnsi="굴림체" w:cs="굴림체" w:eastAsia="굴림체"/>
          <w:sz w:val="24"/>
        </w:rPr>
        <w:t>5.3 통보인은 협약 제5조에 따른 자신의 주장을 충분히 입증했다고 간주한다. 또 통보인은 당사국이 합리적 편의제공을 보장하기 위한 모든 적절한 조치를 취하지 못했으며, 이는 방송사들의 화면해설 제공에 대한 최소 목표를 법제화하지 못한 것이라고 주장한다. 이로 인해 개인으로서의 그녀의 권리가 침해되었다. 2012년 ABC 방송국이 화면해설에 대한 첫 번째 기술 시험을 진행하고 있을 때, 통보인은 시험 종료일 이후에도 화면해설 서비스를 제공하도록 요청하는 서신을 정부에 보냈지만, 아무런 답변을 받지 못했다.</w:t>
      </w:r>
    </w:p>
    <w:p>
      <w:pPr>
        <w:ind w:left="0" w:firstLine="0" w:hanging="0"/>
        <w:jc w:val="left"/>
      </w:pPr>
      <w:r>
        <w:rPr>
          <w:rFonts w:ascii="Times New Roman" w:hAnsi="굴림체" w:cs="굴림체" w:eastAsia="굴림체"/>
          <w:sz w:val="24"/>
        </w:rPr>
        <w:t>5.4 통보인은 협약이 “통합적 평등” 모델을 명확하게 제시한다고 적시한다. 이 모델은 협약 전반에 걸쳐 발전되어 있으며, 협약 자체가 “통합적 평등”을 기반으로 하고 있다. *6 )</w:t>
      </w:r>
    </w:p>
    <w:p>
      <w:pPr>
        <w:ind w:left="0" w:firstLine="0" w:hanging="0"/>
        <w:jc w:val="left"/>
      </w:pPr>
      <w:r>
        <w:rPr>
          <w:rFonts w:ascii="Times New Roman" w:hAnsi="굴림체" w:cs="굴림체" w:eastAsia="굴림체"/>
          <w:sz w:val="24"/>
        </w:rPr>
        <w:t>5.5 통보인은 당사국이 가용 자원을 최대한 활용하여 적절한 모든 조치를 취하지 않았다고 거듭 주장한다. 당사국은 두 차례 화면해설 시험 방송에 재정지원을 했지만, 지속적으로 재정지원을 하거나 어떠한 플랫폼에서도 화면해설을 제공하겠다는 의지를 보여주지 않았다. 또 화면해설 제공과 관련하여 협약 제9조 제1항 제b호 및 제30조 제1항 제b호에서 규정한 권리의 점진적 실현을 위한 계획, 전략 또는 정책 체계를 채택하지 않았다. 당사국은 자원이 제한적이더라도 전략과 계획을 모니터링하고 수립할 의무가 있다.</w:t>
      </w:r>
    </w:p>
    <w:p>
      <w:pPr>
        <w:ind w:left="0" w:firstLine="0" w:hanging="0"/>
        <w:jc w:val="left"/>
      </w:pPr>
      <w:r>
        <w:rPr>
          <w:rFonts w:ascii="Times New Roman" w:hAnsi="굴림체" w:cs="굴림체" w:eastAsia="굴림체"/>
          <w:sz w:val="24"/>
        </w:rPr>
        <w:t>5.6 첫째, 통보인은 화면해설 제공과 관련하여 협약 제9조 제1항 제b호 및 제30조 제1항 제b호에서 규정한 권리의 실현에 대한 전략과 구체적인 계획을 수립하지 못한 것에 대해 자원 제약이 당사국의 변명이 될 수 없다고 주장한다. 당사국은 자원 또는 재정적 제약에 대한 어떠한 증거도 제시하지 않았다. 그러한 제약이 존재한다는 주장만으로는 증거가 되지 못한다. 설령, 그러한 제약이 존재한다 하더라도, 협약에서 다루는 권리의 완전한 실현을 위해 구체적이고 신중한 조치가 취해지도록 하기 위한 입법 및 모니터링 체계를 제공하지 않은 것은 변명이 될 수 없다. 또 당사국은 화면해설 서비스 제공과 관련하여 “무료 공중파 시청자 감소”를 구실로 내세우지만, 통보인은 시청자 감소는 화면해설 제공 의무 이행과 전혀 무관하다고 주장한다. 아울러 통보인은 무료 온라인 ‘다시보기’ 서비스에 화면해설이 제공되지 않는다는 진정도 제기했다고 지적한다.</w:t>
      </w:r>
    </w:p>
    <w:p>
      <w:pPr>
        <w:ind w:left="0" w:firstLine="0" w:hanging="0"/>
        <w:jc w:val="left"/>
      </w:pPr>
      <w:r>
        <w:rPr>
          <w:rFonts w:ascii="Times New Roman" w:hAnsi="굴림체" w:cs="굴림체" w:eastAsia="굴림체"/>
          <w:sz w:val="24"/>
        </w:rPr>
        <w:t>5.7 둘째, 방송사들이 정부의 지원을 요청했기 때문에 방송사에 대한 목표 설정이 어느 정도의 정부 개입과 분리될 수 없다는 당사국의 주장과 관련하여 통보인은 이러한 주장이 자신이 제안한 조치와 어떠한 관련이 있는지 불분명하다고 주장한다. 그 제안 중 하나가 화면해설의 제작 및 방송을 지원하기 위해 방송사에 재정지원을 하는 것이기 때문이다. 거듭 말하지만, 재정적 제약이 있다는 단순한 주장은 그러한 제약의 증거가 되지 않으며, 설령 그러한 제약이 존재한다고 하더라도, 이는 입법적 및 모니터링 체계와 계획의 채택을 포함한 점진적 실현의 의무에서 당사국이 면제되는 이유가 될 수 없다.</w:t>
      </w:r>
    </w:p>
    <w:p>
      <w:pPr>
        <w:ind w:left="0" w:firstLine="0" w:hanging="0"/>
        <w:jc w:val="left"/>
      </w:pPr>
      <w:r>
        <w:rPr>
          <w:rFonts w:ascii="Times New Roman" w:hAnsi="굴림체" w:cs="굴림체" w:eastAsia="굴림체"/>
          <w:sz w:val="24"/>
        </w:rPr>
        <w:t>5.8 셋째, 통보인은 당사국이 협약 제9조와 제30조에서 다루는 권리 실현을 위한 공개적이고 포괄적인 계획의 개발에 대한 자신의 지적에 대해 국가 장애 전략을 언급한 것에 주목한다. 이는 통보인의 청구에 대한 응답이 될 수 없다. 국가장애전략에는 화면해설이라는 용어조차 없다.</w:t>
      </w:r>
    </w:p>
    <w:p>
      <w:pPr>
        <w:ind w:left="0" w:firstLine="0" w:hanging="0"/>
        <w:jc w:val="left"/>
      </w:pPr>
      <w:r>
        <w:rPr>
          <w:rFonts w:ascii="Times New Roman" w:hAnsi="굴림체" w:cs="굴림체" w:eastAsia="굴림체"/>
          <w:sz w:val="24"/>
        </w:rPr>
        <w:t>5.9 통보인은 자신이 제안한 조치들이 호주인권위원회가 "장애인권리협약에 대한 호주의 준수에 관한 정보(Information concerning Australia's compliance with the Convention on the Rights of Persons with Disabilities)"라는 제목으로 위원회에 제출한 보고서 *7 ) 와 호주의 제2차 및 제3차 정기 보고서에 대한 위원회의 최종 견해에서 제시된 권고사항과 일치한다고 지적한다. *8 )</w:t>
      </w:r>
    </w:p>
    <w:p>
      <w:pPr>
        <w:ind w:left="0" w:firstLine="0" w:hanging="0"/>
        <w:jc w:val="left"/>
      </w:pPr>
      <w:r>
        <w:rPr>
          <w:rFonts w:ascii="Times New Roman" w:hAnsi="굴림체" w:cs="굴림체" w:eastAsia="굴림체"/>
          <w:sz w:val="24"/>
        </w:rPr>
        <w:t>5.10 통보인은 당사국의 견해와는 달리, 자신의 입장이 화면해설 시험 종료 자체가 퇴행적 조치라고 하는 것이 아님을 주장한다. 오히려, 실험 종료 후 화면해설 제공에 대한 지속적인 재정 지원에 대한 호주의 의지를 보여주지 못한 것과 실험을 대체할 추가적인 진전 조치를 취하지 않은 것이 퇴행적 조치로 간주되어야 한다고 주장한다.</w:t>
      </w:r>
    </w:p>
    <w:p>
      <w:pPr>
        <w:ind w:left="0" w:firstLine="0" w:hanging="0"/>
        <w:jc w:val="left"/>
      </w:pPr>
      <w:r>
        <w:rPr>
          <w:rFonts w:ascii="Times New Roman" w:hAnsi="굴림체" w:cs="굴림체" w:eastAsia="굴림체"/>
          <w:sz w:val="24"/>
        </w:rPr>
        <w:t>5.11 통보인은 당사국이 현재 취하고 있는 유일한 조치는 2019년 3월에 전임 통신·예술부 장관이 보낸 서신에 대한 무료 공중파 방송사들과 프리 TV 오스트레일리아의 응답을 검토한 것뿐이라고 결론짓는다. 통보인은 그러한 검토에는 응답에 따라 어떠한 준비를 할 것인지, 또 이를 어떻게 공론화할 것인지에 대한 향후 일정이 포함되지 않았기 때문에 화면해설 서비스 실현을 위한 계획적, 구체적 및 목표에 따른 조치가 아니라고 생각한다. 이 같은 접근법은 다음과 같은 측면에서 점진적 실현 개념의 기본 요건에 부합하지 않는다.</w:t>
      </w:r>
    </w:p>
    <w:p>
      <w:pPr>
        <w:ind w:left="0" w:firstLine="0" w:hanging="0"/>
        <w:jc w:val="left"/>
      </w:pPr>
      <w:r>
        <w:rPr>
          <w:rFonts w:ascii="Times New Roman" w:hAnsi="굴림체" w:cs="굴림체" w:eastAsia="굴림체"/>
          <w:sz w:val="24"/>
        </w:rPr>
        <w:t xml:space="preserve">  (a) 당사국은 신속하게 또는 효과적으로 조치를 취하지 않았다. 해당 조치는 순차적으로 꾸준하고 체계적인 방식이 아닌 산발적인 방식으로 실행되었다. 당사국 견해에 언급된 11년 동안 당사국이 이행한 가장 실질적인 조치는 2012년과 2015년에 실시한 두 차례 시험 방송인데, 둘 다 화면해설을 위한 지속적인 재정 지원으로 이어지지 않았고, 계획적이고 구체적이며 목표에 따른 계획 또는 전략이 전혀 이행되지 않았다.</w:t>
      </w:r>
    </w:p>
    <w:p>
      <w:pPr>
        <w:ind w:left="0" w:firstLine="0" w:hanging="0"/>
        <w:jc w:val="left"/>
      </w:pPr>
      <w:r>
        <w:rPr>
          <w:rFonts w:ascii="Times New Roman" w:hAnsi="굴림체" w:cs="굴림체" w:eastAsia="굴림체"/>
          <w:sz w:val="24"/>
        </w:rPr>
        <w:t xml:space="preserve">  (b) 화면해설의 개발 또는 촉진을 지속적으로 모니터링하기 위한 체계가 없다.</w:t>
      </w:r>
    </w:p>
    <w:p>
      <w:pPr>
        <w:ind w:left="0" w:firstLine="0" w:hanging="0"/>
        <w:jc w:val="left"/>
      </w:pPr>
      <w:r>
        <w:rPr>
          <w:rFonts w:ascii="Times New Roman" w:hAnsi="굴림체" w:cs="굴림체" w:eastAsia="굴림체"/>
          <w:sz w:val="24"/>
        </w:rPr>
        <w:t xml:space="preserve">  (c) 화면해설 제공과 관련된 구체적인 일정이 마련되어 있지 않다.</w:t>
      </w:r>
    </w:p>
    <w:p>
      <w:pPr>
        <w:ind w:left="0" w:firstLine="0" w:hanging="0"/>
        <w:jc w:val="left"/>
      </w:pPr>
      <w:r>
        <w:rPr>
          <w:rFonts w:ascii="Times New Roman" w:hAnsi="굴림체" w:cs="굴림체" w:eastAsia="굴림체"/>
          <w:sz w:val="24"/>
        </w:rPr>
        <w:t xml:space="preserve">  (d) 화면해설 서비스의 순차적 실현 관련 민간단체를 비롯한 여러 기관에 대한 의무 규정이 없다.</w:t>
      </w:r>
    </w:p>
    <w:p>
      <w:pPr>
        <w:ind w:left="0" w:firstLine="0" w:hanging="0"/>
        <w:jc w:val="left"/>
      </w:pPr>
      <w:r>
        <w:rPr>
          <w:rFonts w:ascii="Times New Roman" w:hAnsi="굴림체" w:cs="굴림체" w:eastAsia="굴림체"/>
          <w:sz w:val="24"/>
        </w:rPr>
        <w:t xml:space="preserve">  (e) 최소 기준 또는 목표와 같은 법적 체계가 마련되어 있지 않다.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2020년 3월 6일, 당사국은 통보의 심리적격 및 본안에 대한 추가 견해를 제출했다. 당사국은 국내 구제절차가 소진되지 않아 해당 통보가 심리부적격이라고 거듭 주장한다.</w:t>
      </w:r>
    </w:p>
    <w:p>
      <w:pPr>
        <w:ind w:left="0" w:firstLine="0" w:hanging="0"/>
        <w:jc w:val="left"/>
      </w:pPr>
      <w:r>
        <w:rPr>
          <w:rFonts w:ascii="Times New Roman" w:hAnsi="굴림체" w:cs="굴림체" w:eastAsia="굴림체"/>
          <w:sz w:val="24"/>
        </w:rPr>
        <w:t>6.2 당사국은 장애차별법 제24조와 제29조에 따른 청구를 제기할 수 없었다는 통보인의 주장에 반대하며, 통보인이 ABC와 SBS(Special Broadcasting Service) 방송과 관련된 호주 정부의 조치에 대해 장애차별법에 따라 청구를 제기할 수 있었다고 주장한다. ABC와 SBS는 공적 자금을 지원받는 국영 방송사이며, 1983년 호주방송국법(Australian Broadcasting Corporation Act 1983)과 1992년 방송서비스법 제13조의 적용을 받는다. 통보인은 장애차별법 제29조에 따라 청구를 제기할 수도 있었다. 1992년 방송서비스법에 따라 운영되는 ABC와 SBS는 국영 방송사로서 장애차별법이 정부에 의해 또는 정부를 대신하여 수행되는 프로그램으로 정의한 연방 프로그램에 포함되기 때문이다. 장애차별법 제29조와 관련하여 유사한 소송들이 패소했다는 통보인의 주장에 대해, 당사국은 이용 가능한 국내 구제 절차의 효과성이 의심스럽다는 이유만으로는 통보인의 국내 구제절차 소진 의무가 면제되는 것은 아니라는 위원회의 입장을 거듭 인용한다. *9 )</w:t>
      </w:r>
    </w:p>
    <w:p>
      <w:pPr>
        <w:ind w:left="0" w:firstLine="0" w:hanging="0"/>
        <w:jc w:val="left"/>
      </w:pPr>
      <w:r>
        <w:rPr>
          <w:rFonts w:ascii="Times New Roman" w:hAnsi="굴림체" w:cs="굴림체" w:eastAsia="굴림체"/>
          <w:sz w:val="24"/>
        </w:rPr>
        <w:t>6.3 통보의 근거와 관련하여, 당사국은 2019년 12월 16일 호주 정부가 국영 방송사 ABC와 SBS에 2020년 7월 1일까지 화면해설 서비스를 도입하기 위한 자금 1,410,200.00달러를 지원하겠다는 발표를 했다고 주장한다. 당사국은 본 사안과 관련된 권리의 완전한 실현을 향해 측정 가능한 진전을 이루고 있음을 거듭 강조한다. 이는 명확한 일정과 충분한 자원의 할당을 통해 이루어지고 있다.</w:t>
      </w:r>
    </w:p>
    <w:p>
      <w:pPr>
        <w:ind w:left="0" w:firstLine="0" w:hanging="0"/>
        <w:jc w:val="center"/>
      </w:pPr>
      <w:r>
        <w:rPr>
          <w:rFonts w:ascii="Times New Roman" w:hAnsi="굴림체" w:cs="굴림체" w:eastAsia="굴림체"/>
          <w:sz w:val="24"/>
        </w:rPr>
        <w:t>당사국 추가 견해에 대한 통보인의 의견</w:t>
      </w:r>
    </w:p>
    <w:p>
      <w:pPr>
        <w:ind w:left="0" w:firstLine="0" w:hanging="0"/>
        <w:jc w:val="left"/>
      </w:pPr>
      <w:r>
        <w:rPr>
          <w:rFonts w:ascii="Times New Roman" w:hAnsi="굴림체" w:cs="굴림체" w:eastAsia="굴림체"/>
          <w:sz w:val="24"/>
        </w:rPr>
        <w:t>7.1 2020년 7월 3일, 통보인은 추가 의견을 제출했다. 통보인은 호주의 법률이 호주인권위원회나 법원으로 하여금 정부가 화면해설을 위한 최소 목표를 법적으로 강제하도록 요구하거나 협약이 정한 권리를 실현하기 위한 계획을 이행하도록 요구하지도 않기 때문에 본 진정이 심리가능하다고 거듭 주장한다.</w:t>
      </w:r>
    </w:p>
    <w:p>
      <w:pPr>
        <w:ind w:left="0" w:firstLine="0" w:hanging="0"/>
        <w:jc w:val="left"/>
      </w:pPr>
      <w:r>
        <w:rPr>
          <w:rFonts w:ascii="Times New Roman" w:hAnsi="굴림체" w:cs="굴림체" w:eastAsia="굴림체"/>
          <w:sz w:val="24"/>
        </w:rPr>
        <w:t>7.2 진정의 근거와 관련하여, 통보인은 당사국이 화면해설과 관련된 접근권의 점진적인 실현을 위한 지속적인 계획, 전략, 또는 입법체계를 수립하지 않았다고 거듭 주장한다. 통보인은 당사국이 2020년 7월 1일까지 화면해설 서비스를 도입하기 위해 국영 방송국에 1,410,200.00달러를 지원하겠다고 발표한 것을 환영한다. 하지만 이 발표는 화면해설 서비스 실현을 위한 계획적, 구체적 및 목표에 따른 조치가 아니다. 첫째, 해당 재정지원이 계속될지 미지수다. 자금 사용 내역을 규정하는 정책, 지침, 조달 계약, 입법체계 또는 기타 서류가 해당 재정지원발표와 함께 공개되지 않았다. 둘째, ABC와 SBS가 화면해설 서비스를 앞으로도 계속 제공할 것이라는 증거가 없다. 2012년과 2015년에 초기 자금을 지원받아 시험 방송을 한 후에 화면해설 서비스는 중단되었다. 재정 지원이 없더라도 화면해설 서비스를 계속 제공해야 한다는 법률이 없다. 현재 진행중인 재정지원은 2012년과 2015년의 경우처럼 그 기간이 제한될 수 있다. 셋째, 이번 정부 발표는 ABC와 SBS에 대한 재정지원에 국한된다. 다른 무료 공중파 방송사들에 대한 지원은 발표되지 않았으며, 이들 방송사들의 화면해설 제공을 위한 정부 조치도 취해지지 않았다.</w:t>
      </w:r>
    </w:p>
    <w:p>
      <w:pPr>
        <w:ind w:left="0" w:firstLine="0" w:hanging="0"/>
        <w:jc w:val="left"/>
      </w:pPr>
      <w:r>
        <w:rPr>
          <w:rFonts w:ascii="Times New Roman" w:hAnsi="굴림체" w:cs="굴림체" w:eastAsia="굴림체"/>
          <w:sz w:val="24"/>
        </w:rPr>
        <w:t>7.3 화면해설 시행 과정을 모니터링하기 위한 공식적인 계획이 없고, 여러 민간 및 공공 당국이 준수해야 할 의무 규정도 없으며, 적절한 자원 지원에 대한 일정이나 할당 방식도 없다. 법률 또는 정책 체계도 없으며, 특정 기준에 따라 화면해설의 점진적 이행을 평가할 방법도 없다. 화면해설 서비스의 최소 목표에 대한 법안조차 제출되지 않고 있다.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8. 2020년 11월 18일자 추가 견해에서, 당사국은 재정 지원 후 국영 방송사들이통합디자인센터(Centre of Inclusive Design)에 참여하여 화면해설 서비스 개발에 대해 조언을 하고, 시각장애인들의 요구와 선호를 이해하는데 도움을 주는 연구를 수행하고 있다고 적시한다. 이에 따라 2020년 6월 28일에 국영 방송사 ABC와 SBS는 화면해설을 시행했다. 당사국 견해 제출 당시 두 방송사는 주당 약 14시간씩 화면해설 콘텐츠를 제공하고 있었다. 이는 당사국이 협약 제9조 제1항 제b호 및 제30조 제1항 제b호에 따른 의무를 다하기 위해 가용할 수 있는 자원을 최대한 동원하여 합리적이고, 적절하며, 균형 잡힌 조치를 취했다고 주장하는 당사국의 최초 견해와 일치한다.</w:t>
      </w:r>
    </w:p>
    <w:p>
      <w:pPr>
        <w:ind w:left="0" w:firstLine="0" w:hanging="0"/>
        <w:jc w:val="center"/>
      </w:pPr>
      <w:r>
        <w:rPr>
          <w:rFonts w:ascii="Times New Roman" w:hAnsi="굴림체" w:cs="굴림체" w:eastAsia="굴림체"/>
          <w:sz w:val="24"/>
        </w:rPr>
        <w:t>B. 심리적격과 본안에 대한 위원회 심리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9.1 통보에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9.2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9.3 위원회는 통보인이 공적 생활의 특정한 영역에서 장애를 이유로 한 차별을 금지하는 호주의 1992년 장애차별법에 따라 호주인권위원회에 진정을 제기하지 않았기 때문에 가능한 모든 국내 구제 절차를 소진한 것이 아니라는 당사국의 주장에 주목한다. 또 위원회는 호주인권위원회가 진정을 기각할 경우 통보인은 호주 연방순회법원이나 연방법원에서 법적 절차를 개시할 수 있었다는 당사국의 주장에 주목한다.</w:t>
      </w:r>
    </w:p>
    <w:p>
      <w:pPr>
        <w:ind w:left="0" w:firstLine="0" w:hanging="0"/>
        <w:jc w:val="left"/>
      </w:pPr>
      <w:r>
        <w:rPr>
          <w:rFonts w:ascii="Times New Roman" w:hAnsi="굴림체" w:cs="굴림체" w:eastAsia="굴림체"/>
          <w:sz w:val="24"/>
        </w:rPr>
        <w:t>9.4 하지만 위원회는 1992년 호주 장애차별법이 제한적 또는 특정한 유형의 장애차별에 대한 진정만 허용한다는 통보인의 논쟁의 여지가 없는 명백한 주장(위 단락 5.2참조)에 주목한다. 그 구체적인 내용은 다음과 같다. 화면해설 서비스 제공에 관한 진정은 호주 정부를 상대로는 할 수 없고 개별 방송사를 상대로만 가능하다. 통보인의 청구는 어떠한 연방 법률에 따른 기능 수행이나 권한 행사, 또는 연방 프로그램이나 법률 또는 프로그램의 운영과 관련된 것이 아닌 화면해설과 관련된 법률이나 정책의 부재이다. 이와 관련하여, 위원회는 통보인이 화면해설에 관한 법률이나 정책이 없다고 주장한 것에 대하여, 당사국이 호주인권위원회 진정과 연방순회법원 항소를 통해 성공가능성이 있다는 합리적 예측이 어떻게 가능한지를 사례를 들어 설명하지 못한다는 점에 주목한다. 따라서 위원회는 본 사안과 관련하여 호주 장애차별법에 따른 진정을 통해 해결될 수 있는 합리적인 성공가능성 또는 통보인에게 효과적인 구제책을 제공했을 것이라는 결론을 내릴 수 없다. *10 ) 본 사안의 성격 및 당사자들이 제공한 정보에 근거하여 위원회는 선택의정서 제2조 제d호가 본 통보의 심리를 배제하지 않는다고 판단한다.</w:t>
      </w:r>
    </w:p>
    <w:p>
      <w:pPr>
        <w:ind w:left="0" w:firstLine="0" w:hanging="0"/>
        <w:jc w:val="left"/>
      </w:pPr>
      <w:r>
        <w:rPr>
          <w:rFonts w:ascii="Times New Roman" w:hAnsi="굴림체" w:cs="굴림체" w:eastAsia="굴림체"/>
          <w:sz w:val="24"/>
        </w:rPr>
        <w:t>9.5 위원회는 당사국이 협약 제5조 제3항에 따른 통보인의 주장이 명백히 근거가 없거나 충분히 입증되지 않았다고 주장하는 점에 주목한다. 당사국은 통보인이 자신의 사례와 관련하여 “통합적 평등” 모델의 관련성뿐만 아니라 당사국의 “합리적 편의제공” 의무 위반을 충분히 입증하지 못한다고 주장한다. 위원회는 협약 제2조가 “합리적 편의제공”을 “장애인이 다른 사람과 동등하게 모든 인권과 기본적 자유를 향유 또는 행사할 수 있도록 보장하기 위해, 특별히 필요한 경우에 불균형한 또는 부당한 부담이 되지 않는 선에서 필요한 만큼 적절하게 변경하고 조정하는 것”으로 정의한다고 상기한다. 접근성이 집단에 관한 것이라면, 합리적 편의제공은 개인에 관한 것이다. *11 ) 위원회는 통보인의 주장이 자신과 같은 시각장애인들의 일반적인 접근성 문제에 관한 것이어서 협약 제5조 제3항에 따른 통보인의 주장이 입증되지 못했다고 간주한다. 따라서 위원회는 협약 제5조 제3항과 관련하여 제기한 통보인의 진정을 선택의정서 제2조 제e호에 따른 입증 부족을 이유로 심리할 수 없다고 판단한다.</w:t>
      </w:r>
    </w:p>
    <w:p>
      <w:pPr>
        <w:ind w:left="0" w:firstLine="0" w:hanging="0"/>
        <w:jc w:val="left"/>
      </w:pPr>
      <w:r>
        <w:rPr>
          <w:rFonts w:ascii="Times New Roman" w:hAnsi="굴림체" w:cs="굴림체" w:eastAsia="굴림체"/>
          <w:sz w:val="24"/>
        </w:rPr>
        <w:t>9.6 위원회는 당사국이 협약 제4조 제1항 및 제2항과 연계하여 해석되는 제9조 제1항 제b호 및 제30조 제1항 제b호에 따른 진정의 심리적격에 대해서는 아무런 이의를 제기하지 않았음에 주목한다. 따라서 위원회는 해당 통보 내용을 심리가능한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10.1 위원회는 선택의정서 제5조 및 위원회 절차규칙 제73조제1항에 따라 접수한 모든 정보에 비추어 진정을 심사했다.</w:t>
      </w:r>
    </w:p>
    <w:p>
      <w:pPr>
        <w:ind w:left="0" w:firstLine="0" w:hanging="0"/>
        <w:jc w:val="left"/>
      </w:pPr>
      <w:r>
        <w:rPr>
          <w:rFonts w:ascii="Times New Roman" w:hAnsi="굴림체" w:cs="굴림체" w:eastAsia="굴림체"/>
          <w:sz w:val="24"/>
        </w:rPr>
        <w:t>10.2 협약 제4조 제1항 및 제2항과 연계하여 해석되는 제9조 제1항 제b호 및 제30조 제1항 제b호에 따른 통보인의 주장과 관련하여, 위원회에 제출된 쟁점은 당사국이 무료 공중파 TV에 화면해설을 제공하기 위한 적절한 모든 조치를 취하지 않음으로써 시각장애인인 통보인의 권리를 침해했는지 여부를 판단하는 것이다.</w:t>
      </w:r>
    </w:p>
    <w:p>
      <w:pPr>
        <w:ind w:left="0" w:firstLine="0" w:hanging="0"/>
        <w:jc w:val="left"/>
      </w:pPr>
      <w:r>
        <w:rPr>
          <w:rFonts w:ascii="Times New Roman" w:hAnsi="굴림체" w:cs="굴림체" w:eastAsia="굴림체"/>
          <w:sz w:val="24"/>
        </w:rPr>
        <w:t>10.3 위원회는 당사국이 TV에 화면해설 콘텐츠를 제공하기 위해 취한 시험 방송 및 예산 할당과 같은 조치가 불충분하며, 점진적인 실현 요건에도 부합하지 않는다는 통보인의 주장에 주목한다. 통보인에 따르면, 그러한 조치가 신속하게 또는 효과적으로 이행되지 않았을 뿐만 아니라 점진적이고 지속적이고 체계적인 방식이 아닌 산발적인 방식으로 이행되었다. 위원회는 당사국 견해에 언급된 11년 동안 이행한 가장 실질적인 조치는 2012년과 2015년에 실시한 두 차례 시험 방송이며, 방송사에게 화면해설을 제공하도록 요구하는 구체적이고 목표 지향적인 계획이나 전략, 또는 법률이 채택되지 않았다는 통보인의 주장에 주목한다.</w:t>
      </w:r>
    </w:p>
    <w:p>
      <w:pPr>
        <w:ind w:left="0" w:firstLine="0" w:hanging="0"/>
        <w:jc w:val="left"/>
      </w:pPr>
      <w:r>
        <w:rPr>
          <w:rFonts w:ascii="Times New Roman" w:hAnsi="굴림체" w:cs="굴림체" w:eastAsia="굴림체"/>
          <w:sz w:val="24"/>
        </w:rPr>
        <w:t>10.4 위원회는 정보 및 통신 관련 접근권의 완전한 실현을 점진적으로 달성하기 위해 무료 공중파 TV의 화면해설 제공에 대한 연구 및 시험 방송을 비롯한 적절한 조치를 취했다는 당사국의 주장에 주목한다. 또 다음과 같은 당사국의 주장에 주목한다. (a) 화면해설 제공에 관한 연구 수행은 중대한 기술적 과제가 수반되는 서비스를 제공하기 위한 정보를 확인하는 데 중요하기 때문에 적절하고, 합리적이며, 균형 있는 조치였다. (b) 화면해설을 의무화하고 지속적인 재정지원을 제공하는 법률을 제정하면 방송사에 과도한 부담이 될 것이다. (c) 당사국은 상충되는 국가적 우선순위와 자원을 고려함에 있어 재량권을 가진다. (d) 국가장애전략은 장애인을 위한 접근성 서비스 제공을 포함한 특정한 자원 수요에 대한 우선순위를 결정할 수 있는 당사국의 재량권 범위에 포함된다. 또 위원회는 당사국이 위 주장에 근거하여 협약 제30조 제1항 제b호에 따른 다른 사람들과 동등하게 문화생활에 참여할 수 있는 통보인의 권리를 침해하지 않았다고 주장하고 있음에 주목한다.</w:t>
      </w:r>
    </w:p>
    <w:p>
      <w:pPr>
        <w:ind w:left="0" w:firstLine="0" w:hanging="0"/>
        <w:jc w:val="left"/>
      </w:pPr>
      <w:r>
        <w:rPr>
          <w:rFonts w:ascii="Times New Roman" w:hAnsi="굴림체" w:cs="굴림체" w:eastAsia="굴림체"/>
          <w:sz w:val="24"/>
        </w:rPr>
        <w:t>10.5 이와 관련하여, 위원회는 다음과 같은 통보인의 주장에 주목한다. (a) 당사국은 자원 및 재정적 제약에 대한 어떠한 증거도 제시하지 않았다. (b) 자원 제약은 당사국이 협약상의 권리를 완전히 실현하기 위해 구체적이고 신중한 조치를 취하도록 보장하는 입법 및 모니터링 체계를 제공하지 않은 것에 대한 변명이 될 수 없다. (c) 국가장애전략에는 화면해설이라는 용어조차 없다.</w:t>
      </w:r>
    </w:p>
    <w:p>
      <w:pPr>
        <w:ind w:left="0" w:firstLine="0" w:hanging="0"/>
        <w:jc w:val="left"/>
      </w:pPr>
      <w:r>
        <w:rPr>
          <w:rFonts w:ascii="Times New Roman" w:hAnsi="굴림체" w:cs="굴림체" w:eastAsia="굴림체"/>
          <w:sz w:val="24"/>
        </w:rPr>
        <w:t>10.6 당사국이 2020년에 화면해설 서비스를 도입하기 위해 국영 방송국에 재정을 지원한 것과 관련하여, 위원회는 해당 지원이 화면해설 서비스 실현을 위한 계획적, 구체적 및 목표에 따른 조치가 아니라는 통보인의 주장에 주목한다. 이러한 통보인의 주장은 다음을 포함한다. 자금 사용 내역을 규정하는 정책, 지침, 조달 계약, 입법체계 또는 기타 서류가 해당 재정지원발표와 함께 공개되지 않았으며, 해당 지원은 ABC와 SBS에 대한 재정지원에 국한되고 다른 무료 공중파 방송사들에 대한 지원을 포함하지 않음에 따라 해당 재정지원이 계속될지 미지수이다.</w:t>
      </w:r>
    </w:p>
    <w:p>
      <w:pPr>
        <w:ind w:left="0" w:firstLine="0" w:hanging="0"/>
        <w:jc w:val="left"/>
      </w:pPr>
      <w:r>
        <w:rPr>
          <w:rFonts w:ascii="Times New Roman" w:hAnsi="굴림체" w:cs="굴림체" w:eastAsia="굴림체"/>
          <w:sz w:val="24"/>
        </w:rPr>
        <w:t>10.7 위원회는 다음과 같은 협약 제9조 제1항 제b호 내용을 상기한다 “당사국은 장애인이 다른 사람들과 동등하게 정보통신기술과 시스템을 비롯한 정보와 통신에 ... 접근할 수 있도록 보장하는 적절한 조치를 취한다. 접근성을 가로막는 장해물과 장벽을 확인하고 제거하는 것을 포함한 이 같은 조치는 ... 전자 서비스, 응급 서비스와 같은 정보통신 서비스에 적용된다.” 또 위원회는 다음과 같은 협약 제30조 제1항 제b호 내용도 상기한다. “당사국은 장애인이 다른 사람들과 동등하게 문화생활에 참여할 권리를 인정하고, 장애인이 ... 접근 가능한 형식으로 된 TV 프로그램, 영화, 연극 등 문화활동에 접근할 수 있도록 보장하는 적절한 모든 조치를 취한다.” 나아가 위원회는 다음과 같은 협약 제4조 제1항 및 제2항 내용을 상기한다. “당사국은 장애를 이유로 한 어떠한 차별도 없이 장애인이 모든 인권과 기본적 자유를 완전히 실현하도록 보장하고 장려한다. ... 경제적, 사회적, 문화적 권리를 보장하기 위해, 당사국은 필요한 경우 국제 협력의 틀 안에서 점진적으로 위 권리를 완전하게 실현하기 위해 국제법에 따라 즉시 적용할 수 있는 협약의 의무 사항을 훼손하지 않는 한 가용 자원이 허용하는 최대한의 조치를 취한다.” 위원회는 점진적 실현이란 당사국이 권리의 완전한 실현을 향해 가능한 한 신속하고 효과적으로 추진해야 할 구체적이고 지속적인 의무를 뜻함을 환기한다. *12 ) 또 위원회는 권리의 완전한 실현을 위해 당사국은 협약이 인정된 의무를 이행하기 위한 계획적, 구체적 및 목표에 따른 조치를 취해야 한다는 점을 고려한다. *13 )</w:t>
      </w:r>
    </w:p>
    <w:p>
      <w:pPr>
        <w:ind w:left="0" w:firstLine="0" w:hanging="0"/>
        <w:jc w:val="left"/>
      </w:pPr>
      <w:r>
        <w:rPr>
          <w:rFonts w:ascii="Times New Roman" w:hAnsi="굴림체" w:cs="굴림체" w:eastAsia="굴림체"/>
          <w:sz w:val="24"/>
        </w:rPr>
        <w:t>10.8 위원회는 접근성에 관한 일반논평 제2호(General Comment No. 2 on Accessibility)를 상기한다. “협약에 따라 당사국은 긴축 조치를 핑계로 장애인을 위한 점진적 접근성 보장을 기피해서는 안 된다. 접근성 이행 의무는 무조건적이다. 즉, 장애인에 대한 접근성 제공 의무가 있는 조직은 부담을 구실로 의무를 불이행하면 안 된다(단락 25).” 또 위원회는 장애인은 접근 가능한 형식의 정보의 부족 등 기술적, 환경적 장벽에 직면해 있다고 상기한다. *14 ) 나아가 위원회는 정보통신기술은 광범위한 서비스를 제공하고, 기존 서비스를 변화시키며, 특히 장애인 등 서비스를 충분히 받지 못하고 배제된 사람들에게 정보 및 지식에 대한 접근성을 제고하기 때문에 중요하다고 상기한다. *15 )</w:t>
      </w:r>
    </w:p>
    <w:p>
      <w:pPr>
        <w:ind w:left="0" w:firstLine="0" w:hanging="0"/>
        <w:jc w:val="left"/>
      </w:pPr>
      <w:r>
        <w:rPr>
          <w:rFonts w:ascii="Times New Roman" w:hAnsi="굴림체" w:cs="굴림체" w:eastAsia="굴림체"/>
          <w:sz w:val="24"/>
        </w:rPr>
        <w:t>10.9 위원회는 다음을 상기한다. “당사국은 기존 접근성 장벽을 파악하기 위한 행동 계획 및 전략을 수립하고, 구체적인 기한을 정한 일정표를 만들고, 장벽 제거에 필요한 인적·물적 자원을 모두 제공해야 한다. 채택된 행동 계획 및 전략은 엄격하게 이행되어야 한다. 또 접근성을 보장하기 위해 모니터링 체계를 강화하고, 접근성을 가로막는 장벽을 제거하고, 모니터링 인력을 양성하기 위한 자금을 충분하게 지속적으로 제공해야 한다.” *16 )</w:t>
      </w:r>
    </w:p>
    <w:p>
      <w:pPr>
        <w:ind w:left="0" w:firstLine="0" w:hanging="0"/>
        <w:jc w:val="left"/>
      </w:pPr>
      <w:r>
        <w:rPr>
          <w:rFonts w:ascii="Times New Roman" w:hAnsi="굴림체" w:cs="굴림체" w:eastAsia="굴림체"/>
          <w:sz w:val="24"/>
        </w:rPr>
        <w:t>10.10 끝으로, 위원회는 제2차, 제3차 당사국 보고서에 대한 최종견해에서 다음을 상기한다. “... 정보통신 기술 및 시스템의 부족을 포함하여 협약에 따른 모든 영역의 접근성 의무를 이행하기 위한 포괄적이고 효과적인 조치가 부족하다.” 위원회는 “당사국이 정보통신 기술 및 시스템을 포함하여 협약에 따른 모든 영역의 접근성 의무를 이행하고, 위반이 있을 경우 효과적인 제재를 가할 수 있는 ... 입법 및 정책 조치를 취할 것”을 권고한 적이 있다. *17 )</w:t>
      </w:r>
    </w:p>
    <w:p>
      <w:pPr>
        <w:ind w:left="0" w:firstLine="0" w:hanging="0"/>
        <w:jc w:val="left"/>
      </w:pPr>
      <w:r>
        <w:rPr>
          <w:rFonts w:ascii="Times New Roman" w:hAnsi="굴림체" w:cs="굴림체" w:eastAsia="굴림체"/>
          <w:sz w:val="24"/>
        </w:rPr>
        <w:t>10.11 조사 및 연구, 2012년과 2015년의 두 차례 시험 방송, 2020년 주요 방송사에 대한 자금 제공 등 시각장애인에게 화면해설을 제공하기 위한 당사국의 조치가 있었지만, 위원회는 그러한 조치가 시각장애인들에게 지속 가능한 방식으로 화면해설을 제공하는 점진적이고 효과적인 전략이 될 수 없다는 점에 주목한다. 특히, 위원회는 당사국이 시각장애인들에게 지속 가능한 방식의 화면해설을 제공하기 위한 시책을 발전시키기 위해 법률, 정책, 지속 가능한 예산 할당과 같은 구체적인 조치를 취하지 않았다는 점에 주목한다.</w:t>
      </w:r>
    </w:p>
    <w:p>
      <w:pPr>
        <w:ind w:left="0" w:firstLine="0" w:hanging="0"/>
        <w:jc w:val="left"/>
      </w:pPr>
      <w:r>
        <w:rPr>
          <w:rFonts w:ascii="Times New Roman" w:hAnsi="굴림체" w:cs="굴림체" w:eastAsia="굴림체"/>
          <w:sz w:val="24"/>
        </w:rPr>
        <w:t>10.12 위원회는 위의 모든 사항을 고려할 때, 당사국이 협약 제4조 제1항 및 제2항과 연계되어 해석되는 제9조 제1항 제b호 및 제30조 제1항 제b호에 따른 의무를 준수하지 않았다고 판단한다.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11. 선택의정서 제5조에 따라 운영되는 위원회는 당사국이 협약 제4조 제1항 및 제2항과 연계하여 해석되는 협약 제9조 제1항 제b호 및 제30조 제1항 제b호에 따른 의무를 이행하지 못했다고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관련하여, 당사국은 본 통보 제기로 발생한 모든 법적 비용 변제를 포함하여 적절한 보상을 할 의무가 있다.</w:t>
      </w:r>
    </w:p>
    <w:p>
      <w:pPr>
        <w:ind w:left="0" w:firstLine="0" w:hanging="0"/>
        <w:jc w:val="left"/>
      </w:pPr>
      <w:r>
        <w:rPr>
          <w:rFonts w:ascii="Times New Roman" w:hAnsi="굴림체" w:cs="굴림체" w:eastAsia="굴림체"/>
          <w:sz w:val="24"/>
        </w:rPr>
        <w:t xml:space="preserve">  (b) 일반사항으로, 당사국은 향후 유사한 위반을 방지하기 위한 조치를 취할 의무가 있다. 이와 관련하여, 위원회는 당사국에 다음 사항을 요구한다.</w:t>
      </w:r>
    </w:p>
    <w:p>
      <w:pPr>
        <w:ind w:left="0" w:firstLine="0" w:hanging="0"/>
        <w:jc w:val="left"/>
      </w:pPr>
      <w:r>
        <w:rPr>
          <w:rFonts w:ascii="Times New Roman" w:hAnsi="굴림체" w:cs="굴림체" w:eastAsia="굴림체"/>
          <w:sz w:val="24"/>
        </w:rPr>
        <w:t xml:space="preserve">	(i) 시각장애인을 위한 화면해설 서비스를 포함하여 기존 접근성 장벽을 파악하기 위한 행동 계획 및 전략을 수립하고, 구체적인 기한을 정한 일정표를 만들고, 장벽 제거에 필요한 인적·물적 자원을 제공해야 한다. 채택된 행동 계획 및 전략은 엄격하게 이행되어야 한다. 또 접근성을 보장하기 위한 모니터링 체계를 강화하며, 접근성을 가로막는 장벽을 제거하고, 모니터링 인력을 양성하기 위한 자금을 충분히 지속적으로 제공한다. *18 )</w:t>
      </w:r>
    </w:p>
    <w:p>
      <w:pPr>
        <w:ind w:left="0" w:firstLine="0" w:hanging="0"/>
        <w:jc w:val="left"/>
      </w:pPr>
      <w:r>
        <w:rPr>
          <w:rFonts w:ascii="Times New Roman" w:hAnsi="굴림체" w:cs="굴림체" w:eastAsia="굴림체"/>
          <w:sz w:val="24"/>
        </w:rPr>
        <w:t xml:space="preserve">	(ii) 시각장애인에게 화면해설 서비스 제공을 보장하는 데 필요한 법률적, 정책적 조치를 취한다.</w:t>
      </w:r>
    </w:p>
    <w:p>
      <w:pPr>
        <w:ind w:left="0" w:firstLine="0" w:hanging="0"/>
        <w:jc w:val="left"/>
      </w:pPr>
      <w:r>
        <w:rPr>
          <w:rFonts w:ascii="Times New Roman" w:hAnsi="굴림체" w:cs="굴림체" w:eastAsia="굴림체"/>
          <w:sz w:val="24"/>
        </w:rPr>
        <w:t xml:space="preserve">	(iii) 장애인들을 대상으로 협약에 따른 권리, 특히 장애인이 자립생활을 하고 삶의 모든 측면에서 완전히 참여할 수 있도록 하는 중요한 수단인 접근성에 관한 교육을 실시한다.</w:t>
      </w:r>
    </w:p>
    <w:p>
      <w:pPr>
        <w:ind w:left="0" w:firstLine="0" w:hanging="0"/>
        <w:jc w:val="left"/>
      </w:pPr>
      <w:r>
        <w:rPr>
          <w:rFonts w:ascii="Times New Roman" w:hAnsi="굴림체" w:cs="굴림체" w:eastAsia="굴림체"/>
          <w:sz w:val="24"/>
        </w:rPr>
        <w:t xml:space="preserve">	(iv) 모든 무료 공중파 TV 서비스 제공자 및 기타 이해관계자들을 대상으로 장애인을 위한 접근성 등 협약 및 선택의정서의 내용을 적절하게 정기적으로 교육하고 인식을 제고한다. 인식 제고 활동은 장애인 당사자, 장애인단체, 관련 기술 전문가들과 협력하여 수행한다. *19 )</w:t>
      </w:r>
    </w:p>
    <w:p>
      <w:pPr>
        <w:ind w:left="0" w:firstLine="0" w:hanging="0"/>
        <w:jc w:val="left"/>
      </w:pPr>
      <w:r>
        <w:rPr>
          <w:rFonts w:ascii="Times New Roman" w:hAnsi="굴림체" w:cs="굴림체" w:eastAsia="굴림체"/>
          <w:sz w:val="24"/>
        </w:rPr>
        <w:t>12. 선택의정서 제5조와 위원회 절차규칙 제75조에 따라, 당사국은 위원회의 견해 및 권고를 고려하여 취한 모든 조치에 대한 정보를 포함한 서면 답변을 6개월 이내에 위원회에 제출해야 한다. 또 위원회의 견해를 공표하고 모든 부문의 사람들이 이용할 수 있도록 접근 가능한 형식으로 널리 배포해야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노블 대 호주(Noble v. Australia, CRPD/C/16/D/7/2012); 록레이 대 호주(Lockrey v. Australia, CRPD/C/15/D/13/2013).</w:t>
      </w:r>
    </w:p>
    <w:p>
      <w:pPr>
        <w:ind w:left="0" w:firstLine="0" w:hanging="0"/>
        <w:jc w:val="left"/>
      </w:pPr>
      <w:r>
        <w:rPr>
          <w:rFonts w:ascii="Times New Roman" w:hAnsi="굴림체" w:cs="굴림체" w:eastAsia="굴림체"/>
          <w:sz w:val="24"/>
        </w:rPr>
        <w:t>2. CRPD/C/15/D/11/2013, 단락 7.4.</w:t>
      </w:r>
    </w:p>
    <w:p>
      <w:pPr>
        <w:ind w:left="0" w:firstLine="0" w:hanging="0"/>
        <w:jc w:val="left"/>
      </w:pPr>
      <w:r>
        <w:rPr>
          <w:rFonts w:ascii="Times New Roman" w:hAnsi="굴림체" w:cs="굴림체" w:eastAsia="굴림체"/>
          <w:sz w:val="24"/>
        </w:rPr>
        <w:t>3. 평등과 비차별에 관한 일반 논평 제6호(General comment No. 6 (2018) on equality and non-discrimination), 단락 24.</w:t>
      </w:r>
    </w:p>
    <w:p>
      <w:pPr>
        <w:ind w:left="0" w:firstLine="0" w:hanging="0"/>
        <w:jc w:val="left"/>
      </w:pPr>
      <w:r>
        <w:rPr>
          <w:rFonts w:ascii="Times New Roman" w:hAnsi="굴림체" w:cs="굴림체" w:eastAsia="굴림체"/>
          <w:sz w:val="24"/>
        </w:rPr>
        <w:t>4. 통보인은 장애차별법 제24조를 언급한다.</w:t>
      </w:r>
    </w:p>
    <w:p>
      <w:pPr>
        <w:ind w:left="0" w:firstLine="0" w:hanging="0"/>
        <w:jc w:val="left"/>
      </w:pPr>
      <w:r>
        <w:rPr>
          <w:rFonts w:ascii="Times New Roman" w:hAnsi="굴림체" w:cs="굴림체" w:eastAsia="굴림체"/>
          <w:sz w:val="24"/>
        </w:rPr>
        <w:t>5. 통보인은 장애차별법 제29조를 언급한다.</w:t>
      </w:r>
    </w:p>
    <w:p>
      <w:pPr>
        <w:ind w:left="0" w:firstLine="0" w:hanging="0"/>
        <w:jc w:val="left"/>
      </w:pPr>
      <w:r>
        <w:rPr>
          <w:rFonts w:ascii="Times New Roman" w:hAnsi="굴림체" w:cs="굴림체" w:eastAsia="굴림체"/>
          <w:sz w:val="24"/>
        </w:rPr>
        <w:t>6. 장애인권리위원회, 평등과 비차별에 관한 일반 논평 제6호(general comment No. 6 (2018) on equality and non-discrimination), 단락 11.</w:t>
      </w:r>
    </w:p>
    <w:p>
      <w:pPr>
        <w:ind w:left="0" w:firstLine="0" w:hanging="0"/>
        <w:jc w:val="left"/>
      </w:pPr>
      <w:r>
        <w:rPr>
          <w:rFonts w:ascii="Times New Roman" w:hAnsi="굴림체" w:cs="굴림체" w:eastAsia="굴림체"/>
          <w:sz w:val="24"/>
        </w:rPr>
        <w:t>7. https://humanrights.gov.au/sites/default/files/int_crpd_nhs_aus_35594_e.pdf 참고. 이 문서의 권고사항 44에는 다음과 같이 명시되어 있다. "호주 정부는 화면해설 작업 그룹의 보고서를 참고하여, 장애인의 TV 뉴스, 정보 및 오락 프로그램에 대한 접근성을 높이기 위해 모든 텔레비전 콘텐츠의 최소 10%에 화면해설을 의무화하는 방송서비스법(Broadcasting Services Act 1992 (CTH))의 개정을 추진해야 한다."</w:t>
      </w:r>
    </w:p>
    <w:p>
      <w:pPr>
        <w:ind w:left="0" w:firstLine="0" w:hanging="0"/>
        <w:jc w:val="left"/>
      </w:pPr>
      <w:r>
        <w:rPr>
          <w:rFonts w:ascii="Times New Roman" w:hAnsi="굴림체" w:cs="굴림체" w:eastAsia="굴림체"/>
          <w:sz w:val="24"/>
        </w:rPr>
        <w:t>8. CRPD/C/AUS/CO/2-3, 단락 17,18.</w:t>
      </w:r>
    </w:p>
    <w:p>
      <w:pPr>
        <w:ind w:left="0" w:firstLine="0" w:hanging="0"/>
        <w:jc w:val="left"/>
      </w:pPr>
      <w:r>
        <w:rPr>
          <w:rFonts w:ascii="Times New Roman" w:hAnsi="굴림체" w:cs="굴림체" w:eastAsia="굴림체"/>
          <w:sz w:val="24"/>
        </w:rPr>
        <w:t>9. D.L. 대 스웨덴(D.L. v. Sweden, CRPD/C/17/D/31/2015), 단락 7.3.</w:t>
      </w:r>
    </w:p>
    <w:p>
      <w:pPr>
        <w:ind w:left="0" w:firstLine="0" w:hanging="0"/>
        <w:jc w:val="left"/>
      </w:pPr>
      <w:r>
        <w:rPr>
          <w:rFonts w:ascii="Times New Roman" w:hAnsi="굴림체" w:cs="굴림체" w:eastAsia="굴림체"/>
          <w:sz w:val="24"/>
        </w:rPr>
        <w:t>10. "X 대 아르헨티나(X. v. Argentina, CRPD/C/11/D/8/2012), 단락 7.4; 비즐리 대 호주(Beasley v. Australia), 단락 7.4.</w:t>
      </w:r>
    </w:p>
    <w:p>
      <w:pPr>
        <w:ind w:left="0" w:firstLine="0" w:hanging="0"/>
        <w:jc w:val="left"/>
      </w:pPr>
      <w:r>
        <w:rPr>
          <w:rFonts w:ascii="Times New Roman" w:hAnsi="굴림체" w:cs="굴림체" w:eastAsia="굴림체"/>
          <w:sz w:val="24"/>
        </w:rPr>
        <w:t>11. 장애인권리위원회, 접근성에 관한 일반 논평 제2호(general comment No. 2 (2014) on accessibility), 단락 25.</w:t>
      </w:r>
    </w:p>
    <w:p>
      <w:pPr>
        <w:ind w:left="0" w:firstLine="0" w:hanging="0"/>
        <w:jc w:val="left"/>
      </w:pPr>
      <w:r>
        <w:rPr>
          <w:rFonts w:ascii="Times New Roman" w:hAnsi="굴림체" w:cs="굴림체" w:eastAsia="굴림체"/>
          <w:sz w:val="24"/>
        </w:rPr>
        <w:t>12. 장애인권리위원회, 통합교육의 권리에 관한 일반 논평 제4호(general comment No. 4 (2016) on the right to inclusive education), 단락 40; 경제적, 사회적 및 문화적 권리위원회, 당사국의 의무 성격에 관한 일반 논평 제3호(general comment No. 3 (1990) on the nature of States parties’ obligations), 단락 9.</w:t>
      </w:r>
    </w:p>
    <w:p>
      <w:pPr>
        <w:ind w:left="0" w:firstLine="0" w:hanging="0"/>
        <w:jc w:val="left"/>
      </w:pPr>
      <w:r>
        <w:rPr>
          <w:rFonts w:ascii="Times New Roman" w:hAnsi="굴림체" w:cs="굴림체" w:eastAsia="굴림체"/>
          <w:sz w:val="24"/>
        </w:rPr>
        <w:t>13. 경제적, 사회적 및 문화적 권리위원회, 일반 논평 제3호 (1990), 단락 2.</w:t>
      </w:r>
    </w:p>
    <w:p>
      <w:pPr>
        <w:ind w:left="0" w:firstLine="0" w:hanging="0"/>
        <w:jc w:val="left"/>
      </w:pPr>
      <w:r>
        <w:rPr>
          <w:rFonts w:ascii="Times New Roman" w:hAnsi="굴림체" w:cs="굴림체" w:eastAsia="굴림체"/>
          <w:sz w:val="24"/>
        </w:rPr>
        <w:t>14. F 대 오스트리아F. v. Austria, CRPD/C/14/D/21/2014), 단락 8.5.</w:t>
      </w:r>
    </w:p>
    <w:p>
      <w:pPr>
        <w:ind w:left="0" w:firstLine="0" w:hanging="0"/>
        <w:jc w:val="left"/>
      </w:pPr>
      <w:r>
        <w:rPr>
          <w:rFonts w:ascii="Times New Roman" w:hAnsi="굴림체" w:cs="굴림체" w:eastAsia="굴림체"/>
          <w:sz w:val="24"/>
        </w:rPr>
        <w:t>15. 장애인권리위원회, 일반 논평 제2호(2014), 단락 5.</w:t>
      </w:r>
    </w:p>
    <w:p>
      <w:pPr>
        <w:ind w:left="0" w:firstLine="0" w:hanging="0"/>
        <w:jc w:val="left"/>
      </w:pPr>
      <w:r>
        <w:rPr>
          <w:rFonts w:ascii="Times New Roman" w:hAnsi="굴림체" w:cs="굴림체" w:eastAsia="굴림체"/>
          <w:sz w:val="24"/>
        </w:rPr>
        <w:t>16. 위 각주와 같은 문서, 단락 33.</w:t>
      </w:r>
    </w:p>
    <w:p>
      <w:pPr>
        <w:ind w:left="0" w:firstLine="0" w:hanging="0"/>
        <w:jc w:val="left"/>
      </w:pPr>
      <w:r>
        <w:rPr>
          <w:rFonts w:ascii="Times New Roman" w:hAnsi="굴림체" w:cs="굴림체" w:eastAsia="굴림체"/>
          <w:sz w:val="24"/>
        </w:rPr>
        <w:t>17. CRPD/C/AUS/CO/2-3, 2019년 10월 15일, 단락 17,18.</w:t>
      </w:r>
    </w:p>
    <w:p>
      <w:pPr>
        <w:ind w:left="0" w:firstLine="0" w:hanging="0"/>
        <w:jc w:val="left"/>
      </w:pPr>
      <w:r>
        <w:rPr>
          <w:rFonts w:ascii="Times New Roman" w:hAnsi="굴림체" w:cs="굴림체" w:eastAsia="굴림체"/>
          <w:sz w:val="24"/>
        </w:rPr>
        <w:t>18. 장애인권리위원회, 일반 논평 제2호(2014), 단락 33.</w:t>
      </w:r>
    </w:p>
    <w:p>
      <w:pPr>
        <w:ind w:left="0" w:firstLine="0" w:hanging="0"/>
        <w:jc w:val="left"/>
      </w:pPr>
      <w:r>
        <w:rPr>
          <w:rFonts w:ascii="Times New Roman" w:hAnsi="굴림체" w:cs="굴림체" w:eastAsia="굴림체"/>
          <w:sz w:val="24"/>
        </w:rPr>
        <w:t>19. 위 각주와 동일.</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