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개인통보(2022): S.K. vs 핀란드</w:t>
      </w:r>
    </w:p>
    <w:p>
      <w:pPr>
        <w:ind w:left="0" w:firstLine="0" w:hanging="0"/>
        <w:jc w:val="center"/>
      </w:pPr>
      <w:r>
        <w:rPr>
          <w:rFonts w:ascii="Times New Roman" w:hAnsi="굴림체" w:cs="굴림체" w:eastAsia="굴림체"/>
          <w:sz w:val="24"/>
        </w:rPr>
        <w:t>CRPD Individual Communication(2022): S.K. vs Finland</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개인통보(46/2018)</w:t>
      </w:r>
    </w:p>
    <w:p>
      <w:pPr>
        <w:ind w:left="0" w:firstLine="0" w:hanging="0"/>
        <w:jc w:val="right"/>
      </w:pPr>
      <w:r>
        <w:rPr>
          <w:rFonts w:ascii="Times New Roman" w:hAnsi="굴림체" w:cs="굴림체" w:eastAsia="굴림체"/>
          <w:sz w:val="24"/>
        </w:rPr>
        <w:t>CRPD/C/26/D/46/2018</w:t>
      </w:r>
    </w:p>
    <w:p>
      <w:pPr>
        <w:ind w:left="0" w:firstLine="0" w:hanging="0"/>
        <w:jc w:val="right"/>
      </w:pPr>
      <w:r>
        <w:rPr>
          <w:rFonts w:ascii="Times New Roman" w:hAnsi="굴림체" w:cs="굴림체" w:eastAsia="굴림체"/>
          <w:sz w:val="24"/>
        </w:rPr>
        <w:t>위반 - 19(b), 5(1), 5(2) 단독 및 19조 연계</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2022. 5. 20.</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S. K.(변호인 유카 쿰푸부오리(Jukka Kumpuvuori)가 대리함)</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핀란드</w:t>
      </w:r>
    </w:p>
    <w:p>
      <w:pPr>
        <w:ind w:left="0" w:firstLine="0" w:hanging="0"/>
        <w:jc w:val="left"/>
      </w:pPr>
      <w:r>
        <w:rPr>
          <w:rFonts w:ascii="Times New Roman" w:hAnsi="굴림체" w:cs="굴림체" w:eastAsia="굴림체"/>
          <w:sz w:val="24"/>
        </w:rPr>
        <w:t>제출일: 2018-02-07</w:t>
      </w:r>
    </w:p>
    <w:p>
      <w:pPr>
        <w:ind w:left="0" w:firstLine="0" w:hanging="0"/>
        <w:jc w:val="left"/>
      </w:pPr>
      <w:r>
        <w:rPr>
          <w:rFonts w:ascii="Times New Roman" w:hAnsi="굴림체" w:cs="굴림체" w:eastAsia="굴림체"/>
          <w:sz w:val="24"/>
        </w:rPr>
        <w:t>참고문서: 위원회 절차규칙 제70조에 따라 취한 결정 (2018년 2월 17일 당사국 송부, 문서 형태로 발행되지 않음)</w:t>
      </w:r>
    </w:p>
    <w:p>
      <w:pPr>
        <w:ind w:left="0" w:firstLine="0" w:hanging="0"/>
        <w:jc w:val="left"/>
      </w:pPr>
      <w:r>
        <w:rPr>
          <w:rFonts w:ascii="Times New Roman" w:hAnsi="굴림체" w:cs="굴림체" w:eastAsia="굴림체"/>
          <w:sz w:val="24"/>
        </w:rPr>
        <w:t>채택일: 2022. 3. 24.</w:t>
      </w:r>
    </w:p>
    <w:p>
      <w:pPr>
        <w:ind w:left="0" w:firstLine="0" w:hanging="0"/>
        <w:jc w:val="left"/>
      </w:pPr>
      <w:r>
        <w:rPr>
          <w:rFonts w:ascii="Times New Roman" w:hAnsi="굴림체" w:cs="굴림체" w:eastAsia="굴림체"/>
          <w:sz w:val="24"/>
        </w:rPr>
        <w:t>주제: 활동 보조</w:t>
      </w:r>
    </w:p>
    <w:p>
      <w:pPr>
        <w:ind w:left="0" w:firstLine="0" w:hanging="0"/>
        <w:jc w:val="left"/>
      </w:pPr>
      <w:r>
        <w:rPr>
          <w:rFonts w:ascii="Times New Roman" w:hAnsi="굴림체" w:cs="굴림체" w:eastAsia="굴림체"/>
          <w:sz w:val="24"/>
        </w:rPr>
        <w:t>절차쟁점: 	 국내 구제절차의 소진, 주장의 소명</w:t>
      </w:r>
    </w:p>
    <w:p>
      <w:pPr>
        <w:ind w:left="0" w:firstLine="0" w:hanging="0"/>
        <w:jc w:val="left"/>
      </w:pPr>
      <w:r>
        <w:rPr>
          <w:rFonts w:ascii="Times New Roman" w:hAnsi="굴림체" w:cs="굴림체" w:eastAsia="굴림체"/>
          <w:sz w:val="24"/>
        </w:rPr>
        <w:t>본안쟁점: 장애를 이유로 한 차별, 자유에 대한 권리, 자립생활과 지역사회 통합</w:t>
      </w:r>
    </w:p>
    <w:p>
      <w:pPr>
        <w:ind w:left="0" w:firstLine="0" w:hanging="0"/>
        <w:jc w:val="left"/>
      </w:pPr>
      <w:r>
        <w:rPr>
          <w:rFonts w:ascii="Times New Roman" w:hAnsi="굴림체" w:cs="굴림체" w:eastAsia="굴림체"/>
          <w:sz w:val="24"/>
        </w:rPr>
        <w:t>관련조항: 제5조, 제14조, 제19조</w:t>
      </w:r>
    </w:p>
    <w:p>
      <w:pPr>
        <w:ind w:left="0" w:firstLine="0" w:hanging="0"/>
        <w:jc w:val="left"/>
      </w:pPr>
      <w:r>
        <w:rPr>
          <w:rFonts w:ascii="Times New Roman" w:hAnsi="굴림체" w:cs="굴림체" w:eastAsia="굴림체"/>
          <w:sz w:val="24"/>
        </w:rPr>
        <w:t>선택의정서 관련조항: 제2조 제d호에서 제f호</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46/2018</w:t>
      </w:r>
    </w:p>
    <w:p>
      <w:pPr>
        <w:ind w:left="0" w:firstLine="0" w:hanging="0"/>
        <w:jc w:val="left"/>
      </w:pPr>
      <w:r>
        <w:rPr>
          <w:rFonts w:ascii="Times New Roman" w:hAnsi="굴림체" w:cs="굴림체" w:eastAsia="굴림체"/>
          <w:sz w:val="24"/>
        </w:rPr>
        <w:t>1. 통보인은 S. K. *1 ) 로 1982년 1월 8일생 핀란드 국민이다. 통보인은 당사국이 협약 제5조, 제14조, 제19조를 위반함으로써 피해를 겪었다고 주장한다. 선택의정서는 2016년 6월 10일부로 당사국에서 발효되었다. 변호인이 통보인을 대리한다.</w:t>
      </w:r>
    </w:p>
    <w:p>
      <w:pPr>
        <w:ind w:left="0" w:firstLine="0" w:hanging="0"/>
        <w:jc w:val="center"/>
      </w:pPr>
      <w:r>
        <w:rPr>
          <w:rFonts w:ascii="Times New Roman" w:hAnsi="굴림체" w:cs="굴림체" w:eastAsia="굴림체"/>
          <w:sz w:val="24"/>
        </w:rPr>
        <w:t>A. 당사자들이 제출한 정보 및 주장의 개요</w:t>
      </w:r>
    </w:p>
    <w:p>
      <w:pPr>
        <w:ind w:left="0" w:firstLine="0" w:hanging="0"/>
        <w:jc w:val="center"/>
      </w:pPr>
      <w:r>
        <w:rPr>
          <w:rFonts w:ascii="Times New Roman" w:hAnsi="굴림체" w:cs="굴림체" w:eastAsia="굴림체"/>
          <w:sz w:val="24"/>
        </w:rPr>
        <w:t>통보인이 제출한 사실관계</w:t>
      </w:r>
    </w:p>
    <w:p>
      <w:pPr>
        <w:ind w:left="0" w:firstLine="0" w:hanging="0"/>
        <w:jc w:val="left"/>
      </w:pPr>
      <w:r>
        <w:rPr>
          <w:rFonts w:ascii="Times New Roman" w:hAnsi="굴림체" w:cs="굴림체" w:eastAsia="굴림체"/>
          <w:sz w:val="24"/>
        </w:rPr>
        <w:t>2.1 통보인은 신체적·지적 장애가 있다. 통보인은 모든 일상 활동에서 도움을 필요로 한다. 의료 보고서에 따르면, 통보인은 집단 거주시설 수용이 불가능하며 자립생활을 위해 하루 24시간 활동 활동 보조인이 필요하다.</w:t>
      </w:r>
    </w:p>
    <w:p>
      <w:pPr>
        <w:ind w:left="0" w:firstLine="0" w:hanging="0"/>
        <w:jc w:val="left"/>
      </w:pPr>
      <w:r>
        <w:rPr>
          <w:rFonts w:ascii="Times New Roman" w:hAnsi="굴림체" w:cs="굴림체" w:eastAsia="굴림체"/>
          <w:sz w:val="24"/>
        </w:rPr>
        <w:t>2.2 활동 활동 보조는 1987년 장애서비스법(Disability Services Act, 제380/1987호)을 통해 당사국의 법적 체계에 도입되었다. 당시 활동활동 보조를 제공받는 유일한 방법은 장애인이나 그 가족이 활동 활동 보조인을 고용하는 것이었다. 활동 보조활동 보조 제도는 2009년 개정되었다. 개정의 한 가지 이유는 활동 활동 보조인이 사적 고용인으로 역할해야 함으로써 장애인이 서비스를 누리는 데 제약이 있다는 것이었다. 새로운 서비스를 통해 필요가 복잡하고 지원 요구사항이 많은 장애인에게도 지원이 제공될 것이라는 주장이 제기되었다. 다양한 형태의 활동 활동 보조 서비스가 도입됨으로써 고용인으로 기능해야 할 의무 없이도 서비스 제공이 가능하다는 것이다. 2009년 장애서비스법 개정 이후 활동 활동 보조는 세 가지 방식으로 체계화되었다. (a) 장애인에게 보조인 채용에 필요한 합당한 비용을 보상할 수 있다. 또 지방자치단체가 실무적으로 보조인의 임금을 지급하고 여타의 사용자 의무를 이행하되 장애인이나 그 가족이 사용자의 지위를 유지할 수도 있다. (b) 장애인에게 서비스 바우처를 제공할 수 있다. (c) 지방자치단체가 서비스를 제공하거나 민간 또는 공공 서비스 제공자로부터 서비스를 구매할 수 있다. 2009년 개정된 법률에 따르면, 활동 활동 보조를 받기 위해 장애인은 활동 활동 보조의 내용과 이의 제공 방식을 정의할 수 있는 자원이 있어야 한다(이를 “자원 기준(resources criterion)”이라 한다). *2 ) 통보인은 “자원”이라는 용어가 금전적 자원이 아니라 활동 활동 보조의 내용을 정의할 수 있는 개인의 능력을 가리킴을 분명히 한다.</w:t>
      </w:r>
    </w:p>
    <w:p>
      <w:pPr>
        <w:ind w:left="0" w:firstLine="0" w:hanging="0"/>
        <w:jc w:val="left"/>
      </w:pPr>
      <w:r>
        <w:rPr>
          <w:rFonts w:ascii="Times New Roman" w:hAnsi="굴림체" w:cs="굴림체" w:eastAsia="굴림체"/>
          <w:sz w:val="24"/>
        </w:rPr>
        <w:t>2.3 이후 당사국 사회보건부는 자원 기준이 유지되었다는 점에서 2009년 개정은 부분적인 것에 불과했다고 설명한 바 있다. 그러나 이러한 기준의 도입으로 일부 장애인, 특히 인지장애인의 활동 활동 보조 접근성이 제한되었다는 주장이 제기되었다. 최고행정법원은 특히 지적장애인의 자가 생활에 필요한 활동 활동 보조 제공과 관련해 제한적인 해석을 내린 반면 옥외 활동에 대해서는 활동 활동 보조가 적합하다고 판단했다. 지방자치단체의 해석은 이와 비슷하거나 심지어 더욱 제한적이었다. 자원 기준을의 폐지하는 것이 전 정부에서 제안되었지만 현 정부는 이를 유지하기를 희망한다. 시민사회단체들은 거의 만장일치로 자원 기준의 폐지를 강력하게 요구하고 있다.</w:t>
      </w:r>
    </w:p>
    <w:p>
      <w:pPr>
        <w:ind w:left="0" w:firstLine="0" w:hanging="0"/>
        <w:jc w:val="left"/>
      </w:pPr>
      <w:r>
        <w:rPr>
          <w:rFonts w:ascii="Times New Roman" w:hAnsi="굴림체" w:cs="굴림체" w:eastAsia="굴림체"/>
          <w:sz w:val="24"/>
        </w:rPr>
        <w:t>2.4 2014년 1월 1일 통보인은 자신의 집에서 자립생활을 하기 위해 아파트를 임차했다. 같은 해 통보인은 자립생활이 가능하도록 장애서비스법에 따라 주당 140시간의 활동 활동 보조를 신청했다. 처음에는 활동 활동 보조와 부모의 도움으로, 이후에는 활동 활동 보조만으로 자가 생활을 하는 것이 통보인의 계획이었다.</w:t>
      </w:r>
    </w:p>
    <w:p>
      <w:pPr>
        <w:ind w:left="0" w:firstLine="0" w:hanging="0"/>
        <w:jc w:val="left"/>
      </w:pPr>
      <w:r>
        <w:rPr>
          <w:rFonts w:ascii="Times New Roman" w:hAnsi="굴림체" w:cs="굴림체" w:eastAsia="굴림체"/>
          <w:sz w:val="24"/>
        </w:rPr>
        <w:t>2.5 2015년 10월 2일 키르코눔미시 기본보장국 공무원은 옥외 자립 활동을 위한 주당 60시간의 활동 활동 보조를 승인했다. 이는 활동 활동 보조를 통해 자신의 집에서 자립생활을 하려던 통보인의 계획에 반하는 것이었다. 2015년 11월 11일자 결정을 통해 키르코눔미시 기본보장국 기본보장과는 해당 결정을 유지했다.</w:t>
      </w:r>
    </w:p>
    <w:p>
      <w:pPr>
        <w:ind w:left="0" w:firstLine="0" w:hanging="0"/>
        <w:jc w:val="left"/>
      </w:pPr>
      <w:r>
        <w:rPr>
          <w:rFonts w:ascii="Times New Roman" w:hAnsi="굴림체" w:cs="굴림체" w:eastAsia="굴림체"/>
          <w:sz w:val="24"/>
        </w:rPr>
        <w:t>2.6 2016년 5월 26일 헬싱키 행정법원은 기본보장국의 결정에 대하여 통보인이 제기한 진정을 기각했다. 법원은 사회보건위원회의 2008년도 보고서를 참조하였다. 보고서에는 도움이 필요한 자가 보조 내용과 이의 제공 방식을 정의할 자원이 있어야 한다는 것이 활동 활동 보조를 제공받기 위한 선결요건이지만 제3자가 실시한 감정에 따라 보조의 필요성을 직접 정의할 수 없는 장애인은 해당 요건에서 배제된다고 명시되어 있다. 또 보고서는 대부분 보조의 필요성이 주로 돌봄·치료·감시에 기반하며, 이는 활동 활동 보조 외의 방법으로 제공되어야 한다고 기술하고 있다.</w:t>
      </w:r>
    </w:p>
    <w:p>
      <w:pPr>
        <w:ind w:left="0" w:firstLine="0" w:hanging="0"/>
        <w:jc w:val="left"/>
      </w:pPr>
      <w:r>
        <w:rPr>
          <w:rFonts w:ascii="Times New Roman" w:hAnsi="굴림체" w:cs="굴림체" w:eastAsia="굴림체"/>
          <w:sz w:val="24"/>
        </w:rPr>
        <w:t>2.7 헬싱키 행정법원은 결정문에서 통보인이 모든 일상 업무와 이동에 도움이 필요하고, 몸짓이나 표정, 단일 단어로 의사소통을 하며, 가사 업무에 어느 정도 참여하지만 제출된 서류만으로는 주도적으로 일을 할 수 있는지가 입증되지 않는다고 언급했다. 또 이와 관련해 통보인의 주의를 환기하고 그를 독려해야 한다는 점도 언급했다. 법원은 활동 활동 보조가 “중증” 장애인의 선택과 자립생활 능력을 지원하기 위한 것이므로 당사자가 보조 내용과 이의 실행 방식을 스스로 정의할 수 있어야 하며, 이러한 정의가 다른 사람의 의견에 근거해서는 안 된다고 판단했다. 법원은 통보인을 평가한 의료 보고서 *3 ) 에 따라 통보인이 일상적 상황에서 자신의 필요를 표현할 수 있지만 자가 생활에 필요한 보조 내용과 방식을 결정할 수 없다고 밝혔다. 기본보장국이 보기에 보조의 필요성과 그 실행 방식을 정의할 수 있는 자원이 부족했으므로 통보인에게는 주당 140시간의 활동 활동 보조가 모두 제공될 수 없었다. 법원은 옥외 자립 활동 수행을 가능하게 하고 이러한 활동을 준비할 수 있도록 통보인에게 주당 60시간의 활동 활동 보조를 제공하기로 한 기본보장국의 결정을 지지했다.</w:t>
      </w:r>
    </w:p>
    <w:p>
      <w:pPr>
        <w:ind w:left="0" w:firstLine="0" w:hanging="0"/>
        <w:jc w:val="left"/>
      </w:pPr>
      <w:r>
        <w:rPr>
          <w:rFonts w:ascii="Times New Roman" w:hAnsi="굴림체" w:cs="굴림체" w:eastAsia="굴림체"/>
          <w:sz w:val="24"/>
        </w:rPr>
        <w:t>2.8 통보인은 자가 생활에 필요한 활동 활동 보조를 받기 위해 보조 내용과 이의 제공 방식을 정의해야 한다고 할 때 법원이 이러한 정의를 할 수 있는 능력이 어떠한 것인지 설명하지 않았다고 지적하며 헬싱키 행정법원의 결정에 항소했다. 통보인은 협약 제19조를 환기하면서 모든 장애인이 다른 사람들과 동등한 선택을 통해 지역사회에서 살아갈 동등한 권리가 있음을 당사국이 인정했으며, 장애인이 활동 활동 보조를 통해 자가 생활을 도모하는 것 역시 가능해야 한다고 진술한다.</w:t>
      </w:r>
    </w:p>
    <w:p>
      <w:pPr>
        <w:ind w:left="0" w:firstLine="0" w:hanging="0"/>
        <w:jc w:val="left"/>
      </w:pPr>
      <w:r>
        <w:rPr>
          <w:rFonts w:ascii="Times New Roman" w:hAnsi="굴림체" w:cs="굴림체" w:eastAsia="굴림체"/>
          <w:sz w:val="24"/>
        </w:rPr>
        <w:t>2.9 2017년 6월 14일 최고행정법원은 통보인의 항소를 기각했다. 법원은 일상적인 상황에서 자신의 필요를 표현할 능력이 있더라도 보조의 내용과 그 실행 방식을 정의할 수 있는 자원이 있음이 입증되지 않았으며, 자립적 자가 생활을 목적으로 하는 활동 활동 보조의 경우에 이러한 자원은 필수적이라고 판시했다. 법원은 이전에 집에서 활동 활동 보조를 이용할 수 있었다는 사실만으로는 행정절차법(Administrative Procedure Act) 제6조에 따라 통보인이 자동으로 활동 활동 보조를 받아야 한다는 정당한 기대가 발생하지 않는다고 간주했다. 또 법원은 국내·국제 규칙과 규정이 재가 활동 활동 보조인에 대한 특정한 권리를 통보인에게 부여하지 않으며, 통보인이 장애서비스법 제8c조 제2항의 요건에도 부합하지 않는다고 간주했다.</w:t>
      </w:r>
    </w:p>
    <w:p>
      <w:pPr>
        <w:ind w:left="0" w:firstLine="0" w:hanging="0"/>
        <w:jc w:val="left"/>
      </w:pPr>
      <w:r>
        <w:rPr>
          <w:rFonts w:ascii="Times New Roman" w:hAnsi="굴림체" w:cs="굴림체" w:eastAsia="굴림체"/>
          <w:sz w:val="24"/>
        </w:rPr>
        <w:t>2.10 부모가 통보인의 집으로 이사해 상시 보조를 제공할 수는 없었으므로 결국 통보인이 다시 부모의 집으로 들어가게 되었다.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위원회 일반논평 제5호(2017)를 환기하면서 통보인은 삶의 주요 영역에서 개인적·개별적 선택권과 통제권이 부정되었다며 협약 제19조에 따른 진정을 제기한다. 통보인은 활동 활동 보조를 통해 자신의 집에서 자립생활을 할 수 있는 능력이 없는 것으로 추정되었다. 통보인에게 제공되는 지원은 사실상 특수한 생활방식과 관련된다. 자원은 개별적으로 계획된 서비스가 아니라 시설류의 서비스에 투자된다. 지방자치단체와 당사국은 지역사회 내 자립생활을 가능하게 할 적절한 복지 서비스 제공에 미온적이었으며, 이는 통보인의 사례에서 가족에 대한 의존, 또 고립과 분리로 이어졌다.</w:t>
      </w:r>
    </w:p>
    <w:p>
      <w:pPr>
        <w:ind w:left="0" w:firstLine="0" w:hanging="0"/>
        <w:jc w:val="left"/>
      </w:pPr>
      <w:r>
        <w:rPr>
          <w:rFonts w:ascii="Times New Roman" w:hAnsi="굴림체" w:cs="굴림체" w:eastAsia="굴림체"/>
          <w:sz w:val="24"/>
        </w:rPr>
        <w:t>3.2 통보인은 적절한 활동 활동 보조가 부족하여 자신만의 일정과 규칙으로 삶을 영위할 수 없으며, 항상 가족 구성원의 규칙에 적응하고 이를 따라야 한다고 주장한다. 그러나 부모의 비공식적 도움은 시설 같은 환경을 멀리할 수 있는 유일한 방법이다. 시설은 통보인의 개인적 필요와 양립할 수 없으며, 그의 행복을 급속도로 감소시킬 것이다. 또 협약 제19조는 분리와 결합되고 개인적 자율성을 제한한다는 점에서 어떠한 형태의 시설 지원 서비스도 허용하지 않는다. 따라서 통보인에게 시설거주는는 제19조 위반에 해당할 것이다. 가족 구성원의 비공식적 지원이 종료된다면 당사국의 법률 해석에 따라 통보인에게는 시설거주만이 유일한 선택지로 남을 것이다. 현시점에서 위반은 통보인에 대한 보조가 가족에 의해 비공식적으로 제공되어서는 안 된다는 사실에서 비롯된다.</w:t>
      </w:r>
    </w:p>
    <w:p>
      <w:pPr>
        <w:ind w:left="0" w:firstLine="0" w:hanging="0"/>
        <w:jc w:val="left"/>
      </w:pPr>
      <w:r>
        <w:rPr>
          <w:rFonts w:ascii="Times New Roman" w:hAnsi="굴림체" w:cs="굴림체" w:eastAsia="굴림체"/>
          <w:sz w:val="24"/>
        </w:rPr>
        <w:t>3.3 또 통보인은 활동 보조의 필요성 평가 시 당사국 기관이 인권기반 접근법 대신 통보인의 장애와 관련한 의료적 접근법을 채택했다는 점에서 당사국이 협약을 위반했다고 진술한다. 부모의 지원이 없었다면 그는 시설 환경으로 이주해야 했을 것이다.</w:t>
      </w:r>
    </w:p>
    <w:p>
      <w:pPr>
        <w:ind w:left="0" w:firstLine="0" w:hanging="0"/>
        <w:jc w:val="left"/>
      </w:pPr>
      <w:r>
        <w:rPr>
          <w:rFonts w:ascii="Times New Roman" w:hAnsi="굴림체" w:cs="굴림체" w:eastAsia="굴림체"/>
          <w:sz w:val="24"/>
        </w:rPr>
        <w:t>3.4 통보인은 협약 제5조가 제19조와 연계하여 위반되었다고 간주한다. 시민사회단체의 통계에 따르면, 지적장애인은 성인이 되어서도 부모와 함께 사는 경우가 많은 것으로 나타난다. 지적장애인을 위한 것으로서 협약 제19조의 요건을 준수하는 지역사회 서비스는 현저히 부족한 실정이다. 따라서 현재의 관행은 평등과 차별금지 원칙의 위반에 해당한다. 장애서비스법에 명시된 바와 같이 장애인이 활동 보조의 내용과 이의 제공 방식을 정의할 수 있는 자원이 있어야 한다는 기준은 통보인의 사례에서뿐만 아니라 지적장애인 일반에 대해서도 차별적이다. 통보인에 따르면, 이러한 기준이 지적장애인에게만 영향을 미친다는 점에서 다른 형태의 장애인은 지적장애인보다 활동 보조에 더 적격하다.</w:t>
      </w:r>
    </w:p>
    <w:p>
      <w:pPr>
        <w:ind w:left="0" w:firstLine="0" w:hanging="0"/>
        <w:jc w:val="left"/>
      </w:pPr>
      <w:r>
        <w:rPr>
          <w:rFonts w:ascii="Times New Roman" w:hAnsi="굴림체" w:cs="굴림체" w:eastAsia="굴림체"/>
          <w:sz w:val="24"/>
        </w:rPr>
        <w:t>3.5 마지막으로, 통보인은 지역사회 내에서 어떠한 지원도 이용할 수 없다는 점에서 제14조가 위반되었다고 주장한다. 부모의 도움이 없다면 통보인은 시설과 같은 환경에서 생활해야 할 것이다. 이러한 환경 속에서는 개인의 필요가 충족되지 못하고, 생활할 장소와 함께 생활할 사람을 선택할 수도 없을 것이다.</w:t>
      </w:r>
    </w:p>
    <w:p>
      <w:pPr>
        <w:ind w:left="0" w:firstLine="0" w:hanging="0"/>
        <w:jc w:val="left"/>
      </w:pPr>
      <w:r>
        <w:rPr>
          <w:rFonts w:ascii="Times New Roman" w:hAnsi="굴림체" w:cs="굴림체" w:eastAsia="굴림체"/>
          <w:sz w:val="24"/>
        </w:rPr>
        <w:t>3.6 통보인은 진정의 시간적 심리적격과 관련해 2016년 6월 10일부로 협약과 선택의정서가 당사국에서 발효된 이후에도 위반이 계속되었다고 주장한다. *4 ) 통보인은 하급 법원의 결정과 분리될 수 없으며 자신의 활동 보조에 대한 권리를 검토한 최고행정법원의 결정이 협약 및 선택의정서 발효 이후에 내려졌다고 언급한다.</w:t>
      </w:r>
    </w:p>
    <w:p>
      <w:pPr>
        <w:ind w:left="0" w:firstLine="0" w:hanging="0"/>
        <w:jc w:val="center"/>
      </w:pPr>
      <w:r>
        <w:rPr>
          <w:rFonts w:ascii="Times New Roman" w:hAnsi="굴림체" w:cs="굴림체" w:eastAsia="굴림체"/>
          <w:sz w:val="24"/>
        </w:rPr>
        <w:t>심리적격과 본안에 관한 당사국 견해</w:t>
      </w:r>
    </w:p>
    <w:p>
      <w:pPr>
        <w:ind w:left="0" w:firstLine="0" w:hanging="0"/>
        <w:jc w:val="left"/>
      </w:pPr>
      <w:r>
        <w:rPr>
          <w:rFonts w:ascii="Times New Roman" w:hAnsi="굴림체" w:cs="굴림체" w:eastAsia="굴림체"/>
          <w:sz w:val="24"/>
        </w:rPr>
        <w:t>4.1 2018년 4월 27일과 2018년 8월 27일 당사국은 심리적격과 본안에 관한 견해를 제출했다. 통보의 시간적 심리적격을 인정하면서도 당사국은 본 사례의 사실관계 또는 국내법 적용을 검토하는 것은 위원회의 소관이 아니며, 심리적격의 취지에서 당사국 기관의 행위가 자의성 또는 사법 거부에 해당한다는 주장을 통보인이 소명하지 못했다고 간주한다. 당사국은 통보인이 국내 소송에서 협약 제5조에 따른 주장을 간접적으로 제기했을 뿐 협약 제14조에 따른 주장을 전혀 제기하지 않았으며, 이는 국내 구제절차를 소진하지 않은 것에 해당한다고 주장한다. 당사국은 통보인이 본질적으로 제14조의 가설적 위반을 제기하고 있다고 덧붙인다. 이는 해당 조항이 위반되었다는 주장이 추가로 소명되지 않았을 뿐만 아니라 통보인의 자유가 어떠한 식으로든 박탈된 적이 없기 때문이다.</w:t>
      </w:r>
    </w:p>
    <w:p>
      <w:pPr>
        <w:ind w:left="0" w:firstLine="0" w:hanging="0"/>
        <w:jc w:val="left"/>
      </w:pPr>
      <w:r>
        <w:rPr>
          <w:rFonts w:ascii="Times New Roman" w:hAnsi="굴림체" w:cs="굴림체" w:eastAsia="굴림체"/>
          <w:sz w:val="24"/>
        </w:rPr>
        <w:t>4.2 본안과 관련해 당사국은 협약 제19조에서 요구하는 바가 장애서비스법에서 언급된 활동 보조와 같은 특정 유형을 통해 장애인의 자립생활에 대한 권리를 보장하는 것이 아니라 장애인이 활동 보조를 비롯해 다양한 재가, 주거, 기타 지역사회 지원 서비스에 접근할 수 있도록 하는 것이라고 지적한다. *5 ) 당사국은 활동 보조의 목적이 장애인의 개인적 선택, 즉 자기결정권을 지원하는 것이라고 언급한다. 지원을 받더라도 장애인이 스스로 선택할 수 없다면 그 목적은 달성될 수 없다. 이러한 경우 당사자의 필요는 다른 서비스를 통해 더 효과적이고 안전하게 충족될 수 있다. 이러한 점에서 자원과 관련한 조건은 당사자의 자기결정권을 보호하는 동시에 정신적·신체적 무결성의 침해로부터 당사자를 보호한다.</w:t>
      </w:r>
    </w:p>
    <w:p>
      <w:pPr>
        <w:ind w:left="0" w:firstLine="0" w:hanging="0"/>
        <w:jc w:val="left"/>
      </w:pPr>
      <w:r>
        <w:rPr>
          <w:rFonts w:ascii="Times New Roman" w:hAnsi="굴림체" w:cs="굴림체" w:eastAsia="굴림체"/>
          <w:sz w:val="24"/>
        </w:rPr>
        <w:t>4.3 당사국은 의사가 당사자의 보조 필요성에 관한 입장을 취할 수 있지만, 자립생활 지원에 가장 적합한 서비스를 결정하는 것은 의사의 평가에만 의존할 수 없다고 간주한다. 국립복지보건감독청(National Supervisory Authority for Welfare and Health)에 접수된 신고에 따르면, 통보인을 위한 대안적 서비스로 장애서비스법에 따른 상시지원주택(service housing)이 통보인의 보호자에게 제안된 바 있다. 상시지원주택은 거주시설 및 수혜자의 일상생활 대처에 필요한 주거 서비스로 구성된다. 주거 서비스에는 이동, 옷 입기, 개인위생 유지, 식사, 청소와 같은 주거 관련 활동 보조와 수혜자의 건강·재활·복지 증진에 필요한 서비스가 포함될 수 있다. 장애서비스법은 상시지원주택의 설치 장소와 방법을 정의하고 있지 않다. 상시지원주택과 관련한 주거 서비스는 임대·소유 여부와 무관하게 수혜자의 집에서 제공될 수 있다.</w:t>
      </w:r>
    </w:p>
    <w:p>
      <w:pPr>
        <w:ind w:left="0" w:firstLine="0" w:hanging="0"/>
        <w:jc w:val="left"/>
      </w:pPr>
      <w:r>
        <w:rPr>
          <w:rFonts w:ascii="Times New Roman" w:hAnsi="굴림체" w:cs="굴림체" w:eastAsia="굴림체"/>
          <w:sz w:val="24"/>
        </w:rPr>
        <w:t>4.4 당사국은 이러한 제안이 오해를 일으켜 상시지원주택이 서비스 제공자가 공급하고 동일 보조인에 의해 수행되는 개인 서비스처럼 통보인의 집에서 제공될 수 없다는 인상을 보호자에게 주었는지는 확인하지 못했다고 명시한다. 그러나 이것이 통보인의 사례에서 다른 결정이 내려졌음을 함축하지는 않는다. 또 당사국은 통보인이 대안적 서비스를 모색하지 않았다고 지적한다.</w:t>
      </w:r>
    </w:p>
    <w:p>
      <w:pPr>
        <w:ind w:left="0" w:firstLine="0" w:hanging="0"/>
        <w:jc w:val="left"/>
      </w:pPr>
      <w:r>
        <w:rPr>
          <w:rFonts w:ascii="Times New Roman" w:hAnsi="굴림체" w:cs="굴림체" w:eastAsia="굴림체"/>
          <w:sz w:val="24"/>
        </w:rPr>
        <w:t>4.5 협약 제5조 위반 주장과 관련해 당사국은 진단을 통해 누군가를 불평등하게 대우하는 정의나 범주화, 또는 기타 요인이 장애서비스법에 포함되어 있지 않다고 강조한다. 장애인이 활동 보조의 내용과 이의 제공 방식을 정의할 수 있는 자원을 보유해야 한다는 요건의 충족 여부를 평가하는 것은 진단이나 장애 유형이 아닌 당사자의 개인적 상황과 필요, 또 능력에 근거한다.</w:t>
      </w:r>
    </w:p>
    <w:p>
      <w:pPr>
        <w:ind w:left="0" w:firstLine="0" w:hanging="0"/>
        <w:jc w:val="center"/>
      </w:pPr>
      <w:r>
        <w:rPr>
          <w:rFonts w:ascii="Times New Roman" w:hAnsi="굴림체" w:cs="굴림체" w:eastAsia="굴림체"/>
          <w:sz w:val="24"/>
        </w:rPr>
        <w:t>심리적격과 본안에 관한 당사국 견해에 대한 통보인 의견</w:t>
      </w:r>
    </w:p>
    <w:p>
      <w:pPr>
        <w:ind w:left="0" w:firstLine="0" w:hanging="0"/>
        <w:jc w:val="left"/>
      </w:pPr>
      <w:r>
        <w:rPr>
          <w:rFonts w:ascii="Times New Roman" w:hAnsi="굴림체" w:cs="굴림체" w:eastAsia="굴림체"/>
          <w:sz w:val="24"/>
        </w:rPr>
        <w:t>5.1 2018년 5월 30일과 2018년 12월 24일 통보인은 당사국 견해에 대한 논평을 제출했다. 통보인은 장애서비스법이 국내법 사안으로서 잘못 해석되거나 적용되었다는 게 아니라 국내 법원이 협약의 규정을 고려하지 않음으로써 이러한 해석과 적용이 협약의 요건과 상충한다는 것이 자신의 주장임을 강조한다. 또 통보인은 활동 보조 제도가 특히 지적장애인의 자립생활에 대한 권리를 저해하고 적격성 기준이 차별적이라는 점을 재차 강조한다.</w:t>
      </w:r>
    </w:p>
    <w:p>
      <w:pPr>
        <w:ind w:left="0" w:firstLine="0" w:hanging="0"/>
        <w:jc w:val="left"/>
      </w:pPr>
      <w:r>
        <w:rPr>
          <w:rFonts w:ascii="Times New Roman" w:hAnsi="굴림체" w:cs="굴림체" w:eastAsia="굴림체"/>
          <w:sz w:val="24"/>
        </w:rPr>
        <w:t>5.2 국내 소송에서 협약 제14조에 따른 주장을 제기하지 않았다는 당사국 주장에 대해 통보인은 최고행정법원에 제출한 자료에 지역사회에서 살아갈 권리가 개인적 자유에 대한 권리와 같은 기본권과 밀접하게 연관되어 있다는 주장을 언급하는 출간물이 포함되어 있음을 분명히 한다. *6 ) 통보인은 또 해당 제출물을 통해 활동 보조를 옥외 활동으로 제한한 것은 헌법, 장애인권리협약, 인권과 기본적 자유의 보호에 관한 협약이 보장하는 개인적 자유와 사생활에 대한 권리를 침해하는 것이라고 주장했다. 따라서 통보인은 국내 소송에서 협약 제14조를 제기한 것으로 간주한다. 나아가 통보인은 협약 제5조에 따른 자신의 주장을 환기하며 협약의 기준을 간접 참조하는 것으로 충분하다고 진술한다.</w:t>
      </w:r>
    </w:p>
    <w:p>
      <w:pPr>
        <w:ind w:left="0" w:firstLine="0" w:hanging="0"/>
        <w:jc w:val="left"/>
      </w:pPr>
      <w:r>
        <w:rPr>
          <w:rFonts w:ascii="Times New Roman" w:hAnsi="굴림체" w:cs="굴림체" w:eastAsia="굴림체"/>
          <w:sz w:val="24"/>
        </w:rPr>
        <w:t>5.3 본안과 관련해 통보인은 당사국 법률이 의사결정 지원이 필요한 사람들에게 활동 보조 제공을 거부함을 재차 강조한다. 통보인은 옥외 활동 및 활동 준비와 관련해서는 보조 내용과 이의 제공 방식을 정의할 수 있는 자원이 있는 것으로 인정되었음에도 정작 필요한 재가 보조와 관련해서는 그러한 자원이 없다고 판정한 것이 비논리적이고 불법적이라고 생각한다. 재가 보조와 관련해 자원 기준을 충족하기에 충분한 자원의 유형이 무엇인지는 여전히 분명치 않다.</w:t>
      </w:r>
    </w:p>
    <w:p>
      <w:pPr>
        <w:ind w:left="0" w:firstLine="0" w:hanging="0"/>
        <w:jc w:val="left"/>
      </w:pPr>
      <w:r>
        <w:rPr>
          <w:rFonts w:ascii="Times New Roman" w:hAnsi="굴림체" w:cs="굴림체" w:eastAsia="굴림체"/>
          <w:sz w:val="24"/>
        </w:rPr>
        <w:t>5.4 통보인은 자원과 관련한 조건이 당사자의 자기결정권을 보호한다는 당사국 주장은 모순적이며 협약에 의해 뒷받침되지 않는다고 간주한다. 통보인은 자원 기준이 차별적이라고 주장한다. 이는 보조에 관한 독자적 결정을 내릴 수 있는 사람만이 자원 기준을 충족할 수 있음을 의미하며, 이는 예를 들어 지적장애인의 경우에는 이를 충족할 수 없기 때문이다.</w:t>
      </w:r>
    </w:p>
    <w:p>
      <w:pPr>
        <w:ind w:left="0" w:firstLine="0" w:hanging="0"/>
        <w:jc w:val="left"/>
      </w:pPr>
      <w:r>
        <w:rPr>
          <w:rFonts w:ascii="Times New Roman" w:hAnsi="굴림체" w:cs="굴림체" w:eastAsia="굴림체"/>
          <w:sz w:val="24"/>
        </w:rPr>
        <w:t>5.5 통보인은 상시지원주택이 자신에게 제안되었다는 당사국 진술을 반박한다. 통보인은 국립복지보건감독청과 관련한 소송이나 기록, 또는 신고를 알지 못한다. 통보인에 대해서는 상시지원주택과 관련한 어떠한 결정도 내려진 바가 없으며, 지방자치단체가 이러한 서비스를 제안한 바도 없다. 2015년 11월 11일자 행정 결정에 지방자치단체가 통보인의 어머니에게 상시지원주택 신청을 제안했다는 내용이 언급되어 있을 뿐이다. *7 ) 그러나 통보인은 상시지원주택이 지적장애인을 위한 상시 활동 보조의 대안이 될 수 있음을 당사국이 입증하지 못했다고 주장한다. 다른 유형의 장애인은 이러한 활동 보조를 이용할 수 있지만, 인위적이고 차별적인 자원 기준으로 인해 지적장애인은 그렇지 못하다.</w:t>
      </w:r>
    </w:p>
    <w:p>
      <w:pPr>
        <w:ind w:left="0" w:firstLine="0" w:hanging="0"/>
        <w:jc w:val="left"/>
      </w:pPr>
      <w:r>
        <w:rPr>
          <w:rFonts w:ascii="Times New Roman" w:hAnsi="굴림체" w:cs="굴림체" w:eastAsia="굴림체"/>
          <w:sz w:val="24"/>
        </w:rPr>
        <w:t>5.6 통보인에 따르면, 당사국은 지적장애인이 자신의 아파트에서 순조롭게 자립생활을 영위한 사례를 제시하지 않았다. 이는 그러한 사례가 없기 때문으로 보인다. 그러나 다른 유형의 장애인, 즉 “자원이 있는” 장애인의 경우에는 그러한 자립생활의 도모가 가능했던 사례가 존재한다. 당사국은 자립생활을 가능하게 할 서비스가 통보인에게 필요하지 않은 이유를 설명하지 않는다. 결론적으로, 당사국 법률에 따른 자원 기준으로 인해 통보인은 집 밖에서는 협약 제19조에 따른 권리를 누릴 수 있지만 집 안에서는 이를 누릴 수 없다.</w:t>
      </w:r>
    </w:p>
    <w:p>
      <w:pPr>
        <w:ind w:left="0" w:firstLine="0" w:hanging="0"/>
        <w:jc w:val="left"/>
      </w:pPr>
      <w:r>
        <w:rPr>
          <w:rFonts w:ascii="Times New Roman" w:hAnsi="굴림체" w:cs="굴림체" w:eastAsia="굴림체"/>
          <w:sz w:val="24"/>
        </w:rPr>
        <w:t>5.7 협약 제5조와 관련해 통보인은 충분한 의사결정 “자원”이 없는 사람은 활동 보조를 취득할 수 없다는 당사국 진술을 지적한다. 이는 통보인에게 불리한 범주화의 한 형태를 나타낸다. 따라서 차별적인 범주화는 실제로 존재하며, 이러한 의미에서 통보인은 자원 기준이 그 성질상 차별적이라고 본 전 정부의 견해를 환기한다.</w:t>
      </w:r>
    </w:p>
    <w:p>
      <w:pPr>
        <w:ind w:left="0" w:firstLine="0" w:hanging="0"/>
        <w:jc w:val="left"/>
      </w:pPr>
      <w:r>
        <w:rPr>
          <w:rFonts w:ascii="Times New Roman" w:hAnsi="굴림체" w:cs="굴림체" w:eastAsia="굴림체"/>
          <w:sz w:val="24"/>
        </w:rPr>
        <w:t>5.8 마지막으로, 협약 제14조와 관련해 통보인은 당사국이 자유의 박탈을 예방할 의무가 있음을 환기한다. 통보인은 활동 보조를 제공받지 못할 경우 자신이 부모와 함께 살거나 자유의 박탈을 의미하는 요양원 또는 시설로 이주해야 한다고 설명한다.</w:t>
      </w:r>
    </w:p>
    <w:p>
      <w:pPr>
        <w:ind w:left="0" w:firstLine="0" w:hanging="0"/>
        <w:jc w:val="center"/>
      </w:pPr>
      <w:r>
        <w:rPr>
          <w:rFonts w:ascii="Times New Roman" w:hAnsi="굴림체" w:cs="굴림체" w:eastAsia="굴림체"/>
          <w:sz w:val="24"/>
        </w:rPr>
        <w:t>당사국의 추가 견해</w:t>
      </w:r>
    </w:p>
    <w:p>
      <w:pPr>
        <w:ind w:left="0" w:firstLine="0" w:hanging="0"/>
        <w:jc w:val="left"/>
      </w:pPr>
      <w:r>
        <w:rPr>
          <w:rFonts w:ascii="Times New Roman" w:hAnsi="굴림체" w:cs="굴림체" w:eastAsia="굴림체"/>
          <w:sz w:val="24"/>
        </w:rPr>
        <w:t>6.1 2019년 3월 8일과 2019년 8월 28일 당사국은 이전의 견해를 반복하면서 협약이 당사국에 요구하는 바는 장애서비스법 제8c조에 따른 활동 보조를 통보인에게 제공하는 것이 아니라 충분히 다양한 서비스에 대한 접근성을 제공함으로써 생활과 지역사회 통합을 지원하고 고립과 분리를 예방하는 것임을 환기한다. 활동 보조의 법적 기준이 충족되지 않았다고 해서 장애인이 자립적으로 생활할 수 없는 것은 아니다. 당사국은 활동 보조 외의 어떠한 서비스로도 자립생활이 가능하지 않을 것이라는 통보인의 의견에 동의하지 않는다. 당사국은 장애서비스법에서 정한 상시지원주택의 형태로 직접 소유하거나 임차한 아파트에서 장애인의 순조로운 자립생활이 가능함을 재차 강조한다. 집에서 필요한 서비스는 예를 들어 상설 요양사팀에 의해 맞춤 제공되고, 상시적인 서비스 요구에 따라 조정될 수 있다. 대안적으로는 특정 서비스에 대한 요구가 적절하게 고려되는 알맞은 주거 시설에서 상시지원주택이 제공될 수도 있다. 이 경우 당사자는 임차인의 모든 일반적인 권리와 의무에 따라 임차한 아파트를 소유하게 되며, 직원들이 일상적 대처에 필요한 서비스를 제공한다. 당사국은 장애서비스법에서 정한 상시지원주택이 통보인의 보호자에게 하나의 선택지로 제안되었다는 입장을 반복한다.</w:t>
      </w:r>
    </w:p>
    <w:p>
      <w:pPr>
        <w:ind w:left="0" w:firstLine="0" w:hanging="0"/>
        <w:jc w:val="left"/>
      </w:pPr>
      <w:r>
        <w:rPr>
          <w:rFonts w:ascii="Times New Roman" w:hAnsi="굴림체" w:cs="굴림체" w:eastAsia="굴림체"/>
          <w:sz w:val="24"/>
        </w:rPr>
        <w:t>6.2 평가에 기반한 개별 지원 서비스에 접근할 권리는 당사국에서 하나의 경제적·사회적·문화적 권리이다. 협약에 따라 당사국은 이러한 권리를 점진적으로 실현하기 위한 조치를 취하는 한편 즉시 적용 가능한 의무에 부합하게 행동해야 한다. 협약 제19조는 모든 개인에게 그들이 바람직하다고 여기는 모든 형태의 제도를 제공할 것을 당사국에 요구하지 않는다.</w:t>
      </w:r>
    </w:p>
    <w:p>
      <w:pPr>
        <w:ind w:left="0" w:firstLine="0" w:hanging="0"/>
        <w:jc w:val="left"/>
      </w:pPr>
      <w:r>
        <w:rPr>
          <w:rFonts w:ascii="Times New Roman" w:hAnsi="굴림체" w:cs="굴림체" w:eastAsia="굴림체"/>
          <w:sz w:val="24"/>
        </w:rPr>
        <w:t>6.3 당사국은 2018년 11월 현재 통보인이 자신이 요청한 활동 보조 외의 다른 모든 서비스를 거부했다고 진술한다. *8 ) 통보인의 보호자는 지방자치단체가 제안한 대안적 서비스를 수용할 의사가 없었다.</w:t>
      </w:r>
    </w:p>
    <w:p>
      <w:pPr>
        <w:ind w:left="0" w:firstLine="0" w:hanging="0"/>
        <w:jc w:val="left"/>
      </w:pPr>
      <w:r>
        <w:rPr>
          <w:rFonts w:ascii="Times New Roman" w:hAnsi="굴림체" w:cs="굴림체" w:eastAsia="굴림체"/>
          <w:sz w:val="24"/>
        </w:rPr>
        <w:t>6.4 또 당사국은 현재 진행 중인 국내 장애 서비스 관련 법률 개정에 관한 정보를 제공한다. 2017년 여름 진행된 협의 과정에서 활동 보조는 계속해서 장애인 스스로 결정하는 것이 중요하다는 판단이 내려졌다. 협의에 참여한 많은 당사자가 실제로 법률 내 자원 기준의 유지가 장애인 간 평등을 침해할 것이라 보았지만 다른 당사자들은 활동 보조 제공이 당사자의 자기결정권에 기여하는 서비스로 남기 위해 자원 기준이 필요하다는 입장을 견지했다. 자원 기준의 강점과 약점을 균형있게 검토하고 근본 목표 및 협의 과정에서 제시된 의견을 고려한 종합 평가를 거쳐 현재는 법률에 자원 기준을 유지하는 방향으로 제안이 이루어지고 있다.</w:t>
      </w:r>
    </w:p>
    <w:p>
      <w:pPr>
        <w:ind w:left="0" w:firstLine="0" w:hanging="0"/>
        <w:jc w:val="left"/>
      </w:pPr>
      <w:r>
        <w:rPr>
          <w:rFonts w:ascii="Times New Roman" w:hAnsi="굴림체" w:cs="굴림체" w:eastAsia="굴림체"/>
          <w:sz w:val="24"/>
        </w:rPr>
        <w:t>6.5 나아가 당사국은 장애서비스법에 따른 자원 기준이 장애인이 보조 내용과 이의 제공 방식을 완전히 독자적으로 결정할 수 있어야 한다는 의미가 아님을 분명히 한다. 이러한 결정은 다른 사람의 도움을 받거나 다양한 의사소통 보조기구를 활용해 내려질 수 있다. 따라서 다른 사람이 제공하는 지원 또는 의사소통 보조기구에 의해 활성화될 수 있는 “일부 자원”을 당사자가 소유하는 것으로 충분하다. 이는 최고행정법원에 의해 여러 차례 확인된 바 있다. *9 ) 따라서 도움을 통해 보조 내용과 이의 제공 방식이 결정되는 상황 속에서 자원 기준이 충족될 수 있음에도 당사국 기관은 통보인이 처한 특수한 상황에서 그가 자원 기준을 충족했음을 확인하지 못했다. 통보인이 국내 법원의 결정에 동의하지 않는다는 사실은 그 자체로 협약 위반을 함축하지 않는다.</w:t>
      </w:r>
    </w:p>
    <w:p>
      <w:pPr>
        <w:ind w:left="0" w:firstLine="0" w:hanging="0"/>
        <w:jc w:val="left"/>
      </w:pPr>
      <w:r>
        <w:rPr>
          <w:rFonts w:ascii="Times New Roman" w:hAnsi="굴림체" w:cs="굴림체" w:eastAsia="굴림체"/>
          <w:sz w:val="24"/>
        </w:rPr>
        <w:t>6.6 통보인의 차별 주장과 관련해 당사국은 자원 기준이 장애 자체를 이유로 어떠한 구별·배제·제한도 하지 않으며, 이를 충족하지 못하는 사람들에게서 다른 수단에 의한 자립생활과 지역사회 통합의 가능성을 박탈하지도 않는다고 강조한다.</w:t>
      </w:r>
    </w:p>
    <w:p>
      <w:pPr>
        <w:ind w:left="0" w:firstLine="0" w:hanging="0"/>
        <w:jc w:val="center"/>
      </w:pPr>
      <w:r>
        <w:rPr>
          <w:rFonts w:ascii="Times New Roman" w:hAnsi="굴림체" w:cs="굴림체" w:eastAsia="굴림체"/>
          <w:sz w:val="24"/>
        </w:rPr>
        <w:t>당사국 추가 견해에 대한 통보인 의견</w:t>
      </w:r>
    </w:p>
    <w:p>
      <w:pPr>
        <w:ind w:left="0" w:firstLine="0" w:hanging="0"/>
        <w:jc w:val="left"/>
      </w:pPr>
      <w:r>
        <w:rPr>
          <w:rFonts w:ascii="Times New Roman" w:hAnsi="굴림체" w:cs="굴림체" w:eastAsia="굴림체"/>
          <w:sz w:val="24"/>
        </w:rPr>
        <w:t>7.1 2019년 4월 7일과 2019년 9월 25일 통보인은 추가 논평을 제출했다. 그는 활동 보조 외의 어떠한 서비스로도 자립생활을 할 수 없다는 주장을 지속한다. 현재 비공식 요양사로서 부모가 제공하는 보조는 통보인이 시설과 같은 환경에서 생활하는 것을 피할 수 있는 유일한 수단이다. 통보인은 협약 제19조에서 요구하는 바가 모든 특정 서비스가 아닌 다양한 서비스의 제공임을 인정하면서도 활동 보조만을 필요로 하는 경우는 이러한 서비스가 제공되어야 한다는 입장을 유지한다. 당사국은 다른 서비스를 제공하는 방식으로 이러한 의무를 이행할 수 없다. 그것은 자립생활을 보장하기에 충분하지 않기 때문이다. 시설 이주가 없더라도 필요한 서비스가 제공되어야 한다.</w:t>
      </w:r>
    </w:p>
    <w:p>
      <w:pPr>
        <w:ind w:left="0" w:firstLine="0" w:hanging="0"/>
        <w:jc w:val="left"/>
      </w:pPr>
      <w:r>
        <w:rPr>
          <w:rFonts w:ascii="Times New Roman" w:hAnsi="굴림체" w:cs="굴림체" w:eastAsia="굴림체"/>
          <w:sz w:val="24"/>
        </w:rPr>
        <w:t>7.2 상시지원주택이 대안적 서비스가 될 것이라는 당사국의 진술에 따라 통보인의 변호인은 사회보건부에 관련 문의를 했다. 사회보건부는 지적장애인이 자신의 아파트에서 상시 보조를 받을 수 있는 서비스의 존재에 관해 어떠한 정보도 제공하지 못했다. *10 ) 따라서 이러한 서비스는 이론적인 것에 불과하다. 통보인의 보호자에게 상시지원주택을 제안했다는 당사국 진술과 관련해 통보인은 자신의 아파트에서 생활하며 보조를 받을 수 있는 제안이 없었다며 이를 부인했다.</w:t>
      </w:r>
    </w:p>
    <w:p>
      <w:pPr>
        <w:ind w:left="0" w:firstLine="0" w:hanging="0"/>
        <w:jc w:val="center"/>
      </w:pPr>
      <w:r>
        <w:rPr>
          <w:rFonts w:ascii="Times New Roman" w:hAnsi="굴림체" w:cs="굴림체" w:eastAsia="굴림체"/>
          <w:sz w:val="24"/>
        </w:rPr>
        <w:t>B. 위원회의 쟁점 및 절차</w:t>
      </w:r>
    </w:p>
    <w:p>
      <w:pPr>
        <w:ind w:left="0" w:firstLine="0" w:hanging="0"/>
        <w:jc w:val="center"/>
      </w:pPr>
      <w:r>
        <w:rPr>
          <w:rFonts w:ascii="Times New Roman" w:hAnsi="굴림체" w:cs="굴림체" w:eastAsia="굴림체"/>
          <w:sz w:val="24"/>
        </w:rPr>
        <w:t>심리적격 심사</w:t>
      </w:r>
    </w:p>
    <w:p>
      <w:pPr>
        <w:ind w:left="0" w:firstLine="0" w:hanging="0"/>
        <w:jc w:val="left"/>
      </w:pPr>
      <w:r>
        <w:rPr>
          <w:rFonts w:ascii="Times New Roman" w:hAnsi="굴림체" w:cs="굴림체" w:eastAsia="굴림체"/>
          <w:sz w:val="24"/>
        </w:rPr>
        <w:t>8.1 통보에 포함된 주장을 심사하기 전 위원회는 선택의정서 제2조 및 위원회 절차규칙 제65조에 따라 선택의정서에 따른 해당 통보의 심리적격 여부를 결정해야 한다.</w:t>
      </w:r>
    </w:p>
    <w:p>
      <w:pPr>
        <w:ind w:left="0" w:firstLine="0" w:hanging="0"/>
        <w:jc w:val="left"/>
      </w:pPr>
      <w:r>
        <w:rPr>
          <w:rFonts w:ascii="Times New Roman" w:hAnsi="굴림체" w:cs="굴림체" w:eastAsia="굴림체"/>
          <w:sz w:val="24"/>
        </w:rPr>
        <w:t>8.2 선택의정서 제2조 제c호에서 요구하는 바에 따라 위원회는 같은 사안이 기존에 위원회에서 심의되지 않았으며, 다른 국제 조사 또는 조정 절차에 따라 심의되었거나 심의 중이지도 않음을 확인하였다.</w:t>
      </w:r>
    </w:p>
    <w:p>
      <w:pPr>
        <w:ind w:left="0" w:firstLine="0" w:hanging="0"/>
        <w:jc w:val="left"/>
      </w:pPr>
      <w:r>
        <w:rPr>
          <w:rFonts w:ascii="Times New Roman" w:hAnsi="굴림체" w:cs="굴림체" w:eastAsia="굴림체"/>
          <w:sz w:val="24"/>
        </w:rPr>
        <w:t>8.3 위원회는 하급 법원의 결정과 분리될 수 없으며 자신의 활동 보조에 대한 권리를 검토한 최고행정법원의 결정이 협약 및 선택의정서 발효 이후에 내려졌다는 통보인의 주장에 주목한다. 또 위원회는 당사국이 위원회의 시간적 권한에 대해 이의를 제기하지 않는다는 점에 주목한다. 따라서 위원회는 본 통보의 심의가 선택의정서 제2조 제f호에 따라 배제되지 않는다고 간주한다.</w:t>
      </w:r>
    </w:p>
    <w:p>
      <w:pPr>
        <w:ind w:left="0" w:firstLine="0" w:hanging="0"/>
        <w:jc w:val="left"/>
      </w:pPr>
      <w:r>
        <w:rPr>
          <w:rFonts w:ascii="Times New Roman" w:hAnsi="굴림체" w:cs="굴림체" w:eastAsia="굴림체"/>
          <w:sz w:val="24"/>
        </w:rPr>
        <w:t>8.4 위원회는 국내 소송에서 협약 제5조에 따른 주장을 간접적으로 제기했음을 인정하더라도 모든 가용한 국내 구제절차를 소진하지 않았으므로 제5조 및 제14조에 따른 진정을 심리불가한 것으로 판정해야 한다는 당사국 주장에 주목한다. 위원회는 제5조에 대한 간접 참조만으로 충분하며 자신이 제14조에 따른 자유에 대한 권리를 언급했다는 통보인의 진술에 주목한다. 따라서 위원회는 선택의정서 제2조 제d호의 취지에서 통보인이 국내 구제절차를 소진했다고 간주한다.</w:t>
      </w:r>
    </w:p>
    <w:p>
      <w:pPr>
        <w:ind w:left="0" w:firstLine="0" w:hanging="0"/>
        <w:jc w:val="left"/>
      </w:pPr>
      <w:r>
        <w:rPr>
          <w:rFonts w:ascii="Times New Roman" w:hAnsi="굴림체" w:cs="굴림체" w:eastAsia="굴림체"/>
          <w:sz w:val="24"/>
        </w:rPr>
        <w:t>8.5 협약 제14조에 따른 통보인의 주장과 관련해 위원회는 활동 보조가 없다면 자신이 부모와 함께 살거나 자유의 박탈을 의미하는 요양원 또는 시설로 이주해야 한다는 통보인의 주장에 주목한다. 그러나 위원회는 또한 이러한 주장이 일반적인 용어로 진술되었을 뿐만 아니라 통보인이 모종의 장애인 구금 또는 시설수용과 관련된 제14조의 의미에서 자유를 박탈당한 적이 없다는 점에 주목한다. *11 ) 따라서 위원회는 소명 부족으로 통보의 해당 부분이 선택의정서 제2조 제e호에 따라 심리부적격으로 판단한다. *12 )</w:t>
      </w:r>
    </w:p>
    <w:p>
      <w:pPr>
        <w:ind w:left="0" w:firstLine="0" w:hanging="0"/>
        <w:jc w:val="left"/>
      </w:pPr>
      <w:r>
        <w:rPr>
          <w:rFonts w:ascii="Times New Roman" w:hAnsi="굴림체" w:cs="굴림체" w:eastAsia="굴림체"/>
          <w:sz w:val="24"/>
        </w:rPr>
        <w:t>8.6 심리적격에 대한 다른 장애가 없으므로 위원회는 통보를을 심리가능한 것으로 선언하고 본안 심사를 진행한다.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9.1 위원회는 선택의정서 제5조 및 위원회 절차규칙 제73조 제1항에 따라 접수한 모든 정보에 비추어 통보를 심사했다.</w:t>
      </w:r>
    </w:p>
    <w:p>
      <w:pPr>
        <w:ind w:left="0" w:firstLine="0" w:hanging="0"/>
        <w:jc w:val="left"/>
      </w:pPr>
      <w:r>
        <w:rPr>
          <w:rFonts w:ascii="Times New Roman" w:hAnsi="굴림체" w:cs="굴림체" w:eastAsia="굴림체"/>
          <w:sz w:val="24"/>
        </w:rPr>
        <w:t>9.2 위원회는 우선 재가 활동 보조가 없을 경우 자립생활을 위한 선택의 자유를 행사할 수 없으며, 지역사회 내 자립생활을 가능하게 할 적절한 활동 보조를 당시국이 제공하지 않으므로 전문 보건의료시설 입소를 피하기 위해서는 부모의 지원에 의존해야 한다는 통보인의 주장에 주목한다. 이와 관련해 위원회는 협약 제19조에 반영된 바와 같이 자립생활과 지역사회 통합이 최대한의 자기결정과 사회 내 상호의존을 통해 자신의 삶에 영향을 미치는 결정에 대해 선택의 자유와 통제를 행사하는 것을 의미함을 환기한다. *13 ) 협약 제19조 제b호는 생활과 지역사회 통합을 지원하고 고립 또는 분리를 예방하는 데 필요한 활동 보조를 비롯해 다양한 재가, 주거, 기타 지역사회 지원 서비스에 접근할 수 있도록 함으로써 장애인이 다른 사람들과 동등한 선택을 통해 지역사회에서 살아갈 동등한 권리를 완전히 향유하는 동시에 지역사회에 완전히 통합되고 이에 참여할 수 있도록 당사국이 효과적이고 적절한 조치를 취할 것을 요구한다. 또 위원회는 장애인이 서비스를 선택할 권리가 있으며, *14 ) 당사국의 문화적·경제적·지리적 특성에 따라 개별 지원 서비스의 명칭·유형·종류가 다를 수 있다고 하더라도 모든 지원 서비스는 지역사회 내의 생활을 지원하고 다른 사람들로부터의 고립과 분리를 방지하도록 설계되어야 하며 실제로 이러한 목적에 적합해야 함을 환기한다. *15 )</w:t>
      </w:r>
    </w:p>
    <w:p>
      <w:pPr>
        <w:ind w:left="0" w:firstLine="0" w:hanging="0"/>
        <w:jc w:val="left"/>
      </w:pPr>
      <w:r>
        <w:rPr>
          <w:rFonts w:ascii="Times New Roman" w:hAnsi="굴림체" w:cs="굴림체" w:eastAsia="굴림체"/>
          <w:sz w:val="24"/>
        </w:rPr>
        <w:t>9.3 본 사례에서 위원회는 활동 보조만이 자신의 집에서 자립생활을 하는 데 적합한 지원 형태라는 통보인의 주장에 주목한다. 또 위원회는 장애서비스법에서 정한 또 다른 유형의 서비스인 상시지원주택의 형태로 장애인의 자립생활이 촉진될 수 있다는 당사국 주장에 주목한다. 나아가 위원회는 상시지원주택이 통보인의 필요에 적합한지 여부, 상시지원주택의 가용성, 통보인의 상시지원주택 수용 등과 관련해 당사자들 간 의견이 일치하지 않는다는 점에 주목한다. 궁극적으로 위원회는 상시지원주택이 통보인의 필요에 실제로 적합한지 당사국이 입증하지 못했다는 점에 주목한다. 오히려 당사국은 통보인의 선택 능력이 없다는 이유로 재가 활동 보조에 대한 통보인의 요청을 거부했다. 이는 장애 인권 모델에 어긋나는 장애인 차별적 주장으로 보인다. *16 ) 이러한 이론적 유형의 서비스가 실제 적용되었음을 밝혀줄 요소가 없으므로 위원회는 통보인의 활동 보조 신청을 거부함으로써 당사국이 통보인의 생활과 지역사회 통합을 지원할 수 있는 실질적 선택지에 대한 접근성을 박탈했다고 간주한다. *17 ) 따라서 위원회는 협약 제19조 제b호에 따른 통보인의 권리가 침해되었다는 결론을 내린다.</w:t>
      </w:r>
    </w:p>
    <w:p>
      <w:pPr>
        <w:ind w:left="0" w:firstLine="0" w:hanging="0"/>
        <w:jc w:val="left"/>
      </w:pPr>
      <w:r>
        <w:rPr>
          <w:rFonts w:ascii="Times New Roman" w:hAnsi="굴림체" w:cs="굴림체" w:eastAsia="굴림체"/>
          <w:sz w:val="24"/>
        </w:rPr>
        <w:t>9.4 당사국 관할기관이 통보인의 활동 보조 신청을 거부한 점을 고려하여 위원회는 통보인의 차별 주장에 주목한다. 위원회는 장애서비스법 제8c조 제2항의 자원 기준이 보조 내용과 이의 제공 방식을 결정하고 다른 사람들과 동등하게 활동 보조를 누리기 위해 지원이 필요한 사람들에게 하나의 장벽이 된다는 통보인의 주장에 주목한다. 또 위원회는 자원 기준이 장애 자체를 이유로 어떠한 구별·배제·제한도 하지 않으며, 이를 충족하지 못하는 사람들에게서 다른 수단에 의한 자립생활과 지역사회 통합의 가능성을 박탈하지도 않는다는 당사국 주장에 주목한다.</w:t>
      </w:r>
    </w:p>
    <w:p>
      <w:pPr>
        <w:ind w:left="0" w:firstLine="0" w:hanging="0"/>
        <w:jc w:val="left"/>
      </w:pPr>
      <w:r>
        <w:rPr>
          <w:rFonts w:ascii="Times New Roman" w:hAnsi="굴림체" w:cs="굴림체" w:eastAsia="굴림체"/>
          <w:sz w:val="24"/>
        </w:rPr>
        <w:t>9.5 위원회는 협약 제2조에 따라 “장애를 이유로 한 차별”이 장애를 이유로 하는 구별·배제·제한으로서 정치·경제·사회·문화·시민 분야 등에서 모든 인권과 기본적 자유를 다른 사람들과 동등하게 인정·향유·행사하는 것을 손상하거나 무효화하려는 목적 또는 이러한 효과가 있는 것으로 정의되며, 여기에는 정당한 편의제공 거부를 비롯해 모든 형태의 차별이 포함됨을 환기한다. 또 위원회는 법률이 중립적인 방식으로 적용되더라도 법률이 적용되는 개인의 특수한 상황을 고려하지 않을 때 차별적 효과가 발생할 수 있음을 환기한다. 협약에서 보장된 권리를 누림에 있어 차별받지 않을 권리는, 당사국이 상황이 현저히 다른 사람들을 객관적이고 합리적인 정당한 이유 없이 다르게 대우하지 않을 경우에 침해될 수 있다. *18 ) 나아가 위원회는 간접 차별이 표면상으로는 중립적으로 보이지만 장애인에게 불균형적으로 부정적인 영향을 미치는 법률이나 정책, 또는 관행을 포함함을 환기한다. 간접 차별은 접근 가능해 보이는 기회가 실제로는 특정한 사람들을 배제할 때 발생하는데, 이는 개인의 지위로 인해 그 기회 자체를 누릴 수 없는 경우를 말한다. *19 ) 위원회는 협약 제5조 제1항에 따라 당사국은 모든 사람이 법 앞에, 또 법 아래에 평등하고 법의 동등한 보호와 동등한 혜택을 차별 없이 받을 자격이 있다는 점을 인정하는 동시에 제5조 제2항에 따라 장애를 이유로 한 모든 차별을 금지하고 모든 종류의 차별에 대해 장애인에게 동등하고 효과적인 법적 보호를 보장해야 한다는 점에 주목한다.</w:t>
      </w:r>
    </w:p>
    <w:p>
      <w:pPr>
        <w:ind w:left="0" w:firstLine="0" w:hanging="0"/>
        <w:jc w:val="left"/>
      </w:pPr>
      <w:r>
        <w:rPr>
          <w:rFonts w:ascii="Times New Roman" w:hAnsi="굴림체" w:cs="굴림체" w:eastAsia="굴림체"/>
          <w:sz w:val="24"/>
        </w:rPr>
        <w:t>9.6 위원회는 본 사례에서 장애서비스법 제8c조 제2항의 자원 기준을 충족하지 못했다는 이유로, 즉 자가 생활에 필요한 보조 내용과 이의 제공 방식을 결정할 수 없다는 이유로 통보인이 신청한 일정 시수의 활동 보조가 거부된 점에 주목한다. 또 위원회는 통보인이 요청한 것보다 적은 시수의 활동 보조가 제공되고, 이러한 보조가 집 안이 아닌 옥외 활동을 위해 제공된 점에 주목한다. 위원회는 활동 보조의 목적이 장애인의 개인적 선택, 즉 자기결정권을 지원하는 것이라는 당사국 주장에 주목한다. 동시에 위원회는 장애인이 스스로 선택할 수 없다면 해당 목적을 달성할 수 없다는 당사국 주장에 주목한다. 나아가 위원회는 장애인이 의사결정에 대한 지원 없이 보조 내용과 이의 제공 방식을 결정할 능력이 있어야 한다는 요건은 이러한 결정을 위해 지원을 필요로 하는 지적장애인에게 차별적이라는 통보인의 주장에 주목한다.</w:t>
      </w:r>
    </w:p>
    <w:p>
      <w:pPr>
        <w:ind w:left="0" w:firstLine="0" w:hanging="0"/>
        <w:jc w:val="left"/>
      </w:pPr>
      <w:r>
        <w:rPr>
          <w:rFonts w:ascii="Times New Roman" w:hAnsi="굴림체" w:cs="굴림체" w:eastAsia="굴림체"/>
          <w:sz w:val="24"/>
        </w:rPr>
        <w:t>9.7 본 사례에서 위원회는 통보인이 옥외 활동에 대해 활동 보조를 받았다는 점에 주목한다. 당사국은 통보인이 실외 보조를 결정할 능력은 있지만 실내 보조를 결정할 능력이 없다고 본 근거를 설명하지 않았다. 또 당사국은 지적 요소 ― 보조 내용과 이의 제공 방식을 결정할 능력 ― 를 포함하는 이러한 요건이 어떻게 자신의 선택을 표현하기 위해 지원이 필요한 사람들에게 다른 사람들과 동등하게 적용될 수 있는지 설명하지 않았다. 따라서 위원회는 본 사례에서 당사국의 객관적이고 합리적인 근거가 없으므로 장애서비스법 제8c조 제2항에 따른 자원 기준의 적용은 이러한 기준을 충족하기 위해 지원이 필요한 통보인에게 불균형한 영향을 미쳤으며, 이로 인해 통보인이 간접 차별을 받았다는 결론을 내린다.</w:t>
      </w:r>
    </w:p>
    <w:p>
      <w:pPr>
        <w:ind w:left="0" w:firstLine="0" w:hanging="0"/>
        <w:jc w:val="left"/>
      </w:pPr>
      <w:r>
        <w:rPr>
          <w:rFonts w:ascii="Times New Roman" w:hAnsi="굴림체" w:cs="굴림체" w:eastAsia="굴림체"/>
          <w:sz w:val="24"/>
        </w:rPr>
        <w:t>9.8 따라서 위원회는 관련 국내 기관이 자원 기준에 근거해 통보인의 활동 보조 신청을 거부한 것은 통보인이 다른 사람들과 동등하게 자립생활과 지역사회 통합에 대한 권리를 향유·행사하는 것을 손상하거나 무효화하는 효과가 있다는 점에서 지적장애인에 대한 간접 차별에 해당하며, 이는 협약 제5조 제1항 및 제2항에 따른 권리를 단독으로, 또한 제19조와 연계하여 침해한 것이라고 판정한다.</w:t>
      </w:r>
    </w:p>
    <w:p>
      <w:pPr>
        <w:ind w:left="0" w:firstLine="0" w:hanging="0"/>
        <w:jc w:val="left"/>
      </w:pPr>
      <w:r>
        <w:rPr>
          <w:rFonts w:ascii="Times New Roman" w:hAnsi="굴림체" w:cs="굴림체" w:eastAsia="굴림체"/>
          <w:sz w:val="24"/>
        </w:rPr>
        <w:t>9.9 상기에 비추어 위원회는 당사국이 협약 제19조 제b호, 제5조 제1항 및 제2항에 따른 의무를 단독으로, 또한 제19조와 연계하여 이행하지 않았다는 결론을 내린다.</w:t>
      </w:r>
    </w:p>
    <w:p>
      <w:pPr>
        <w:ind w:left="0" w:firstLine="0" w:hanging="0"/>
        <w:jc w:val="center"/>
      </w:pPr>
      <w:r>
        <w:rPr>
          <w:rFonts w:ascii="Times New Roman" w:hAnsi="굴림체" w:cs="굴림체" w:eastAsia="굴림체"/>
          <w:sz w:val="24"/>
        </w:rPr>
        <w:t>C. 결론 및 권고</w:t>
      </w:r>
    </w:p>
    <w:p>
      <w:pPr>
        <w:ind w:left="0" w:firstLine="0" w:hanging="0"/>
        <w:jc w:val="left"/>
      </w:pPr>
      <w:r>
        <w:rPr>
          <w:rFonts w:ascii="Times New Roman" w:hAnsi="굴림체" w:cs="굴림체" w:eastAsia="굴림체"/>
          <w:sz w:val="24"/>
        </w:rPr>
        <w:t>10. 위원회는 선택의정서 제5조에 따른 심의 결과 당사국이 협약 제19조 제b호, 제5조 제1항 및 제2항에 따른 의무를 단독으로, 또한 제19조와 연계하여 이행하지 않았다고 본다. 따라서 위원회는 당사국에 다음과 같이 권고한다.</w:t>
      </w:r>
    </w:p>
    <w:p>
      <w:pPr>
        <w:ind w:left="0" w:firstLine="0" w:hanging="0"/>
        <w:jc w:val="left"/>
      </w:pPr>
      <w:r>
        <w:rPr>
          <w:rFonts w:ascii="Times New Roman" w:hAnsi="굴림체" w:cs="굴림체" w:eastAsia="굴림체"/>
          <w:sz w:val="24"/>
        </w:rPr>
        <w:t xml:space="preserve">  (a) 통보인과 관련해 당사국은 다음을 행할 의무가 있다.</w:t>
      </w:r>
    </w:p>
    <w:p>
      <w:pPr>
        <w:ind w:left="0" w:firstLine="0" w:hanging="0"/>
        <w:jc w:val="left"/>
      </w:pPr>
      <w:r>
        <w:rPr>
          <w:rFonts w:ascii="Times New Roman" w:hAnsi="굴림체" w:cs="굴림체" w:eastAsia="굴림체"/>
          <w:sz w:val="24"/>
        </w:rPr>
        <w:t xml:space="preserve">	(i) 위원회의 견해에 따라 자립생활에 대한 권리를 행사할 수 있도록 활동 보조 신청의 재검토를 비롯해 통보인에게 실효적 구제를 제공한다.</w:t>
      </w:r>
    </w:p>
    <w:p>
      <w:pPr>
        <w:ind w:left="0" w:firstLine="0" w:hanging="0"/>
        <w:jc w:val="left"/>
      </w:pPr>
      <w:r>
        <w:rPr>
          <w:rFonts w:ascii="Times New Roman" w:hAnsi="굴림체" w:cs="굴림체" w:eastAsia="굴림체"/>
          <w:sz w:val="24"/>
        </w:rPr>
        <w:t xml:space="preserve">	(ii) 본 통보를 제기하는 데 발생한 비용에 대해 통보인에게 적절한 배상을 제공한다.</w:t>
      </w:r>
    </w:p>
    <w:p>
      <w:pPr>
        <w:ind w:left="0" w:firstLine="0" w:hanging="0"/>
        <w:jc w:val="left"/>
      </w:pPr>
      <w:r>
        <w:rPr>
          <w:rFonts w:ascii="Times New Roman" w:hAnsi="굴림체" w:cs="굴림체" w:eastAsia="굴림체"/>
          <w:sz w:val="24"/>
        </w:rPr>
        <w:t xml:space="preserve">	(iii) 이 견해를 공시하는 한편 모든 부문의 사람들이 이용할 수 있도록 접근 가능한 형식으로 이를 널리 배포한다.</w:t>
      </w:r>
    </w:p>
    <w:p>
      <w:pPr>
        <w:ind w:left="0" w:firstLine="0" w:hanging="0"/>
        <w:jc w:val="left"/>
      </w:pPr>
      <w:r>
        <w:rPr>
          <w:rFonts w:ascii="Times New Roman" w:hAnsi="굴림체" w:cs="굴림체" w:eastAsia="굴림체"/>
          <w:sz w:val="24"/>
        </w:rPr>
        <w:t xml:space="preserve">  (b) 일반사항으로 당사국은 향후 유사한 위반을 예방하기 위한 조치를 취할 의무가 있다. 이와 관련해 위원회는 활동 보조에 관한 법률 및 행정기관과 국내 법원이 이를 적용하는 방식이 활동 보조에 대한 접근을 추구할 때 지적장애인의 권리를 다른 유형의 장애인들과 동등하게 인정·향유·행사하는 것을 손상하거나 무효화하려는 목적 또는 이러한 효과를 갖지 않도록 해야 할 당사국의 의무와 일치되도록 할 것을 요구한다.</w:t>
      </w:r>
    </w:p>
    <w:p>
      <w:pPr>
        <w:ind w:left="0" w:firstLine="0" w:hanging="0"/>
        <w:jc w:val="left"/>
      </w:pPr>
      <w:r>
        <w:rPr>
          <w:rFonts w:ascii="Times New Roman" w:hAnsi="굴림체" w:cs="굴림체" w:eastAsia="굴림체"/>
          <w:sz w:val="24"/>
        </w:rPr>
        <w:t xml:space="preserve">  (c) 특히, 위원회는 장애서비스법 개정을 통해 수혜자가 필요한 보조 내용과 이의 제공 방식을 결정할 능력이 있어야 한다는 자원 기준이 의사결정 시 지원이 필요한 장애인의 자립생활에 장애가 되지 않도록 할 것을 당사국에 권고한다.</w:t>
      </w:r>
    </w:p>
    <w:p>
      <w:pPr>
        <w:ind w:left="0" w:firstLine="0" w:hanging="0"/>
        <w:jc w:val="left"/>
      </w:pPr>
      <w:r>
        <w:rPr>
          <w:rFonts w:ascii="Times New Roman" w:hAnsi="굴림체" w:cs="굴림체" w:eastAsia="굴림체"/>
          <w:sz w:val="24"/>
        </w:rPr>
        <w:t>11. 선택의정서 제5조 및 위원회 절차규칙 제75조에 따라 당사국은 본 견해 및 위원회 권고에 따라 취한 조치에 관한 정보를 포함하여 6개월 이내에 위원회에 서면 답변을 제출해야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통보인은 익명을 요청했다.</w:t>
      </w:r>
    </w:p>
    <w:p>
      <w:pPr>
        <w:ind w:left="0" w:firstLine="0" w:hanging="0"/>
        <w:jc w:val="left"/>
      </w:pPr>
      <w:r>
        <w:rPr>
          <w:rFonts w:ascii="Times New Roman" w:hAnsi="굴림체" w:cs="굴림체" w:eastAsia="굴림체"/>
          <w:sz w:val="24"/>
        </w:rPr>
        <w:t>2. 장애서비스법 제8c조 제2항은 활동 보조의 목적이 일상 활동, 직업과 학업, 취미, 사회 참여 및 사회적 교류의 유지와 관련해 “중증” 장애인이 스스로 선택할 수 있도록 보조하는 것이라고 규정한다.</w:t>
      </w:r>
    </w:p>
    <w:p>
      <w:pPr>
        <w:ind w:left="0" w:firstLine="0" w:hanging="0"/>
        <w:jc w:val="left"/>
      </w:pPr>
      <w:r>
        <w:rPr>
          <w:rFonts w:ascii="Times New Roman" w:hAnsi="굴림체" w:cs="굴림체" w:eastAsia="굴림체"/>
          <w:sz w:val="24"/>
        </w:rPr>
        <w:t>3. 의료 보고서는 2014년 9월 8일과 2015년 12월 16일 제출된 보건소 의사의 진술서, 2014년 11월 28일 제출된 신경전문의의 진술서, 2015년 4월 17일 제출된 재활전문병원 의사의 진술서, 통보인의 활동 보조인이 작성한 2014년 1월 10일 및 2014년 2월 1일자 보고서, 2015년 8월 7일자 물리치료사의 보고서, 2015년 9월 18일의 통보인 자택 방문 보고서로 구성되어 있다.</w:t>
      </w:r>
    </w:p>
    <w:p>
      <w:pPr>
        <w:ind w:left="0" w:firstLine="0" w:hanging="0"/>
        <w:jc w:val="left"/>
      </w:pPr>
      <w:r>
        <w:rPr>
          <w:rFonts w:ascii="Times New Roman" w:hAnsi="굴림체" w:cs="굴림체" w:eastAsia="굴림체"/>
          <w:sz w:val="24"/>
        </w:rPr>
        <w:t>4. 통보인은 융엘린 대 스웨덴 진정(Jungelin v. Sweden, CRPD/C/12/D/5/2011)에서 채택된 위원회 견해를 인용한다.</w:t>
      </w:r>
    </w:p>
    <w:p>
      <w:pPr>
        <w:ind w:left="0" w:firstLine="0" w:hanging="0"/>
        <w:jc w:val="left"/>
      </w:pPr>
      <w:r>
        <w:rPr>
          <w:rFonts w:ascii="Times New Roman" w:hAnsi="굴림체" w:cs="굴림체" w:eastAsia="굴림체"/>
          <w:sz w:val="24"/>
        </w:rPr>
        <w:t>5. 당사국은 다른 선택지가 실제로 가용하다고 본 위원회의 이전 판단 ― H. M. 대 스웨덴(H. M. v. Sweden, CRPD/C/7/D/3/2011), 단락 8.9 및 바허 대 오스트리아(Bacher v. Austria, CRPD/C/19/D/26/2014), 단락 10(a)(i) ― 을 언급한다. 이는 재가 활동 보조가 통보인의 자립생활과 지역사회 통합을 지원할 수 있는 유일한 선택지가 아님을 보여준다.</w:t>
      </w:r>
    </w:p>
    <w:p>
      <w:pPr>
        <w:ind w:left="0" w:firstLine="0" w:hanging="0"/>
        <w:jc w:val="left"/>
      </w:pPr>
      <w:r>
        <w:rPr>
          <w:rFonts w:ascii="Times New Roman" w:hAnsi="굴림체" w:cs="굴림체" w:eastAsia="굴림체"/>
          <w:sz w:val="24"/>
        </w:rPr>
        <w:t>6. Council of Europe, Commissioner for Human Rights, The Right of People with Disabilities to Live Independently and Be Included in the Community[자립생활과 지역사회 통합에 대한 장애인 권리] (Strasbourg, 2012).</w:t>
      </w:r>
    </w:p>
    <w:p>
      <w:pPr>
        <w:ind w:left="0" w:firstLine="0" w:hanging="0"/>
        <w:jc w:val="left"/>
      </w:pPr>
      <w:r>
        <w:rPr>
          <w:rFonts w:ascii="Times New Roman" w:hAnsi="굴림체" w:cs="굴림체" w:eastAsia="굴림체"/>
          <w:sz w:val="24"/>
        </w:rPr>
        <w:t>7. 통보인은 당사국 법률에 따라 두 가지 유형의 활동 보조가 있음을 분명히 한다. 하나는 자원 기준의 적용을 받는 본연의 활동 보조이고 다른 하나는 상시지원주택의 일부로서 제공되며 자원 기준을 적용받지 않는다.</w:t>
      </w:r>
    </w:p>
    <w:p>
      <w:pPr>
        <w:ind w:left="0" w:firstLine="0" w:hanging="0"/>
        <w:jc w:val="left"/>
      </w:pPr>
      <w:r>
        <w:rPr>
          <w:rFonts w:ascii="Times New Roman" w:hAnsi="굴림체" w:cs="굴림체" w:eastAsia="굴림체"/>
          <w:sz w:val="24"/>
        </w:rPr>
        <w:t>8. 제공되는 기타 서비스에는 교통 서비스(정규 근무시간 외 월 18회 무료 운행으로 구성), 장애서비스법에 따른 활동 보조, 지적장애인특별보호법(Act on Special Care for Persons with Intellectual Disabilities)에 따라 일주일에 3일 실시되는 주간 활동(주간보호센터 방문 포함) 등이 있다.</w:t>
      </w:r>
    </w:p>
    <w:p>
      <w:pPr>
        <w:ind w:left="0" w:firstLine="0" w:hanging="0"/>
        <w:jc w:val="left"/>
      </w:pPr>
      <w:r>
        <w:rPr>
          <w:rFonts w:ascii="Times New Roman" w:hAnsi="굴림체" w:cs="굴림체" w:eastAsia="굴림체"/>
          <w:sz w:val="24"/>
        </w:rPr>
        <w:t>9. 당사국은 2011년 8월 12일 최고행정법원이 내린 두 건의 판결을 언급한다.</w:t>
      </w:r>
    </w:p>
    <w:p>
      <w:pPr>
        <w:ind w:left="0" w:firstLine="0" w:hanging="0"/>
        <w:jc w:val="left"/>
      </w:pPr>
      <w:r>
        <w:rPr>
          <w:rFonts w:ascii="Times New Roman" w:hAnsi="굴림체" w:cs="굴림체" w:eastAsia="굴림체"/>
          <w:sz w:val="24"/>
        </w:rPr>
        <w:t>10. 2019년 8월 28일자 견해에서 당사국은 지방자치단체 서비스를 제공받는 장애인 수혜자에 관한 결정 또는 해당 수혜자와 관련해 사회보건부에서 등록부나 기타 통계를 보관하지 않는다고 언급한다.</w:t>
      </w:r>
    </w:p>
    <w:p>
      <w:pPr>
        <w:ind w:left="0" w:firstLine="0" w:hanging="0"/>
        <w:jc w:val="left"/>
      </w:pPr>
      <w:r>
        <w:rPr>
          <w:rFonts w:ascii="Times New Roman" w:hAnsi="굴림체" w:cs="굴림체" w:eastAsia="굴림체"/>
          <w:sz w:val="24"/>
        </w:rPr>
        <w:t>11. 장애인의 자유와 안전에 대한 권리에 관한 위원회 지침(Committee’s guidelines on the right to liberty and security of persons with disabilities, A/72/55, 부록) 참조.</w:t>
      </w:r>
    </w:p>
    <w:p>
      <w:pPr>
        <w:ind w:left="0" w:firstLine="0" w:hanging="0"/>
        <w:jc w:val="left"/>
      </w:pPr>
      <w:r>
        <w:rPr>
          <w:rFonts w:ascii="Times New Roman" w:hAnsi="굴림체" w:cs="굴림체" w:eastAsia="굴림체"/>
          <w:sz w:val="24"/>
        </w:rPr>
        <w:t>12. X 대 탄자니아 연합 공화국(X v. United Republic of Tanzania, CRPD/C/20/D/23/2014), 단락 7.7.</w:t>
      </w:r>
    </w:p>
    <w:p>
      <w:pPr>
        <w:ind w:left="0" w:firstLine="0" w:hanging="0"/>
        <w:jc w:val="left"/>
      </w:pPr>
      <w:r>
        <w:rPr>
          <w:rFonts w:ascii="Times New Roman" w:hAnsi="굴림체" w:cs="굴림체" w:eastAsia="굴림체"/>
          <w:sz w:val="24"/>
        </w:rPr>
        <w:t>13. 일반논평 제5호(2017), 단락 8.</w:t>
      </w:r>
    </w:p>
    <w:p>
      <w:pPr>
        <w:ind w:left="0" w:firstLine="0" w:hanging="0"/>
        <w:jc w:val="left"/>
      </w:pPr>
      <w:r>
        <w:rPr>
          <w:rFonts w:ascii="Times New Roman" w:hAnsi="굴림체" w:cs="굴림체" w:eastAsia="굴림체"/>
          <w:sz w:val="24"/>
        </w:rPr>
        <w:t>14. 같은 문서, 단락 28.</w:t>
      </w:r>
    </w:p>
    <w:p>
      <w:pPr>
        <w:ind w:left="0" w:firstLine="0" w:hanging="0"/>
        <w:jc w:val="left"/>
      </w:pPr>
      <w:r>
        <w:rPr>
          <w:rFonts w:ascii="Times New Roman" w:hAnsi="굴림체" w:cs="굴림체" w:eastAsia="굴림체"/>
          <w:sz w:val="24"/>
        </w:rPr>
        <w:t>15. 같은 문서, 단락 30.</w:t>
      </w:r>
    </w:p>
    <w:p>
      <w:pPr>
        <w:ind w:left="0" w:firstLine="0" w:hanging="0"/>
        <w:jc w:val="left"/>
      </w:pPr>
      <w:r>
        <w:rPr>
          <w:rFonts w:ascii="Times New Roman" w:hAnsi="굴림체" w:cs="굴림체" w:eastAsia="굴림체"/>
          <w:sz w:val="24"/>
        </w:rPr>
        <w:t>16. A/HRC/43/41, 단락 9~15.</w:t>
      </w:r>
    </w:p>
    <w:p>
      <w:pPr>
        <w:ind w:left="0" w:firstLine="0" w:hanging="0"/>
        <w:jc w:val="left"/>
      </w:pPr>
      <w:r>
        <w:rPr>
          <w:rFonts w:ascii="Times New Roman" w:hAnsi="굴림체" w:cs="굴림체" w:eastAsia="굴림체"/>
          <w:sz w:val="24"/>
        </w:rPr>
        <w:t>17. H. M. 대 스웨덴, 단락 8.9.</w:t>
      </w:r>
    </w:p>
    <w:p>
      <w:pPr>
        <w:ind w:left="0" w:firstLine="0" w:hanging="0"/>
        <w:jc w:val="left"/>
      </w:pPr>
      <w:r>
        <w:rPr>
          <w:rFonts w:ascii="Times New Roman" w:hAnsi="굴림체" w:cs="굴림체" w:eastAsia="굴림체"/>
          <w:sz w:val="24"/>
        </w:rPr>
        <w:t>18. 같은 문서, 단락 8.3.</w:t>
      </w:r>
    </w:p>
    <w:p>
      <w:pPr>
        <w:ind w:left="0" w:firstLine="0" w:hanging="0"/>
        <w:jc w:val="left"/>
      </w:pPr>
      <w:r>
        <w:rPr>
          <w:rFonts w:ascii="Times New Roman" w:hAnsi="굴림체" w:cs="굴림체" w:eastAsia="굴림체"/>
          <w:sz w:val="24"/>
        </w:rPr>
        <w:t>19. 일반논평 제6호(2018), 단락 18(b).</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