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Id="rId1" Target="word/document.xml" Type="http://schemas.openxmlformats.org/officeDocument/2006/relationships/officeDocument"/><Relationship Id="rId2" Target="docProps/core.xml" Type="http://schemas.openxmlformats.org/package/2006/relationships/metadata/core-properties"/><Relationship Id="rId3" Target="docProps/app.xml" Type="http://schemas.openxmlformats.org/officeDocument/2006/relationships/extended-properties"/></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pPr>
        <w:ind w:left="0" w:firstLine="0" w:hanging="0"/>
        <w:jc w:val="center"/>
      </w:pPr>
      <w:r>
        <w:rPr>
          <w:rFonts w:ascii="Times New Roman" w:hAnsi="굴림체" w:cs="굴림체" w:eastAsia="굴림체"/>
          <w:sz w:val="24"/>
        </w:rPr>
        <w:t>장애인권리위원회 개인통보(2021): 마그돌나 레카시 vs 헝가리</w:t>
      </w:r>
    </w:p>
    <w:p>
      <w:pPr>
        <w:ind w:left="0" w:firstLine="0" w:hanging="0"/>
        <w:jc w:val="center"/>
      </w:pPr>
      <w:r>
        <w:rPr>
          <w:rFonts w:ascii="Times New Roman" w:hAnsi="굴림체" w:cs="굴림체" w:eastAsia="굴림체"/>
          <w:sz w:val="24"/>
        </w:rPr>
        <w:t>CRPD Individual Communication(2021): Magdolna Rekasi vs Hungary</w:t>
      </w:r>
    </w:p>
    <w:p>
      <w:pPr>
        <w:ind w:left="0" w:firstLine="0" w:hanging="0"/>
        <w:jc w:val="left"/>
      </w:pPr>
      <w:r>
        <w:rPr>
          <w:rFonts w:ascii="Times New Roman" w:hAnsi="굴림체" w:cs="굴림체" w:eastAsia="굴림체"/>
          <w:sz w:val="24"/>
        </w:rPr>
        <w:t xml:space="preserve">    </w:t>
      </w:r>
    </w:p>
    <w:p>
      <w:pPr>
        <w:ind w:left="0" w:firstLine="0" w:hanging="0"/>
        <w:jc w:val="right"/>
      </w:pPr>
      <w:r>
        <w:rPr>
          <w:rFonts w:ascii="Times New Roman" w:hAnsi="굴림체" w:cs="굴림체" w:eastAsia="굴림체"/>
          <w:sz w:val="24"/>
        </w:rPr>
        <w:t>개인통보(44/2017)</w:t>
      </w:r>
    </w:p>
    <w:p>
      <w:pPr>
        <w:ind w:left="0" w:firstLine="0" w:hanging="0"/>
        <w:jc w:val="right"/>
      </w:pPr>
      <w:r>
        <w:rPr>
          <w:rFonts w:ascii="Times New Roman" w:hAnsi="굴림체" w:cs="굴림체" w:eastAsia="굴림체"/>
          <w:sz w:val="24"/>
        </w:rPr>
        <w:t>CRPD/C/25/D/44/2017</w:t>
      </w:r>
    </w:p>
    <w:p>
      <w:pPr>
        <w:ind w:left="0" w:firstLine="0" w:hanging="0"/>
        <w:jc w:val="right"/>
      </w:pPr>
      <w:r>
        <w:rPr>
          <w:rFonts w:ascii="Times New Roman" w:hAnsi="굴림체" w:cs="굴림체" w:eastAsia="굴림체"/>
          <w:sz w:val="24"/>
        </w:rPr>
        <w:t>위반 - 12(3), 12(4), 12(5)</w:t>
      </w:r>
    </w:p>
    <w:p>
      <w:pPr>
        <w:ind w:left="0" w:firstLine="0" w:hanging="0"/>
        <w:jc w:val="right"/>
      </w:pPr>
      <w:r>
        <w:rPr>
          <w:rFonts w:ascii="Times New Roman" w:hAnsi="굴림체" w:cs="굴림체" w:eastAsia="굴림체"/>
          <w:sz w:val="24"/>
        </w:rPr>
        <w:t>장애인권리위원회</w:t>
      </w:r>
    </w:p>
    <w:p>
      <w:pPr>
        <w:ind w:left="0" w:firstLine="0" w:hanging="0"/>
        <w:jc w:val="right"/>
      </w:pPr>
      <w:r>
        <w:rPr>
          <w:rFonts w:ascii="Times New Roman" w:hAnsi="굴림체" w:cs="굴림체" w:eastAsia="굴림체"/>
          <w:sz w:val="24"/>
        </w:rPr>
        <w:t>2021. 10. 11.</w:t>
      </w:r>
    </w:p>
    <w:p>
      <w:pPr>
        <w:ind w:left="0" w:firstLine="0" w:hanging="0"/>
        <w:jc w:val="right"/>
      </w:pPr>
      <w:r>
        <w:rPr>
          <w:rFonts w:ascii="Times New Roman" w:hAnsi="굴림체" w:cs="굴림체" w:eastAsia="굴림체"/>
          <w:sz w:val="24"/>
        </w:rPr>
        <w:t/>
      </w:r>
    </w:p>
    <w:p>
      <w:pPr>
        <w:ind w:left="0" w:firstLine="0" w:hanging="0"/>
        <w:jc w:val="left"/>
      </w:pPr>
      <w:r>
        <w:rPr>
          <w:rFonts w:ascii="Times New Roman" w:hAnsi="굴림체" w:cs="굴림체" w:eastAsia="굴림체"/>
          <w:sz w:val="24"/>
        </w:rPr>
        <w:t>제출자: 마그돌나 레카시(Magdolna Rekasi)(변호인 휴틀 티바다르 (Huttl Tivadar)가 대리함</w:t>
      </w:r>
    </w:p>
    <w:p>
      <w:pPr>
        <w:ind w:left="0" w:firstLine="0" w:hanging="0"/>
        <w:jc w:val="left"/>
      </w:pPr>
      <w:r>
        <w:rPr>
          <w:rFonts w:ascii="Times New Roman" w:hAnsi="굴림체" w:cs="굴림체" w:eastAsia="굴림체"/>
          <w:sz w:val="24"/>
        </w:rPr>
        <w:t>피해자: 통보인</w:t>
      </w:r>
    </w:p>
    <w:p>
      <w:pPr>
        <w:ind w:left="0" w:firstLine="0" w:hanging="0"/>
        <w:jc w:val="left"/>
      </w:pPr>
      <w:r>
        <w:rPr>
          <w:rFonts w:ascii="Times New Roman" w:hAnsi="굴림체" w:cs="굴림체" w:eastAsia="굴림체"/>
          <w:sz w:val="24"/>
        </w:rPr>
        <w:t>당사국: 헝가리</w:t>
      </w:r>
    </w:p>
    <w:p>
      <w:pPr>
        <w:ind w:left="0" w:firstLine="0" w:hanging="0"/>
        <w:jc w:val="left"/>
      </w:pPr>
      <w:r>
        <w:rPr>
          <w:rFonts w:ascii="Times New Roman" w:hAnsi="굴림체" w:cs="굴림체" w:eastAsia="굴림체"/>
          <w:sz w:val="24"/>
        </w:rPr>
        <w:t>제출일: 2017-07-27</w:t>
      </w:r>
    </w:p>
    <w:p>
      <w:pPr>
        <w:ind w:left="0" w:firstLine="0" w:hanging="0"/>
        <w:jc w:val="left"/>
      </w:pPr>
      <w:r>
        <w:rPr>
          <w:rFonts w:ascii="Times New Roman" w:hAnsi="굴림체" w:cs="굴림체" w:eastAsia="굴림체"/>
          <w:sz w:val="24"/>
        </w:rPr>
        <w:t xml:space="preserve">참고문서: </w:t>
      </w:r>
    </w:p>
    <w:p>
      <w:pPr>
        <w:ind w:left="0" w:firstLine="0" w:hanging="0"/>
        <w:jc w:val="left"/>
      </w:pPr>
      <w:r>
        <w:rPr>
          <w:rFonts w:ascii="Times New Roman" w:hAnsi="굴림체" w:cs="굴림체" w:eastAsia="굴림체"/>
          <w:sz w:val="24"/>
        </w:rPr>
        <w:t>채택일: 2021. 9. 6.</w:t>
      </w:r>
    </w:p>
    <w:p>
      <w:pPr>
        <w:ind w:left="0" w:firstLine="0" w:hanging="0"/>
        <w:jc w:val="left"/>
      </w:pPr>
      <w:r>
        <w:rPr>
          <w:rFonts w:ascii="Times New Roman" w:hAnsi="굴림체" w:cs="굴림체" w:eastAsia="굴림체"/>
          <w:sz w:val="24"/>
        </w:rPr>
        <w:t>주제: 재정문제에 대한 법적 권한 행사</w:t>
      </w:r>
    </w:p>
    <w:p>
      <w:pPr>
        <w:ind w:left="0" w:firstLine="0" w:hanging="0"/>
        <w:jc w:val="left"/>
      </w:pPr>
      <w:r>
        <w:rPr>
          <w:rFonts w:ascii="Times New Roman" w:hAnsi="굴림체" w:cs="굴림체" w:eastAsia="굴림체"/>
          <w:sz w:val="24"/>
        </w:rPr>
        <w:t>절차쟁점: 국내 구제 절차 완료, 주장의 소명 여부</w:t>
      </w:r>
    </w:p>
    <w:p>
      <w:pPr>
        <w:ind w:left="0" w:firstLine="0" w:hanging="0"/>
        <w:jc w:val="left"/>
      </w:pPr>
      <w:r>
        <w:rPr>
          <w:rFonts w:ascii="Times New Roman" w:hAnsi="굴림체" w:cs="굴림체" w:eastAsia="굴림체"/>
          <w:sz w:val="24"/>
        </w:rPr>
        <w:t>본안쟁점: 법적 권한 행사</w:t>
      </w:r>
    </w:p>
    <w:p>
      <w:pPr>
        <w:ind w:left="0" w:firstLine="0" w:hanging="0"/>
        <w:jc w:val="left"/>
      </w:pPr>
      <w:r>
        <w:rPr>
          <w:rFonts w:ascii="Times New Roman" w:hAnsi="굴림체" w:cs="굴림체" w:eastAsia="굴림체"/>
          <w:sz w:val="24"/>
        </w:rPr>
        <w:t>관련조항: 제3조, 제12조 제3항, 제4항, 제5항</w:t>
      </w:r>
    </w:p>
    <w:p>
      <w:pPr>
        <w:ind w:left="0" w:firstLine="0" w:hanging="0"/>
        <w:jc w:val="left"/>
      </w:pPr>
      <w:r>
        <w:rPr>
          <w:rFonts w:ascii="Times New Roman" w:hAnsi="굴림체" w:cs="굴림체" w:eastAsia="굴림체"/>
          <w:sz w:val="24"/>
        </w:rPr>
        <w:t>선택의정서 관련조항: 제12조 제d호, 제e호</w:t>
      </w:r>
    </w:p>
    <w:p>
      <w:pPr>
        <w:ind w:left="0" w:firstLine="0" w:hanging="0"/>
        <w:jc w:val="center"/>
      </w:pPr>
      <w:r>
        <w:rPr>
          <w:rFonts w:ascii="Times New Roman" w:hAnsi="굴림체" w:cs="굴림체" w:eastAsia="굴림체"/>
          <w:sz w:val="24"/>
        </w:rPr>
        <w:t xml:space="preserve">					</w:t>
      </w:r>
    </w:p>
    <w:p>
      <w:pPr>
        <w:ind w:left="0" w:firstLine="0" w:hanging="0"/>
        <w:jc w:val="center"/>
      </w:pPr>
      <w:r>
        <w:rPr>
          <w:rFonts w:ascii="Times New Roman" w:hAnsi="굴림체" w:cs="굴림체" w:eastAsia="굴림체"/>
          <w:sz w:val="24"/>
        </w:rPr>
        <w:t>개인통보 44/2017</w:t>
      </w:r>
    </w:p>
    <w:p>
      <w:pPr>
        <w:ind w:left="0" w:firstLine="0" w:hanging="0"/>
        <w:jc w:val="left"/>
      </w:pPr>
      <w:r>
        <w:rPr>
          <w:rFonts w:ascii="Times New Roman" w:hAnsi="굴림체" w:cs="굴림체" w:eastAsia="굴림체"/>
          <w:sz w:val="24"/>
        </w:rPr>
        <w:t>1. 통보인은 1970년 12월 20일 출생한 헝가리 국적의 마그돌나 레카시(Magdolna Rékasi)이다. 통보인은 장애인권리협약 제3조 및 제12조 제3항, 제4항, 제5항에 따른 자신의 권리를 당사국으로부터 침해당한 피해자라고 주장한다. 해당 당사국에서 장애인권리협약 선택의정서는 2008년 5월 3일에 발효되었다. 통보인은 변호사가 대리한다.</w:t>
      </w:r>
    </w:p>
    <w:p>
      <w:pPr>
        <w:ind w:left="0" w:firstLine="0" w:hanging="0"/>
        <w:jc w:val="center"/>
      </w:pPr>
      <w:r>
        <w:rPr>
          <w:rFonts w:ascii="Times New Roman" w:hAnsi="굴림체" w:cs="굴림체" w:eastAsia="굴림체"/>
          <w:sz w:val="24"/>
        </w:rPr>
        <w:t>A. 당사자들이 제출한 정보 및 주장의 개요</w:t>
      </w:r>
    </w:p>
    <w:p>
      <w:pPr>
        <w:ind w:left="0" w:firstLine="0" w:hanging="0"/>
        <w:jc w:val="center"/>
      </w:pPr>
      <w:r>
        <w:rPr>
          <w:rFonts w:ascii="Times New Roman" w:hAnsi="굴림체" w:cs="굴림체" w:eastAsia="굴림체"/>
          <w:sz w:val="24"/>
        </w:rPr>
        <w:t>통보인이 제출한 사실관계</w:t>
      </w:r>
    </w:p>
    <w:p>
      <w:pPr>
        <w:ind w:left="0" w:firstLine="0" w:hanging="0"/>
        <w:jc w:val="left"/>
      </w:pPr>
      <w:r>
        <w:rPr>
          <w:rFonts w:ascii="Times New Roman" w:hAnsi="굴림체" w:cs="굴림체" w:eastAsia="굴림체"/>
          <w:sz w:val="24"/>
        </w:rPr>
        <w:t>2.1 통보인은 경미한 심리사회적 장애가 있다고 주장한다. 2009년 1월 29일, 통보인은 조현병 진단을 받은 후 민법(제IV법, 1959) 제15조 제1항에 의거해 야스베레니 지방 법원의 판결에 따라 후견인 보호를 받게 되었다. 후견에 관한 법원 절차에서 의무적으로 제출해야 하는 정신과 전문가 의견에 따르면, 통보인은 망상성 방향감각 상실 증상이 있다.</w:t>
      </w:r>
    </w:p>
    <w:p>
      <w:pPr>
        <w:ind w:left="0" w:firstLine="0" w:hanging="0"/>
        <w:jc w:val="left"/>
      </w:pPr>
      <w:r>
        <w:rPr>
          <w:rFonts w:ascii="Times New Roman" w:hAnsi="굴림체" w:cs="굴림체" w:eastAsia="굴림체"/>
          <w:sz w:val="24"/>
        </w:rPr>
        <w:t>2.2 2013년 통보인은 후견에 대한 검토 절차를 개시했다. *1 ) 2014년 6월 16일자 최종 판결에서 중앙지방법원은 통보인이 정신 상태로 인해 스스로 자신의 사무를 처리할 수 없으므로 민법(1959) 제14조 제4항에 따라 통보인에 대하여 "일반 후견"을 적용 받는다고 판결했다. 2015년 통보인은 자신의 후견에 대한 또 다른 사법적 검토 절차를 개시했다. 2016년 2월 17일, 중앙지방법원은 민법(제V법, 2013) 제2:19조 제2항에 따라 후견을 의료와 관련된 사항으로 제한했다.</w:t>
      </w:r>
    </w:p>
    <w:p>
      <w:pPr>
        <w:ind w:left="0" w:firstLine="0" w:hanging="0"/>
        <w:jc w:val="left"/>
      </w:pPr>
      <w:r>
        <w:rPr>
          <w:rFonts w:ascii="Times New Roman" w:hAnsi="굴림체" w:cs="굴림체" w:eastAsia="굴림체"/>
          <w:sz w:val="24"/>
        </w:rPr>
        <w:t>2.3 통보인은 2016년까지 후견으로 인해 자신의 법적 능력을 완전히 제한했기 때문에 금융 자산에 대한 권리를 행사할 법적 능력이 없었다고 설명한다. 후견에 대한 사법적 검토를 통해서 통보인은 재정 문제와 관련된 법적 능력을 회복했다. 2016년 6월 20일, 후견인은 통보인의 재정 관리에 대한 최종 회계 자료를 전달했다. 회계 자료에 따르면 2012년 3월 22일에 후견인이 통보인을 대리하여 생명 보험 계약을 체결했다. 우자(Újszász)시 후견 당국은 계약 체결 9일 후에 보험금 지급을 승인했다. 승인 문서에서 알 수 있듯이 통보인은 보험 계약에 대한 정보를 받지 못했으며, 후견인이 자신의 의견을 구하지 않았기 때문에 보험 계약에 대한 의견이나 선호도를 표현할 기회가 없었다고 설명한다. 통보인은 계약서 사본, 후견인이 제출한 청원서 사본 또는 후견 당국의 승인서 사본을 받은 적이 없다.</w:t>
      </w:r>
    </w:p>
    <w:p>
      <w:pPr>
        <w:ind w:left="0" w:firstLine="0" w:hanging="0"/>
        <w:jc w:val="left"/>
      </w:pPr>
      <w:r>
        <w:rPr>
          <w:rFonts w:ascii="Times New Roman" w:hAnsi="굴림체" w:cs="굴림체" w:eastAsia="굴림체"/>
          <w:sz w:val="24"/>
        </w:rPr>
        <w:t>2.4 보험료는 약 1,500달러에 달했다. 보험의 유일한 목적은 통보인이 사망했을 때 장례 비용과 경비를 충당하는 것이었다. 해당 보험의 유일한 수익자는 장례 서비스를 제공하는 회사였다. 통보인은 계약에 따라 보험을 환매할 권리가 있지만 보험료 전액을 회수할 수는 없고, 이는 월 203달러의 연금만 받는 통보인에게는 상당한 재정적 손실이다.</w:t>
      </w:r>
    </w:p>
    <w:p>
      <w:pPr>
        <w:ind w:left="0" w:firstLine="0" w:hanging="0"/>
        <w:jc w:val="left"/>
      </w:pPr>
      <w:r>
        <w:rPr>
          <w:rFonts w:ascii="Times New Roman" w:hAnsi="굴림체" w:cs="굴림체" w:eastAsia="굴림체"/>
          <w:sz w:val="24"/>
        </w:rPr>
        <w:t>2.5 통보인은 보험 계약에 대해 알게 되었기 때문에 실효적인 국내 구제수단을 이용할 수 없었다고 주장한다. 통보인이 더 일찍 알았다면 후견 당국에 진정을 제기할 수 있었을 것이다. 통보인은 계약의 존재를 알게 된 후에 후견 당국에 서면으로 진정을 제기했다. 그러나 통보인은 회신을 받지 못했다. 통보인은 후견 당국이 진정에 대해 회신을 했더라도 생명 보험 계약을 변경할 수 없었을 것이라고 설명한다. 통보인이 재정 문제에 대한 완전한 법적 능력을 회복했지만, 이와 별개로 보험 계약이 여전히 유효하기 때문이다.</w:t>
      </w:r>
    </w:p>
    <w:p>
      <w:pPr>
        <w:ind w:left="0" w:firstLine="0" w:hanging="0"/>
        <w:jc w:val="left"/>
      </w:pPr>
      <w:r>
        <w:rPr>
          <w:rFonts w:ascii="Times New Roman" w:hAnsi="굴림체" w:cs="굴림체" w:eastAsia="굴림체"/>
          <w:sz w:val="24"/>
        </w:rPr>
        <w:t>2.6 통보인이 날짜를 구체적으로 밝히지 않았으나 자신의 아버지가 기본권위원회 (Commissioner for Fundamental Rights)에 생명보험 계약 체결에 대해 문제를 제기하는 진정서를 제출했다고 언급한다. 기본권위원회는 후견 당국으로부터 생명보험 가입이 통보인을 대신하여 후견인이 따라야 하는 표준 절차에 따라 이루어졌다는 통보를 받았다. 통보인은 후견인이 피후견인의 재정 관리에 사용하는 회계장부 양식의 3항에 보험 회사 이름이 자동으로 포함된다는 점을 지적하며, 이는 해당 보험이 장애인의 구체적인 이익에 대한 평가 없이 가입되었음을 증명한다고 주장한다. 기본권위원회는 통보인에 대한 기본권 침해를 발견하지 못하였는데, 통보인은 어떤 경우에도 위원회가 후견 당국에 구속력이 없는 권고만 표명할 수 있었다고 설명한다.</w:t>
      </w:r>
    </w:p>
    <w:p>
      <w:pPr>
        <w:ind w:left="0" w:firstLine="0" w:hanging="0"/>
        <w:jc w:val="center"/>
      </w:pPr>
      <w:r>
        <w:rPr>
          <w:rFonts w:ascii="Times New Roman" w:hAnsi="굴림체" w:cs="굴림체" w:eastAsia="굴림체"/>
          <w:sz w:val="24"/>
        </w:rPr>
        <w:t>진정 내용</w:t>
      </w:r>
    </w:p>
    <w:p>
      <w:pPr>
        <w:ind w:left="0" w:firstLine="0" w:hanging="0"/>
        <w:jc w:val="left"/>
      </w:pPr>
      <w:r>
        <w:rPr>
          <w:rFonts w:ascii="Times New Roman" w:hAnsi="굴림체" w:cs="굴림체" w:eastAsia="굴림체"/>
          <w:sz w:val="24"/>
        </w:rPr>
        <w:t>3.1 통보인은 당사국이 장애인권리협약 제3조, 제12조 제4항, 제5항에 따른 자신의 권리를 침해하여 재정 사항과 관련해 자신의 법적 능력 행사를 위한 적절하고 효과적인 안전장치를 포함하는 조치를 취하지 못했다고 주장한다. 보험 계약 체결 당시 통보인은 42세였으며 건강 상태가 양호했다. 사망 시 장례 비용을 보장하기 위한 생명보험 가입은 통보인과 상의 없이 후견인 및 후견기관에 의해 내려진 불필요한 재정적 결정이었다. 그 결과, 통보인은 재정 문제에 대한 의사 결정 능력을 박탈당했다. 이 결정은 통보인의 재정 상황에 상당한 영향을 미쳤다. 통보인이 보험을 환매하려면 상당한 재정적 손실을 감당해야 한다. 해당 보험 계약 구조는 분명히 통보인의 최선의 이익, 의지 또는 선호를 반영하지 않았다.</w:t>
      </w:r>
    </w:p>
    <w:p>
      <w:pPr>
        <w:ind w:left="0" w:firstLine="0" w:hanging="0"/>
        <w:jc w:val="left"/>
      </w:pPr>
      <w:r>
        <w:rPr>
          <w:rFonts w:ascii="Times New Roman" w:hAnsi="굴림체" w:cs="굴림체" w:eastAsia="굴림체"/>
          <w:sz w:val="24"/>
        </w:rPr>
        <w:t>3.2 통보인은 장애인권리협약 제12조 제3항에 따라 당사국은 장애인이 법적 능력을 행사에 있어 지원을 제공할 의무가 있다고 주장한다. 당사국은 장애인의 법적 능력을 부정해서는 안 되며, 장애인이 법적 효력이 있는 결정을 내릴 수 있또록 필요한 지원에 대한 접근할 수 있도록 해야 한다. 법적 능력 행사에 대한 지원은 장애인의 권리, 의지 및 선호를 존중해야 하며 당사자의 의사 결정을 대체하는 형태로 이루어져서는 안 된다.</w:t>
      </w:r>
    </w:p>
    <w:p>
      <w:pPr>
        <w:ind w:left="0" w:firstLine="0" w:hanging="0"/>
        <w:jc w:val="center"/>
      </w:pPr>
      <w:r>
        <w:rPr>
          <w:rFonts w:ascii="Times New Roman" w:hAnsi="굴림체" w:cs="굴림체" w:eastAsia="굴림체"/>
          <w:sz w:val="24"/>
        </w:rPr>
        <w:t>심리적격에 관한 당사국 견해</w:t>
      </w:r>
    </w:p>
    <w:p>
      <w:pPr>
        <w:ind w:left="0" w:firstLine="0" w:hanging="0"/>
        <w:jc w:val="left"/>
      </w:pPr>
      <w:r>
        <w:rPr>
          <w:rFonts w:ascii="Times New Roman" w:hAnsi="굴림체" w:cs="굴림체" w:eastAsia="굴림체"/>
          <w:sz w:val="24"/>
        </w:rPr>
        <w:t>4.1 2018년 1월 15일, 당사국은 통보의 증거능력에 대한 의견을 제출했다. 당사국은 해당 통보는 국내 구제절차를 소진하지 않았기 때문에 통보가 심리될 수 없다고 주장한다. 당사국은 국내법에 따라 통보인이 1년의 소멸시효 기간 내에 소송을 제기했다면 전 후견인에 대해 민사 소송을 제기할 수 있었을 것이라고 지적한다.</w:t>
      </w:r>
    </w:p>
    <w:p>
      <w:pPr>
        <w:ind w:left="0" w:firstLine="0" w:hanging="0"/>
        <w:jc w:val="left"/>
      </w:pPr>
      <w:r>
        <w:rPr>
          <w:rFonts w:ascii="Times New Roman" w:hAnsi="굴림체" w:cs="굴림체" w:eastAsia="굴림체"/>
          <w:sz w:val="24"/>
        </w:rPr>
        <w:t>4.2 당사국은 중앙지방법원이 2016년 2월 17일에 내려진 판결에서 통보인이 자신의 자산을 스스로 관리할 수 있도록 허용하면서 후견인이 관리하던 모든 자산을 통보인에게 이전할 것을 명령했다고 설명한다. 이 판결에서 법원은 후견 선임이 종료된 후견인에게 최종 회계에 적용되는 규칙에 대해 알렸다. 또한 당사국은 통보인이 후견인을 상대로 소송을 제기할 수 있음을 알렸다. 또한 법원은 영향을 받은 당사자가 나중에 소송의 근거가 되는 사유를 알게 된 경우를 제외하고는 후견인에 대한 소송의 소멸시효는 1년이라고 명시했다. 이러한 경우, 소멸시효에 따라 소송을 제기할 수 있는 기간이 경과하지 않았다면 소멸시효는 소송의 근거가 되는 사유를 알게 된 날부터 계산해야 한다. 생명보험 계약이 유효하게 체결된 경우, 계약 체결 당시 통보인이 법적 능력이 있었을 때 적용될 수 있는 것과 동일한 조건에 따라 계약을 해지할 수 있다. 계약이 유효하게 체결되었는지 여부를 평가하는 것은 헝가리 법원의 권한이다. 또한 후견 당국이 후견인에게 생명보험 계약 체결을 승인할 때 후견 당국이 적절하게 행동했는지 검토하는 것도 관할 법원의 권한에 속한다.</w:t>
      </w:r>
    </w:p>
    <w:p>
      <w:pPr>
        <w:ind w:left="0" w:firstLine="0" w:hanging="0"/>
        <w:jc w:val="left"/>
      </w:pPr>
      <w:r>
        <w:rPr>
          <w:rFonts w:ascii="Times New Roman" w:hAnsi="굴림체" w:cs="굴림체" w:eastAsia="굴림체"/>
          <w:sz w:val="24"/>
        </w:rPr>
        <w:t>4.3 당사국은 통보인의 전 후견인이 2016년 6월 20일에 통보인에게, 그리고 2016년 6월 27일에 후견 당국에 최종 회계 보고서를 보냈다고 주장한다. 전 후견인이 2017년 12월 13일에 작성한 진술서에 따르면, 통보인은 법이 정한 바에 따라 회계 사항에 대한 법원 소송을 제기하지 않았으며, 따라서 이론적으로뿐만 아니라 실제로도 효과적이고 이용 가능한 국내 구제 수단을 모두 소진하지 않았다. 통보인은 법적 보호를 위해 기본권위원회에 진정서를 제출했을 뿐이다. 그러나 기본권위원회는 법적 구속력이 있는 결정을 채택할 수 없기 때문에 효과적인 국내 법적 구제 수단의 요건을 충족하지 못한다.</w:t>
      </w:r>
    </w:p>
    <w:p>
      <w:pPr>
        <w:ind w:left="0" w:firstLine="0" w:hanging="0"/>
        <w:jc w:val="left"/>
      </w:pPr>
      <w:r>
        <w:rPr>
          <w:rFonts w:ascii="Times New Roman" w:hAnsi="굴림체" w:cs="굴림체" w:eastAsia="굴림체"/>
          <w:sz w:val="24"/>
        </w:rPr>
        <w:t>4.4 2009년 3월 7일 법적 구속력을 갖게 된 2009년 1월 29일자 판결에 따라 야스베레니시 법원은 통보인에게 후견인을 지정하여 통보인의 행위 능력을 완전히 제한했으며, 동시에 후견인 지정에 대한 의무적 검토 기한을 판결이 구속력을 갖게 된 날로부터 3년으로 규정했다. 법원은 통보인이 수년간 앓고 있던 편집성 조현병으로 인해 인격이 심하게 손상되어 비판적 판단을 할 수 없다는 법의학 정신과 의사의 전문가 의견을 바탕으로 결정을 내렸다. 통보인의 감정 표현은 일관성이 없었고 일상 생활의 문제를 해결할 수 없었으며 자립 생활에 부적합했다.</w:t>
      </w:r>
    </w:p>
    <w:p>
      <w:pPr>
        <w:ind w:left="0" w:firstLine="0" w:hanging="0"/>
        <w:jc w:val="left"/>
      </w:pPr>
      <w:r>
        <w:rPr>
          <w:rFonts w:ascii="Times New Roman" w:hAnsi="굴림체" w:cs="굴림체" w:eastAsia="굴림체"/>
          <w:sz w:val="24"/>
        </w:rPr>
        <w:t>4.5 2012년 1월, 후견인 선임에 대한 의무적 검토 기한 이전에 통보인은 후견인 선임 종료를 요청했다. 법원 절차에 따라 중앙지방법원은 2013년 5월 31일자 결정문에서 통보인의 행위 능력을 완전히 제한한 후견을 종료하고, 통보인의 사무 관리에 필요한 이해 능력이 지속적이고 심각하게 저하되었다는 점을 고려하여 일반적인 범위에서 행위 능력을 제한하는 다른 종류의 후견을 명령했다. 법의학 정신과 전문의의 소견에 따르면 통보인은 편집성 조현병 장애를 앓고 있었다. 통보인의 인지에서 급성 병리학적인 내용은 확인되지 않았지만, 통보인의 성격에서 기저 장애의 왜곡된 특성을 관찰할 수 있었다. 통보인의 질병은 통보인의 비판적 판단 기능에 심각한 손상을 초래했다. 통보인은 실용적인 기술을 의미 있게 동원할 수 없었고 미래에 대하여 비현실적인 계획을 세웠다. 자립 생활을 할 수 없었고, 일상 업무를 처리하는 데 필요한 이해 능력도 지속적이고 실질적으로 손상되었다. 능력 제한 후견에 대한 다음 검토 기한은 법원 결정일로부터 5년 후로 정해졌다.</w:t>
      </w:r>
    </w:p>
    <w:p>
      <w:pPr>
        <w:ind w:left="0" w:firstLine="0" w:hanging="0"/>
        <w:jc w:val="left"/>
      </w:pPr>
      <w:r>
        <w:rPr>
          <w:rFonts w:ascii="Times New Roman" w:hAnsi="굴림체" w:cs="굴림체" w:eastAsia="굴림체"/>
          <w:sz w:val="24"/>
        </w:rPr>
        <w:t>4.6 2015년에 통보인은 후견 종료 절차를 개시했다. 중앙지방법원은 2016년 3월 22일에 법적 구속력을 갖게 된 2016년 2월 17일의 결정에서 통보인의 행위능력을 일반적인 범위로 제한하던 후견을 수정하고, 건강 관리와 관련된 권리 행사 문제로 제한했다. 그 외의 모든 사안에서 통보인은 완전한 능력을 회복했다. 법원은 통보인에 대한 후견 검토가 향후 2년 내에 이루어지도록 규정했다. 법의학 정신과 의사의 전문가 의견에 따르면 통보인은 병적 사고, 즉 망상 장애를 특징으로 하는 정신 장애를 앓고 있었다. 그러나 통보인의 비판적 사고력과 판단력은 보존되어 있었고, 한동안 급성 정신과적 증상이 나타나지 않았으며, 일상생활을 영위하는 데 필요한 동의능력이 지속적이고 심각하게 손상된 것은 매우 좁은 영역, 즉 의료와 관련된 건강문제에서만 관찰되었다.</w:t>
      </w:r>
    </w:p>
    <w:p>
      <w:pPr>
        <w:ind w:left="0" w:firstLine="0" w:hanging="0"/>
        <w:jc w:val="left"/>
      </w:pPr>
      <w:r>
        <w:rPr>
          <w:rFonts w:ascii="Times New Roman" w:hAnsi="굴림체" w:cs="굴림체" w:eastAsia="굴림체"/>
          <w:sz w:val="24"/>
        </w:rPr>
        <w:t>4.7 당사국은 후견이 통보인의 상태를 개선하는 데 기여했다고 주장한다. 악화된 가족관계와 갈등으로 인해 통보인에 대한 친척들의 보살핌이 부족했기 때문에 후견인은 통보인을 거주 돌봄 시설에 입소시키기로 결정했다. 전문적이고 적절한 치료를 받은 결과 이전에는 자신에게 장애가 있다는 사실을 인지하지 못했던 통보인은 이해 능력을 회복할 수 있었다. 당사국은 국내법에 따라 심리 상태 또는 정신적 장애로 인해 일상 업무 관리에 필요한 이해 능력이 지속적으로 결여된 성인에 한하여 후견인을 선임할 수 있다고 설명한다. 이러한 후견인 선임은 의무적으로 검토되어야 한다. 당사국은 이 입법적 안전장치가 통보인에게 완전히 적용되었다고 설명한다.</w:t>
      </w:r>
    </w:p>
    <w:p>
      <w:pPr>
        <w:ind w:left="0" w:firstLine="0" w:hanging="0"/>
        <w:jc w:val="left"/>
      </w:pPr>
      <w:r>
        <w:rPr>
          <w:rFonts w:ascii="Times New Roman" w:hAnsi="굴림체" w:cs="굴림체" w:eastAsia="굴림체"/>
          <w:sz w:val="24"/>
        </w:rPr>
        <w:t>4.8 당사국은 구 민법(1959)에서 세 가지 종류의 후견을 규정하고 있으며, 이는 행위능력을 완전히 제한하는 후견, 행위능력을 일반적으로 제한하는 후견, 그리고 특정한 상황에서 행위능력을 제한하는 후견이다. 당사국은 통보인이 행위능력을 완전히 제한하는 후견을 받고 있었기 때문에 후견인이 통보인을 대신하여 생명보험 계약 체결을 진행할 수 있었다고 설명한다. 위원회는 후견인이 계약 체결을 위해 후견 당국의 동의를 얻어야 하며, 후견인이 이를 이행했다고 설명한다. 구 민법(1959)과 마찬가지로 현행 민법도 후견인은 결정을 하기 전에 피후견인이 의견을 진술할 능력이 있는 경우 그 의사와 요구를 듣고 가능한 한 이를 고려해야 한다고 규정하고 있다. 또 다른 중요한 안전장치는 후견인의 자산 관리가 피후견인의 복지를 지원해야 한다는 것이다. 후견인은 피후견인의 개인적 의사를 고려하고 자산 상태가 허용하는 한도 내에서 정당한 요구사항을 충족시켜야 한다.</w:t>
      </w:r>
    </w:p>
    <w:p>
      <w:pPr>
        <w:ind w:left="0" w:firstLine="0" w:hanging="0"/>
        <w:jc w:val="left"/>
      </w:pPr>
      <w:r>
        <w:rPr>
          <w:rFonts w:ascii="Times New Roman" w:hAnsi="굴림체" w:cs="굴림체" w:eastAsia="굴림체"/>
          <w:sz w:val="24"/>
        </w:rPr>
        <w:t>4.9 당사국은 통보인이 행위 능력을 완전히 제한하는 후견 하에 있는 동안에 후견 당국이 통보인을 위해 여러 명의 전문 후견인을 연속적으로 선임했다고 설명한다. 전문 후견인이 변경될 때마다 당국은 통보인이 스스로 후견인으로 지정할 수 있는 사람이 있는지, 친척 중 후견인에 적합하고 후견인으로 활동하는 데 동의할 수 있는 사람이 있는지 여부도 평가했다. 그러나 후견견인 역할을 자처한 친척이 없었으며, 통보인이 지정한 사람, 즉 통보인의 동거인은 해당 업무에 적합하지 않은 것으로 결정되었다. 통보인은 후견인의 개입으로 정기적인 수입을 받았다. 또한 통보인은 급여의 소급 지급으로 인해 상당한 금액을 현금으로 축적했으며, 이는 조건부 접근 권한이 있는 후견 당사국의 예금 계좌에 입금되었다. 후견인은 적절한 절차에 따라 수입을 관리했다. 후견인은 항상 통보인의 수입을 통보인 명의로 등록된 예금 계좌로 이체하고 간병과 관련된 비용과 예상 생활비를 공제했다. 금융 기관은 후견인의 요청과 후견 당국의 동의가 있어야 거래를 수행할 권한이 있었다.</w:t>
      </w:r>
    </w:p>
    <w:p>
      <w:pPr>
        <w:ind w:left="0" w:firstLine="0" w:hanging="0"/>
        <w:jc w:val="left"/>
      </w:pPr>
      <w:r>
        <w:rPr>
          <w:rFonts w:ascii="Times New Roman" w:hAnsi="굴림체" w:cs="굴림체" w:eastAsia="굴림체"/>
          <w:sz w:val="24"/>
        </w:rPr>
        <w:t>4.10 당사국은 2012년 3월 22일자 결정에서 후견 당국이 통보인의 사망 시에 필요한 장례 비용을 보장하기 위해 체결한 생명보험의 일시불 지급을 위해 약 1,500달러를 통보인으로부터 보험회사에 지급하는 것을 승인했다고 설명한다.</w:t>
      </w:r>
    </w:p>
    <w:p>
      <w:pPr>
        <w:ind w:left="0" w:firstLine="0" w:hanging="0"/>
        <w:jc w:val="left"/>
      </w:pPr>
      <w:r>
        <w:rPr>
          <w:rFonts w:ascii="Times New Roman" w:hAnsi="굴림체" w:cs="굴림체" w:eastAsia="굴림체"/>
          <w:sz w:val="24"/>
        </w:rPr>
        <w:t>4.11 당사국은 절차 진행 중 통보인의 상태로 인해 후견인과 후견 당국이 통보인의 의견을 구할 수 없었다고 설명한다. 통보인의 의견을 구할 수 있었다면 후견 당국은 절차 규정에 따라 통보인의 의견을 고려해야 할 의무가 있었을 것이다.</w:t>
      </w:r>
    </w:p>
    <w:p>
      <w:pPr>
        <w:ind w:left="0" w:firstLine="0" w:hanging="0"/>
        <w:jc w:val="left"/>
      </w:pPr>
      <w:r>
        <w:rPr>
          <w:rFonts w:ascii="Times New Roman" w:hAnsi="굴림체" w:cs="굴림체" w:eastAsia="굴림체"/>
          <w:sz w:val="24"/>
        </w:rPr>
        <w:t>4.12 2014년 통보인은 자신의 생명 보험과 관련하여 기본권 위원회에 진정을 제기했다. 2014년 9월 18일자 서한에서 기본권 위원회 위원장은 야스-나기쿤-졸녹(Jász-Nagykun-Szolnok) 카운티 정부의 사회 및 후견 사무소에서 진정 사항을 조사하는 동안 전문 후견인이 통보인을 돌보고 있었으며 매주 월요일마다 통보인이 머물고 있는 거주 시설에서 직접 만날 수 있었다고 통보했다. 복잡한 가족 문제로 인해 통보인의 친척들은 통보인이 사망했을 때 적절한 장례를 치르는 데 동의하지 않았다. 이러한 경우 장애인의 장례 비용을 충당하기 위해 생명 보험 계약을 체결하는 것은 이전부터 있었던 관행이었다. 통보인의 가정 생활에 가족 간의 갈등이 많았고 가족관계가 악화되어 신체적 학대와 경찰 조치가 있었다는 점을 감안할 때, 후견인과 후견 당국 모두 그러한 보험이 통보인의 이익에 도움이 될 것이라고 판단했다. 그 결과, 기본권위원회는 이용 가능한 문서에 근거하여 후견인이 취한 조치에 있어 기본권 침해가 발생하지 않았다고 결론지었다. 따라서 위원회는 해당 절차를 종료했다.</w:t>
      </w:r>
    </w:p>
    <w:p>
      <w:pPr>
        <w:ind w:left="0" w:firstLine="0" w:hanging="0"/>
        <w:jc w:val="left"/>
      </w:pPr>
      <w:r>
        <w:rPr>
          <w:rFonts w:ascii="Times New Roman" w:hAnsi="굴림체" w:cs="굴림체" w:eastAsia="굴림체"/>
          <w:sz w:val="24"/>
        </w:rPr>
        <w:t>4.13 당사국은 통보인의 자산을 관리함에 있어서 지정된 후견인이 통보인의 이익을 충분히 고려했다고 판단한다. 이와 별개로 통보인은 이용 가능하고 효과적인 국내 구제 수단을 모두 거치지 않았으므로 본 진정은 기각되어야 한다.</w:t>
      </w:r>
    </w:p>
    <w:p>
      <w:pPr>
        <w:ind w:left="0" w:firstLine="0" w:hanging="0"/>
        <w:jc w:val="center"/>
      </w:pPr>
      <w:r>
        <w:rPr>
          <w:rFonts w:ascii="Times New Roman" w:hAnsi="굴림체" w:cs="굴림체" w:eastAsia="굴림체"/>
          <w:sz w:val="24"/>
        </w:rPr>
        <w:t>심리적격에 관한 당사국 견해에 대한 통보인 의견</w:t>
      </w:r>
    </w:p>
    <w:p>
      <w:pPr>
        <w:ind w:left="0" w:firstLine="0" w:hanging="0"/>
        <w:jc w:val="left"/>
      </w:pPr>
      <w:r>
        <w:rPr>
          <w:rFonts w:ascii="Times New Roman" w:hAnsi="굴림체" w:cs="굴림체" w:eastAsia="굴림체"/>
          <w:sz w:val="24"/>
        </w:rPr>
        <w:t>5.1 2018년 3월 14일, 통보인은 당사국의 견해에 대한 자신의 의견을 제출했다. 통보인은 민법(2013) 제2조 제37항에 따라 후견인이 제출한 회계가 부정확한 경우 전 후견인을 상대로 소송을 할 수 있는 절차가 있다는 사실에 이의를 제기하지 않는다. 통보인은 이 절차가 후견인이 제출한 회계의 부정 또는 누락 또는 후견인의 불법 행위로 인한 금전적 손해를 다루는 것을 목적으로 하므로 통보인에게는 효과적인 구제수단이 될 수 없다는 점을 주장한다.</w:t>
      </w:r>
    </w:p>
    <w:p>
      <w:pPr>
        <w:ind w:left="0" w:firstLine="0" w:hanging="0"/>
        <w:jc w:val="left"/>
      </w:pPr>
      <w:r>
        <w:rPr>
          <w:rFonts w:ascii="Times New Roman" w:hAnsi="굴림체" w:cs="굴림체" w:eastAsia="굴림체"/>
          <w:sz w:val="24"/>
        </w:rPr>
        <w:t>5.2 통보인은 해당 사건에서 회계에 부정이 있거나 보험 계약이 적법하지 않다고 주장하는 것이 아니다. 통보인은 보험 계약이 계약법에 따라 합법적이었기 때문에 후견인을 상대로 소송을 제기하는 것은 무의미하다고 주장한다. 통보인은 2012년에 이루어진 의사 결정 과정에서 후견인이 자신과 상의하지 않은 점, 특히 2016년까지 계약의 존재에 대해 자신에게 알리지 않았다는 점을 해결할 수 없기 때문에 당사국이 명시한 국내 구제책은 효과적이지 않다고 주장한다.</w:t>
      </w:r>
    </w:p>
    <w:p>
      <w:pPr>
        <w:ind w:left="0" w:firstLine="0" w:hanging="0"/>
        <w:jc w:val="left"/>
      </w:pPr>
      <w:r>
        <w:rPr>
          <w:rFonts w:ascii="Times New Roman" w:hAnsi="굴림체" w:cs="굴림체" w:eastAsia="굴림체"/>
          <w:sz w:val="24"/>
        </w:rPr>
        <w:t>5.3 진정의 핵심은 해당 사건이 장애인권리협약 제12조 제4항을 위반하여 통보인의 의지와 선호가 완전히 무시된 채 보험 계약이 체결되었고, 그 결과 협약 제12조 제5항을 위반하여 통보인이 자신의 재정 문제를 관리할 수 없었고, 최소한 그 과정에서 의견을 낼 수도 없었다는 점이다. 후견인과 후견 당국의 절차는 장애인권리협약에 명시된 접근 방식, 특히 당사국이 장애인이 법적 능력을 행사할 수 있도록 지원해야 한다는 제12조 제3항에 부합하지 않았다. 의사 결정 과정에서 통보인의 참여는 협약 제12조에 따라 보장되어야 했으며, 이러한 의무는 국내법에 따라 통보인의 법적 능력이 제한되어 있는 경우에도 발생한다. 통보인의 법적 능력을 제한한 법률은 명백히 협약 제12조에 위배된다.</w:t>
      </w:r>
    </w:p>
    <w:p>
      <w:pPr>
        <w:ind w:left="0" w:firstLine="0" w:hanging="0"/>
        <w:jc w:val="left"/>
      </w:pPr>
      <w:r>
        <w:rPr>
          <w:rFonts w:ascii="Times New Roman" w:hAnsi="굴림체" w:cs="굴림체" w:eastAsia="굴림체"/>
          <w:sz w:val="24"/>
        </w:rPr>
        <w:t>5.4 후견이 존재한다는 이유만으로 후견인과 후견 당국이 통보인의 의견을 수렴할 수 없었고, 통보인의 가족관계에 갈등이 많았기 때문에 보험계약 체결이 합리적이었다는 당사국의 주장에 대해, 통보인은 후견 당국의 보험계약 체결 승인서에는 이러한 두 가지 주장에 대한 언급이 없었다고 지적한다. 또한 통보인은 계약체결에 통보인을 참여시킬 의무를 전혀 고려하지 않았다는 사실에 대하여 당사국이 이의를 제기하지 않는다는 점을 강조한다. 당사국은 통보인의 참여를 보장하고 통보인이 의사 결정 절차에서 정보를 얻고 참여하도록 보장하기 위해 적극적인 조치를 취해야 할 의무가 있었다.</w:t>
      </w:r>
    </w:p>
    <w:p>
      <w:pPr>
        <w:ind w:left="0" w:firstLine="0" w:hanging="0"/>
        <w:jc w:val="left"/>
      </w:pPr>
      <w:r>
        <w:rPr>
          <w:rFonts w:ascii="Times New Roman" w:hAnsi="굴림체" w:cs="굴림체" w:eastAsia="굴림체"/>
          <w:sz w:val="24"/>
        </w:rPr>
        <w:t>5.5 통보인은 일반논평 제1호(2014)의 단락 17에서 장애인의 법적 능력 행사에 대한 지원에는 장애인이 은행 계좌 개설, 계약 체결 또는 기타 사회적 거래를 수행하는 데 필요한 법적 행위를 수행할 수 있도록 유니버설 디자인 및 접근성과 관련된 조치가 포함된다는 것을 언급한다. 하지만 통보인에게는 그러한 지원이 전혀 제공되지 않았다.</w:t>
      </w:r>
    </w:p>
    <w:p>
      <w:pPr>
        <w:ind w:left="0" w:firstLine="0" w:hanging="0"/>
        <w:jc w:val="left"/>
      </w:pPr>
      <w:r>
        <w:rPr>
          <w:rFonts w:ascii="Times New Roman" w:hAnsi="굴림체" w:cs="굴림체" w:eastAsia="굴림체"/>
          <w:sz w:val="24"/>
        </w:rPr>
        <w:t>5.6 통보인은 또한 당사국의 최초 정기 보고서에 대한 위원회의 최종견해를 언급한다. 최종견해에 따르면 위원회는 당사국이 민법 및 관련 법률의 현행 검토 절차를 효과적으로 활용하여 대리 의사결정에서 당사자의 자율성을 존중하여 협약 제12조에 완전히 부합하는 지원 의사결정으로 전환하기 위해 후견제도를 완화하기 위한 즉각적인 조치를 취할 것을 권고했다. 또한 지원 의사결정제도가 장애인의 의지와 선호를 존중하고, 치료에 대한 사전 동의를 제공하거나 철회하고, 사법에 접근하고, 투표하고, 결혼하고, 일하고, 거주지를 선택할 수 있는 권리를 포함한다. *2 ) 통보인은 당사국이 대리 의사결정에서 지원 의사결정으로 전환하기 위한 절차를 진행하지 않았다고 주장한다. 통보인의 경우, 후견인과 감독 기관의 결정으로 “자신의 결정”이 완전히 대체되었다.</w:t>
      </w:r>
    </w:p>
    <w:p>
      <w:pPr>
        <w:ind w:left="0" w:firstLine="0" w:hanging="0"/>
        <w:jc w:val="left"/>
      </w:pPr>
      <w:r>
        <w:rPr>
          <w:rFonts w:ascii="Times New Roman" w:hAnsi="굴림체" w:cs="굴림체" w:eastAsia="굴림체"/>
          <w:sz w:val="24"/>
        </w:rPr>
        <w:t>5.7 마지막으로, 통보인은 당사국의 제2차 및 제3차 통합보고서 제출에 앞서 위원회가 제시한 쟁점 목록을 언급하고 있다. 쟁점 목록에서 위원회는 당사국에 모든 후견제도와 대체 의사결정을 폐지하고 이를 협약 및 일반논평 제1호에 부합하는 지원 의사결정으로 완전히 대체하기 위해 취한 조치를 명시하고, 개인에게 의사결정 지원을 제공할 때 개인의 선택, 의지 및 선호를 존중하는 방법에 대해 위원회에 알려줄 것을 요청하였다. *3 )</w:t>
      </w:r>
    </w:p>
    <w:p>
      <w:pPr>
        <w:ind w:left="0" w:firstLine="0" w:hanging="0"/>
        <w:jc w:val="center"/>
      </w:pPr>
      <w:r>
        <w:rPr>
          <w:rFonts w:ascii="Times New Roman" w:hAnsi="굴림체" w:cs="굴림체" w:eastAsia="굴림체"/>
          <w:sz w:val="24"/>
        </w:rPr>
        <w:t>본안에 관한 당사국 견해</w:t>
      </w:r>
    </w:p>
    <w:p>
      <w:pPr>
        <w:ind w:left="0" w:firstLine="0" w:hanging="0"/>
        <w:jc w:val="left"/>
      </w:pPr>
      <w:r>
        <w:rPr>
          <w:rFonts w:ascii="Times New Roman" w:hAnsi="굴림체" w:cs="굴림체" w:eastAsia="굴림체"/>
          <w:sz w:val="24"/>
        </w:rPr>
        <w:t>6.1 2018년 9월 12일, 당사국은 본안에 대한 의견을 제출했다. 당사국은 이전 의견서에서 밝힌 입장을 유지한다고 주장한다.</w:t>
      </w:r>
    </w:p>
    <w:p>
      <w:pPr>
        <w:ind w:left="0" w:firstLine="0" w:hanging="0"/>
        <w:jc w:val="left"/>
      </w:pPr>
      <w:r>
        <w:rPr>
          <w:rFonts w:ascii="Times New Roman" w:hAnsi="굴림체" w:cs="굴림체" w:eastAsia="굴림체"/>
          <w:sz w:val="24"/>
        </w:rPr>
        <w:t>6.2 당사국은 통보인이 당사국의 관련 법 규정의 적절성에 이의를 제기한 것이 아니라, 이 특정 사건에서 저자에게 제공된 정보의 부족에 이의를 제기한 것으로 간주한다. 따라서 당사국은 2018년 9월 11일자 후견인의 진술서를 위원회에 제출하여 후견인이 임무 수행 기간 동안 합리적으로 주의를 기울여 업무를 진행했다는 것을 입증했다. 당사국은 후견인이 매주 월요일 오후에 통보인이 거주하는 시설에서 상담 시간을 가졌다고 기재된 이 진술서를 위원회가 고려할 것을 요청한다. 통보인은 자발적으로 후견인을 방문한 적이 없었다. 후견인은 통보인을 여러 번 방문했다. 그러나 통보인이 "반발적으로 반응하고 보이며 침대에서 나오기를 거부"했기 때문에 재정 문제에 대한 의견을 구하는 것은 불가능했다. 후견인은 자신이 의료진과 정기적으로 상담하고 긴밀한 연락을 유지했다고 설명했다. 후견인은 통보인의 친척들이 통보인을 위한 적절한 장례를 치르는 데 동의하지 않았고, 통보인의 기록에 경찰 조치로 끝난 가정 폭력 신고가 포함되어 있었으며, 가정 상황으로 인해 건강 상태가 악화되었다고 통보인이 인정했다는 점을 근거로 생명 보험 계약 체결이 합리적인 판단이었다고 주장한다. 후견인은 생명보험 계약이 체결될 당시 통보인이 건강 상태 때문에 자신의 의견을 표명할 수 없었고 가족들이 통보인과 관련해 어떠한 정보도 요청한 적이 없다고 주장했다.</w:t>
      </w:r>
    </w:p>
    <w:p>
      <w:pPr>
        <w:ind w:left="0" w:firstLine="0" w:hanging="0"/>
        <w:jc w:val="center"/>
      </w:pPr>
      <w:r>
        <w:rPr>
          <w:rFonts w:ascii="Times New Roman" w:hAnsi="굴림체" w:cs="굴림체" w:eastAsia="굴림체"/>
          <w:sz w:val="24"/>
        </w:rPr>
        <w:t>본안에 관한 당사국 견해에 대한 통보인 의견</w:t>
      </w:r>
    </w:p>
    <w:p>
      <w:pPr>
        <w:ind w:left="0" w:firstLine="0" w:hanging="0"/>
        <w:jc w:val="left"/>
      </w:pPr>
      <w:r>
        <w:rPr>
          <w:rFonts w:ascii="Times New Roman" w:hAnsi="굴림체" w:cs="굴림체" w:eastAsia="굴림체"/>
          <w:sz w:val="24"/>
        </w:rPr>
        <w:t>7.1 2019년 5월 8일, 통보인은 본안에 대한 당사국의 견해에 대해 자신의 의견을 제출했다. 통보인은 당사국이 해당 진정의 증거능력에 대해 이의를 제기하지 않았다고 지적했다.</w:t>
      </w:r>
    </w:p>
    <w:p>
      <w:pPr>
        <w:ind w:left="0" w:firstLine="0" w:hanging="0"/>
        <w:jc w:val="left"/>
      </w:pPr>
      <w:r>
        <w:rPr>
          <w:rFonts w:ascii="Times New Roman" w:hAnsi="굴림체" w:cs="굴림체" w:eastAsia="굴림체"/>
          <w:sz w:val="24"/>
        </w:rPr>
        <w:t>7.2 통보인은 당사국이 통보인의 재정 문제와 관련하여 통보인의 이익이 고려되도록 보장하기 위한 모든 적절하고 효과적인 조치를 취하지 않았으며, 이는 장애인권리협약 제3조, 제12조 제4항과 제5항을 위반한 것임을 거듭 주장한다.</w:t>
      </w:r>
    </w:p>
    <w:p>
      <w:pPr>
        <w:ind w:left="0" w:firstLine="0" w:hanging="0"/>
        <w:jc w:val="left"/>
      </w:pPr>
      <w:r>
        <w:rPr>
          <w:rFonts w:ascii="Times New Roman" w:hAnsi="굴림체" w:cs="굴림체" w:eastAsia="굴림체"/>
          <w:sz w:val="24"/>
        </w:rPr>
        <w:t>7.3 통보인은 후견인의 진술에 이의를 제기한다. 통보인은 후견인이 보험 계약에 대해 통보인의 의견을 구하려고 시도했다는 주장은 사실이 아니라고 주장한다. 후견인이나 후견 당국이 후견 종료 전에 통보인에게 보험 채권 및 계약서 사본을 제공하지 않았다는 사실이 이를 입증한다. 또한 통보인은 자신의 상태 때문에 자신의 의견을 표명할 수 없었다는 후견인의 주장에 대해서도 이의를 제기한다. 생명보험 계약 체결 당시 통보인은 42세였으며 건강 상태가 양호했고 지금도 여전히 양호한 상태이다. 통보인은 자신의 장례에 대한 보장을 제공한다는 보험의 목적이 자신의 이익에 반하는 무책임한 재정적 결정이었다고 주장한다. 통보인은 일반적으로 장례 준비가 필요한 사람은 친척이 없는 고령자 또는 심각하거나 치명적인 신체 질환을 가진 사람이라고 설명한다. 통보인의 견해에 따르면, 당사국은 해당 계약이 통보인의 상황에 비추어 합리적인 결정이었다는 점을 입증하지 못했다. 후견인이 부담하는 재정적 부담이 비합리적이고 불필요하다는 점을 고려하면 이는 후견인의 권력 남용에 해당하며, 당사국은 이를 방지하지 못했다.</w:t>
      </w:r>
    </w:p>
    <w:p>
      <w:pPr>
        <w:ind w:left="0" w:firstLine="0" w:hanging="0"/>
        <w:jc w:val="left"/>
      </w:pPr>
      <w:r>
        <w:rPr>
          <w:rFonts w:ascii="Times New Roman" w:hAnsi="굴림체" w:cs="굴림체" w:eastAsia="굴림체"/>
          <w:sz w:val="24"/>
        </w:rPr>
        <w:t>7.4 통보인은 (인정하지는 않지만) 자신이 상당한 재산에 관한 중대한 결정에 대해 자신의 의견을 표명할 수 없었다고 가정하더라도, 후견인과 후견 당국은 통보인의 상태가 호전될 때까지 기다렸어야 한다고 주장한다. 당사국은 통보인의 재정 문제에 대한 결정권을 보장하기 위해 적절하고 효과적인 모든 조치를 취했음을 입증하지 못했다.</w:t>
      </w:r>
    </w:p>
    <w:p>
      <w:pPr>
        <w:ind w:left="0" w:firstLine="0" w:hanging="0"/>
        <w:jc w:val="center"/>
      </w:pPr>
      <w:r>
        <w:rPr>
          <w:rFonts w:ascii="Times New Roman" w:hAnsi="굴림체" w:cs="굴림체" w:eastAsia="굴림체"/>
          <w:sz w:val="24"/>
        </w:rPr>
        <w:t>당사국의 추가 견해</w:t>
      </w:r>
    </w:p>
    <w:p>
      <w:pPr>
        <w:ind w:left="0" w:firstLine="0" w:hanging="0"/>
        <w:jc w:val="left"/>
      </w:pPr>
      <w:r>
        <w:rPr>
          <w:rFonts w:ascii="Times New Roman" w:hAnsi="굴림체" w:cs="굴림체" w:eastAsia="굴림체"/>
          <w:sz w:val="24"/>
        </w:rPr>
        <w:t>8.1 2019년 7월 29일, 당사국은 추가 의견을 제출했다. 당사국은 통보인이 국내 구제책을 모두 완료하지 않았음을 재차 강조한다. 생명보험 계약이 유효하게 체결된 경우, 계약 체결 당시 통보인에게 법적 능력이 있었다면 적용될 조건에 따라 계약이 해지될 수 있다. 당사국은 후견 당국이 후견인에게 생명보험 계약 체결을 승인할 때 후견 당국이 적절하게 행동했는지 여부를 검토하는 것은 관할 법원의 권한 내에 있음을 강조한다.</w:t>
      </w:r>
    </w:p>
    <w:p>
      <w:pPr>
        <w:ind w:left="0" w:firstLine="0" w:hanging="0"/>
        <w:jc w:val="left"/>
      </w:pPr>
      <w:r>
        <w:rPr>
          <w:rFonts w:ascii="Times New Roman" w:hAnsi="굴림체" w:cs="굴림체" w:eastAsia="굴림체"/>
          <w:sz w:val="24"/>
        </w:rPr>
        <w:t>8.2 또한 당사국은 후견인이 통보인을 적절하고 전문적인 치료를 제공하는 거주 돌봄시설에 입소시켜 통보인이 이해 능력을 회복하도록 하여 통보인의 상태 개선에 기여했음을 거듭 강조한다.</w:t>
      </w:r>
    </w:p>
    <w:p>
      <w:pPr>
        <w:ind w:left="0" w:firstLine="0" w:hanging="0"/>
        <w:jc w:val="left"/>
      </w:pPr>
      <w:r>
        <w:rPr>
          <w:rFonts w:ascii="Times New Roman" w:hAnsi="굴림체" w:cs="굴림체" w:eastAsia="굴림체"/>
          <w:sz w:val="24"/>
        </w:rPr>
        <w:t>8.3 당사국은 또한 생명보험 계약 체결 절차에서 통보인이 행위능력을 완전히 제한하는 후견을 받고 있었기 때문에 후견인이 통보인의 의견을 구할 수 없었음을 강조한다.</w:t>
      </w:r>
    </w:p>
    <w:p>
      <w:pPr>
        <w:ind w:left="0" w:firstLine="0" w:hanging="0"/>
        <w:jc w:val="left"/>
      </w:pPr>
      <w:r>
        <w:rPr>
          <w:rFonts w:ascii="Times New Roman" w:hAnsi="굴림체" w:cs="굴림체" w:eastAsia="굴림체"/>
          <w:sz w:val="24"/>
        </w:rPr>
        <w:t>8.4 당사국은 국내 구제책을 모두 거치지 않았으며, 어떠한 경우에도 지정된 후견인이 자산을 관리할 때 통보인의 이익을 충분히 고려하였다고 결론짓는다.</w:t>
      </w:r>
    </w:p>
    <w:p>
      <w:pPr>
        <w:ind w:left="0" w:firstLine="0" w:hanging="0"/>
        <w:jc w:val="center"/>
      </w:pPr>
      <w:r>
        <w:rPr>
          <w:rFonts w:ascii="Times New Roman" w:hAnsi="굴림체" w:cs="굴림체" w:eastAsia="굴림체"/>
          <w:sz w:val="24"/>
        </w:rPr>
        <w:t>당사국 추가 견해에 대한 통보인 의견</w:t>
      </w:r>
    </w:p>
    <w:p>
      <w:pPr>
        <w:ind w:left="0" w:firstLine="0" w:hanging="0"/>
        <w:jc w:val="left"/>
      </w:pPr>
      <w:r>
        <w:rPr>
          <w:rFonts w:ascii="Times New Roman" w:hAnsi="굴림체" w:cs="굴림체" w:eastAsia="굴림체"/>
          <w:sz w:val="24"/>
        </w:rPr>
        <w:t>9.1 2019년 11월 18일, 통보인은 당사국의 추가 견해에 대한 자신의 의견을 제출하였다. 통보인은 당사국이 언급한 민법 제2조 37항 제4호 및 제5호에 따른 절차는 회계 자료 제출의 부정 또는 누락으로 인한 진정만 다루고 본인의 사건은 이에 해당하지 않기 때문에 효과적인 구제 수단이 아니므로 국내 구제 수단이 완료되었음을 다시 한번 강조한다. 통보인의 의사와 선호가 완전히 무시되었고, 그 결과 통보인이 자신의 재정 문제를 관리하거나 최소한 처리하는 데 있어 발언권을 행사할 수 없었으며 이에 대한 국내 구제책이 없었다.</w:t>
      </w:r>
    </w:p>
    <w:p>
      <w:pPr>
        <w:ind w:left="0" w:firstLine="0" w:hanging="0"/>
        <w:jc w:val="left"/>
      </w:pPr>
      <w:r>
        <w:rPr>
          <w:rFonts w:ascii="Times New Roman" w:hAnsi="굴림체" w:cs="굴림체" w:eastAsia="굴림체"/>
          <w:sz w:val="24"/>
        </w:rPr>
        <w:t>9.2 장례 서비스를 보장하는 생명보험이 통보인의 호전에 기여했다는 당사국의 주장에 대해, 통보인은 이 주장이 명백히 근거가 없다고 주장한다. 통보인은 약화된 정신 상태(정신장애)로부터의 회복과 생명보험 계약의 존재 사이에 직접적인 연관성을 입증할 수 없다고 주장한다. “일반적인 합리성"은 별론으로 하더라도, 통보인은 후견인이 재정에 대한 최종 회계를 제출할 때까지 자신이 계약의 존재조차 알지 못했다는 점을 통해서 생명보험과 통보인의 상태 호전 사이에 연관성이 없다는 점을 입증한다고 설명한다.</w:t>
      </w:r>
    </w:p>
    <w:p>
      <w:pPr>
        <w:ind w:left="0" w:firstLine="0" w:hanging="0"/>
        <w:jc w:val="left"/>
      </w:pPr>
      <w:r>
        <w:rPr>
          <w:rFonts w:ascii="Times New Roman" w:hAnsi="굴림체" w:cs="굴림체" w:eastAsia="굴림체"/>
          <w:sz w:val="24"/>
        </w:rPr>
        <w:t>9.3 통보인은 후견인의 활동이 통보인의 복지에 기여했다는 당사국의 주장에 이의를 제기하지 않는다. 그러나 통보인은 자신의 진정 내용이 후견인에 대한 전반적인 평가가 아니라 생명보험 계약에 대한 협의가 부족했다는 점에 근거한 것이라고 설명한다. 통보인은 생명 보험에 지출 한 돈이 자신의 저축의 상당 부분을 차지한다고 강조한다.</w:t>
      </w:r>
    </w:p>
    <w:p>
      <w:pPr>
        <w:ind w:left="0" w:firstLine="0" w:hanging="0"/>
        <w:jc w:val="left"/>
      </w:pPr>
      <w:r>
        <w:rPr>
          <w:rFonts w:ascii="Times New Roman" w:hAnsi="굴림체" w:cs="굴림체" w:eastAsia="굴림체"/>
          <w:sz w:val="24"/>
        </w:rPr>
        <w:t>9.4 통보인은 자신의 건강 상태 때문에 의견을 구할 수 없었다는 당사국의 주장을 뒷받침할 의무 기록이 없다고 주장한다. 통보인이 후견 보호를 받았다는 사실만으로는 당사국의 주장을 뒷받침하기에 충분하지 않다. 통보인은 자신이 받은 치료로 인해 자신의 건강 상태가 만족스러웠다고 설명한다. 주요 재정적 결정에 관여할 권리가 건강상태에 달려서는 안 되며, 장애인권리협약이나 민법에 그러한 조건이 규정되어 있지도 않다.</w:t>
      </w:r>
    </w:p>
    <w:p>
      <w:pPr>
        <w:ind w:left="0" w:firstLine="0" w:hanging="0"/>
        <w:jc w:val="left"/>
      </w:pPr>
      <w:r>
        <w:rPr>
          <w:rFonts w:ascii="Times New Roman" w:hAnsi="굴림체" w:cs="굴림체" w:eastAsia="굴림체"/>
          <w:sz w:val="24"/>
        </w:rPr>
        <w:t>9.5 통보인은 후견 당국이 장애인 장례비 보장을 위한 생명보험 가입에 있어 표준 절차를 준수했다는 당사국의 진술에 이의를 제기하지 않는다. 하지만 그렇다고 해서 통보인과 협의하지 않아도 되는 것을 의미하지는 않는다. 통보인은 계약 체결 당시 자신의 나이가 42세에 불과했고 2012년에 자신에 대한 후견 선임이 사법 검토 중이었다고 재차 강조한다. 통보인은 자신과 비슷한 연령대에서 비슷한 재정적 수준을 가진 사람들 중에서 장례비 보장을 위한 생명보험에 가입한 사람이 많지 않을 것이라 생각한다. 또한, 후견인 선임 기간이 제한되어 있으므로, 통보인 자신이 완전한 능력을 회복할 것이라는 기본 가정이 우선적으로 적용되었어야 한다고 주장한다. 통보인은 장애인이 불치병에 걸리거나 나이가 많은 경우가 아니라면 장례비를 보장하는 생명보험이 장애인을 위한 합리적이고 타당한 조치로 볼 수 없다고 주장한다.</w:t>
      </w:r>
    </w:p>
    <w:p>
      <w:pPr>
        <w:ind w:left="0" w:firstLine="0" w:hanging="0"/>
        <w:jc w:val="left"/>
      </w:pPr>
      <w:r>
        <w:rPr>
          <w:rFonts w:ascii="Times New Roman" w:hAnsi="굴림체" w:cs="굴림체" w:eastAsia="굴림체"/>
          <w:sz w:val="24"/>
        </w:rPr>
        <w:t>9.6 통보인은 당사국이 진정의 핵심 주장, 즉 협의의 부재에 대해 이의를 제기하지 않는다고 결론지었다. 통보인은 협약 제12조 제4항 및 제5항, 민법이 모두 장애인의 재정적 이익과 관련하여 학대를 방지하기 위해 당사국에 당사자와 협의할 의무를 부여하고 있다고 강조한다. 보험 계약에 대한 결정은 통보인의 의지 및 선호와 관계없이 내려졌으며 생명 보험은 통보인의 복지를 지원하지 않았다.</w:t>
      </w:r>
    </w:p>
    <w:p>
      <w:pPr>
        <w:ind w:left="0" w:firstLine="0" w:hanging="0"/>
        <w:jc w:val="center"/>
      </w:pPr>
      <w:r>
        <w:rPr>
          <w:rFonts w:ascii="Times New Roman" w:hAnsi="굴림체" w:cs="굴림체" w:eastAsia="굴림체"/>
          <w:sz w:val="24"/>
        </w:rPr>
        <w:t>B. 위원회의 쟁점 및 절차</w:t>
      </w:r>
    </w:p>
    <w:p>
      <w:pPr>
        <w:ind w:left="0" w:firstLine="0" w:hanging="0"/>
        <w:jc w:val="center"/>
      </w:pPr>
      <w:r>
        <w:rPr>
          <w:rFonts w:ascii="Times New Roman" w:hAnsi="굴림체" w:cs="굴림체" w:eastAsia="굴림체"/>
          <w:sz w:val="24"/>
        </w:rPr>
        <w:t>심리적격 심사</w:t>
      </w:r>
    </w:p>
    <w:p>
      <w:pPr>
        <w:ind w:left="0" w:firstLine="0" w:hanging="0"/>
        <w:jc w:val="left"/>
      </w:pPr>
      <w:r>
        <w:rPr>
          <w:rFonts w:ascii="Times New Roman" w:hAnsi="굴림체" w:cs="굴림체" w:eastAsia="굴림체"/>
          <w:sz w:val="24"/>
        </w:rPr>
        <w:t>10.1 위원회는 통보 내용을 검토하기 이전에 선택의정서 제2조 및 위원회 절차규칙 제65조에 근거해 해당 사건이 선택의정서에 따른 해당 사례의 심리가능 여부를 결정해야 한다.</w:t>
      </w:r>
    </w:p>
    <w:p>
      <w:pPr>
        <w:ind w:left="0" w:firstLine="0" w:hanging="0"/>
        <w:jc w:val="left"/>
      </w:pPr>
      <w:r>
        <w:rPr>
          <w:rFonts w:ascii="Times New Roman" w:hAnsi="굴림체" w:cs="굴림체" w:eastAsia="굴림체"/>
          <w:sz w:val="24"/>
        </w:rPr>
        <w:t>10.2 위원회는 선택의정서 제2조 제c호에 따라 위원회가 동일한 사안을 이전에 검토하지 않았으며, 해당 사건에 대해 기타 국제 조사나 합의 절차가 이루어지고 있지 않음을 확인하였다.</w:t>
      </w:r>
    </w:p>
    <w:p>
      <w:pPr>
        <w:ind w:left="0" w:firstLine="0" w:hanging="0"/>
        <w:jc w:val="left"/>
      </w:pPr>
      <w:r>
        <w:rPr>
          <w:rFonts w:ascii="Times New Roman" w:hAnsi="굴림체" w:cs="굴림체" w:eastAsia="굴림체"/>
          <w:sz w:val="24"/>
        </w:rPr>
        <w:t>10.3 위원회는 당사국의 관할 법원이 통보인의 후견인에게 통보인을 대신하여 계약을 체결할 권한을 부여할 때 후견인이 생명보험 계약을 체결하는 과정에서 적절하게 행동했는지 여부를 검토하는 것은 당사국 관할 법원의 역할이므로, 통보인이 이용 가능한 국내 구제수단을 모두 소진하지 않았다는 당사국의 주장에 주목한다. 위원회는 통보인이 1년의 소멸시효 기간 내에 전 후견인을 상대로 민사 소송을 제기할 수 있었으나 그렇게 하지 않았다는 당사국의 주장에 주목한다. 그러나 위원회는 또한 다음과 같은 통보인의 논쟁의 여지가 없는 주장에 주목한다: (a) 국내법에 따라 후견인의 회계자료 제출에 부정이나 누락이 있거나 후견인의 불법 행위로 인해 금전적 손해가 발생한 경우에만 당사자는 후견인을 상대로 소송을 제기할 수 있으며, (b) 통보인의 경우 후견인의 행위가 사기라고 주장하거나 보험 계약의 적법성에 이의를 제기하지 않으므로 앞서 설명한 구제책은 효과적이지 않다. (c) 생명보험 계약 체결과 관련하여 통보인과 상의하지 않았고 통보인의 의지와 선호가 고려되지 않았다는 진정 내용을 해결할 수 있는 국내 구제책이 존재하지 않았다. 또한, 위원회는 당사국이 통보인이 위원회에 진정을 하기 전 해당 사건을 해결하기 위해 사용할 수 있었던 국내 구제 수단을 명시하지 않았다는 점에 주목한다. 이러한 점을 고려할 때, 위원회는 통보인에게 효과적인 구제책이 제공되지 않았다고 판단하며, 통보인이 협약 제12조 제3항, 제4항, 제5항을 근거로 제기한 진정을 선택의정서 제2조 제d호에 따라 심리 가능하다고 인정한다.</w:t>
      </w:r>
    </w:p>
    <w:p>
      <w:pPr>
        <w:ind w:left="0" w:firstLine="0" w:hanging="0"/>
        <w:jc w:val="left"/>
      </w:pPr>
      <w:r>
        <w:rPr>
          <w:rFonts w:ascii="Times New Roman" w:hAnsi="굴림체" w:cs="굴림체" w:eastAsia="굴림체"/>
          <w:sz w:val="24"/>
        </w:rPr>
        <w:t>10.4 협약 제3조에 따른 통보인의 주장과 관련하여, 위원회는 이 조항의 일반적인 성격에 비추어 볼 때, 이 조항은 원칙적으로 독립적인 청구권을 발생시키지 않으며 협약에 따라 보장되는 다른 실체적 권리와 연계하여 청구할 수 있음을 지적한다. *4 ) 본 사건에서 위원회는 통보인이 협약 제3조에 따른 주장이 소명 부족으로 통보의 해당 부분이 선택의정서 제2조 제e호에 따라 심리부적격이라 판단한다.</w:t>
      </w:r>
    </w:p>
    <w:p>
      <w:pPr>
        <w:ind w:left="0" w:firstLine="0" w:hanging="0"/>
        <w:jc w:val="left"/>
      </w:pPr>
      <w:r>
        <w:rPr>
          <w:rFonts w:ascii="Times New Roman" w:hAnsi="굴림체" w:cs="굴림체" w:eastAsia="굴림체"/>
          <w:sz w:val="24"/>
        </w:rPr>
        <w:t>10.5 이에 따라, 위원회는 해당 사건의 증거능력에 대해 다른 장애물이 없으므로, 협약 제12조 제3항, 제4항, 제5항에 근거한 통보인의 진정을 심리가능한 것으로 선언하고 본안 심리를 진행한다.</w:t>
      </w:r>
    </w:p>
    <w:p>
      <w:pPr>
        <w:ind w:left="0" w:firstLine="0" w:hanging="0"/>
        <w:jc w:val="center"/>
      </w:pPr>
      <w:r>
        <w:rPr>
          <w:rFonts w:ascii="Times New Roman" w:hAnsi="굴림체" w:cs="굴림체" w:eastAsia="굴림체"/>
          <w:sz w:val="24"/>
        </w:rPr>
        <w:t>본안 판단</w:t>
      </w:r>
    </w:p>
    <w:p>
      <w:pPr>
        <w:ind w:left="0" w:firstLine="0" w:hanging="0"/>
        <w:jc w:val="left"/>
      </w:pPr>
      <w:r>
        <w:rPr>
          <w:rFonts w:ascii="Times New Roman" w:hAnsi="굴림체" w:cs="굴림체" w:eastAsia="굴림체"/>
          <w:sz w:val="24"/>
        </w:rPr>
        <w:t>11.1 위원회는 선택의정서 제5조 및 위원회 운영규칙 제73조 제1항에 따라 접수한 모든 정보에 비추어 통보를 심사했다.</w:t>
      </w:r>
    </w:p>
    <w:p>
      <w:pPr>
        <w:ind w:left="0" w:firstLine="0" w:hanging="0"/>
        <w:jc w:val="left"/>
      </w:pPr>
      <w:r>
        <w:rPr>
          <w:rFonts w:ascii="Times New Roman" w:hAnsi="굴림체" w:cs="굴림체" w:eastAsia="굴림체"/>
          <w:sz w:val="24"/>
        </w:rPr>
        <w:t>11.2 본 사건에서 위원회가 판단해야 할 문제는 후견인이 통보인을 대신하여 생명보험 계약을 체결하도록 허용한 후견 당국의 결정이 협약 제12조 제3항, 제4항, 제5항에 따른 통보인의 권리를 침해하는지 여부이다. 위원회는 생명보험 계약 체결 전에 후견인이 통보인과 상의하지 않았으며 통보인의 의지와 선호가 고려되지 않았다는 통보인의 주장에 주목한다.</w:t>
      </w:r>
    </w:p>
    <w:p>
      <w:pPr>
        <w:ind w:left="0" w:firstLine="0" w:hanging="0"/>
        <w:jc w:val="left"/>
      </w:pPr>
      <w:r>
        <w:rPr>
          <w:rFonts w:ascii="Times New Roman" w:hAnsi="굴림체" w:cs="굴림체" w:eastAsia="굴림체"/>
          <w:sz w:val="24"/>
        </w:rPr>
        <w:t>11.3 위원회는 통보인의 행위능력을 완전히 제한하는 후견의 존재와 계약 체결 당시의 통보인의 상태 때문에 통보인의 의견을 구할 수 없었다는 당사국의 설명에 주목한다. 또한 위원회는 통보인을 대신하여 후견인이 생명보험 계약을 체결한 이유가 통보인의 가족 갈등과 통보인의 친척들이 통보인이 사망할 시 적절한 장례를 치르는데 동의하지 않았기 때문이라는 당사국의 주장에도 주목한다. 그러나 위원회는 후견 당국이 보험 계약 체결을 승인하는 문서에는 이러한 사유가 포함되어 있지 않다는 통보인의 주장에도 주목한다.</w:t>
      </w:r>
    </w:p>
    <w:p>
      <w:pPr>
        <w:ind w:left="0" w:firstLine="0" w:hanging="0"/>
        <w:jc w:val="left"/>
      </w:pPr>
      <w:r>
        <w:rPr>
          <w:rFonts w:ascii="Times New Roman" w:hAnsi="굴림체" w:cs="굴림체" w:eastAsia="굴림체"/>
          <w:sz w:val="24"/>
        </w:rPr>
        <w:t>11.4 위원회는 또한 통보인이 계약 체결 당시 42세에 불과했고, 건강 상태가 양호했으며, 당시 즉각적인 사망 위험이 없었다는 점에 주목한다. 위원회는 더 나아가 통보인이 치료를 받으며 전반적으로 상태가 호전되었다는 점에 주목한다. 위원회는 또한 장례에 대한 보장을 제공하는 것이 유일한 목적인 보험 계약의 체결이 자신의 이익에 반하는 무책임한 재정적 결정이었다는 통보인의 진술에 주목한다. 위원회는 통보인이 계약에 따라 보험을 환매할 권리가 있지만 전액을 회수할 수 없으므로 월 203달러의 연금만 받는 통보인에게는 상당한 손실이 될 수 있다고 지적한다. 위원회는 이러한 모든 상황을 고려해 봤을 때 당사국이 통보인을 대신하여 생명 보험 계약을 체결해야 하는 긴급성이나 필요성을 설명하지 않았다고 판단한다.</w:t>
      </w:r>
    </w:p>
    <w:p>
      <w:pPr>
        <w:ind w:left="0" w:firstLine="0" w:hanging="0"/>
        <w:jc w:val="left"/>
      </w:pPr>
      <w:r>
        <w:rPr>
          <w:rFonts w:ascii="Times New Roman" w:hAnsi="굴림체" w:cs="굴림체" w:eastAsia="굴림체"/>
          <w:sz w:val="24"/>
        </w:rPr>
        <w:t>11.5 위원회는 협약 제12조에 따라 당사국이 장애인이 삶의 모든 측면에서 비장애인과 동등한 법적 능력을 향유하도록 보장해야 한다고 지적한다. 협약 제12조 제4항에 따라 당사국은 법적 능력 행사와 관련된 모든 조치가 국제 인권법에 따라 학대를 방지하기 위한 적절하고 효과적인 보호 장치를 제공하도록 보장해야 할 의무가 있다. 이러한 보호 장치를 통해 법적 능력 행사와 관련된 조치가 당사자의 권리, 의지 및 선호를 존중하고, 이해 상충 및 부당한 영향을 받지 않으며, 당사자의 상황을 고려하고, 가능한 최단 기간 안에 적용되며, 권한 있고 독립적이고 공정한 기관 또는 사법 기관의 정기적으로 검토하도록 보장해야 한다. 위원회는 또한 협약 제12조 제5항에 따라 당사국은 장애인에게 자신의 재정 문제를 관리할 동등한 권리를 보장하기 위해 모든 적절하고 효과적인 조치를 취할 의무가 있음을 지적한다.</w:t>
      </w:r>
    </w:p>
    <w:p>
      <w:pPr>
        <w:ind w:left="0" w:firstLine="0" w:hanging="0"/>
        <w:jc w:val="left"/>
      </w:pPr>
      <w:r>
        <w:rPr>
          <w:rFonts w:ascii="Times New Roman" w:hAnsi="굴림체" w:cs="굴림체" w:eastAsia="굴림체"/>
          <w:sz w:val="24"/>
        </w:rPr>
        <w:t>11.6 위원회는 일반논평 제1호의 단락 21에 따라, 상당한 노력을 기울였음에도 불구하고 개인의 의지와 선호도를 파악하는 것이 현실적으로 불가능한 경우, "의지와 선호도에 대한 최선의 해석"이 "최선의 이익" 결정을 대체해야 한다는 점을 강조한다. 이는 제12조 제4항에 따라 개인의 권리, 의지 및 선호를 존중하는 것이다. "최선의 이익" 원칙은 (번역자 추가 - 장애를 가진) 성인에 대하여 협약 제12조를 준수하는 안전장치가 아니다. 장애인이 비장애인과 동등하게 법적 능력에 대한 권리를 누리기 위해서는 "의지와 선호" 패러다임이 "최선의 이익" 패러다임을 대체해야 한다. 이와 관련하여, 위원회는 당사국이 통보인의 의지와 선호도를 파악하기 위한 또는 의지와 선호도에 대한 최선의 해석을 하기 위한 상당한 노력을 기울였음을 입증하지 못했다고 판단한다.</w:t>
      </w:r>
    </w:p>
    <w:p>
      <w:pPr>
        <w:ind w:left="0" w:firstLine="0" w:hanging="0"/>
        <w:jc w:val="left"/>
      </w:pPr>
      <w:r>
        <w:rPr>
          <w:rFonts w:ascii="Times New Roman" w:hAnsi="굴림체" w:cs="굴림체" w:eastAsia="굴림체"/>
          <w:sz w:val="24"/>
        </w:rPr>
        <w:t>11.7 위원회는 또한 후견 당국과 후견인의 절차가 당사국이 장애인이 법적 능력을 행사하는 데 필요한 지원에 대한 접근을 제공할 의무를 명시하고 있는 협약 제12조 제3항을 위반했다는 통보인의 주장에 주목한다. 위원회는 당사국에게 장애인이 법적 능력을 행사할 수 있도록 어떤 절차적 장치를 마련할지에 대하여 어느 정도의 재량권이 있지만, *5 ) 절차적 안전장치와 당사자의 권리를 존중해야 한다는 의견이다. 이와 관련하여, 위원회는 당사국의 최초 보고서에 대한 최종견해에서 민법 및 관련 법률의 현행 검토 절차를 효과적으로 활용하여 대리 의사결정에서 당사자의 자율성을 존중하는 지원 의사결정으로 전환하기 위해 후견을 완화하는 즉각적인 조치를 취할 것을 권고했음을 지적한다. 지원 의사결정은 당사자의 의지와 선호를 존중하는 것이며 치료에 대한 사전 동의를 제공하거나 철회하고, 사법에 접근하고, 투표하고, 결혼하고, 일하고, 거주지를 선택할 수 있는 개인의 권리를 포함하여 협약 제12조에 완전히 부합하는 조치이다. *6 ) 위원회는 통보인의 경우 계약 체결 당시 행위 능력이 완전히 제한되어 있었기 때문에 재정 문제와 관련하여 자신의 권리를 행사할 수 있는 기회나 지원 또는 필요한 편의를 제공받지 못했다는 점에 주목한다.</w:t>
      </w:r>
    </w:p>
    <w:p>
      <w:pPr>
        <w:ind w:left="0" w:firstLine="0" w:hanging="0"/>
        <w:jc w:val="left"/>
      </w:pPr>
      <w:r>
        <w:rPr>
          <w:rFonts w:ascii="Times New Roman" w:hAnsi="굴림체" w:cs="굴림체" w:eastAsia="굴림체"/>
          <w:sz w:val="24"/>
        </w:rPr>
        <w:t>11.8 위 사항을 고려할 때, 위원회는 후견 당국이 통보인의 의지 또는 선호도를 파악하거나 통보인의 의지 및 선호도에 대한 "최선의 해석"을 하기 위한 상당한 노력을 기울이지 않고 통보인의 후견인에게 통보인을 대신하여 생명보험 계약을 체결할 권한을 부여한 것이 협약 제12조 제3항, 제4항, 제5항에 따른 권리를 침해하였다고 판단한다.</w:t>
      </w:r>
    </w:p>
    <w:p>
      <w:pPr>
        <w:ind w:left="0" w:firstLine="0" w:hanging="0"/>
        <w:jc w:val="center"/>
      </w:pPr>
      <w:r>
        <w:rPr>
          <w:rFonts w:ascii="Times New Roman" w:hAnsi="굴림체" w:cs="굴림체" w:eastAsia="굴림체"/>
          <w:sz w:val="24"/>
        </w:rPr>
        <w:t>C. 결론 및 권고</w:t>
      </w:r>
    </w:p>
    <w:p>
      <w:pPr>
        <w:ind w:left="0" w:firstLine="0" w:hanging="0"/>
        <w:jc w:val="left"/>
      </w:pPr>
      <w:r>
        <w:rPr>
          <w:rFonts w:ascii="Times New Roman" w:hAnsi="굴림체" w:cs="굴림체" w:eastAsia="굴림체"/>
          <w:sz w:val="24"/>
        </w:rPr>
        <w:t>12. 위원회는 선택의정서 제5조에 따른 심의 결과 당사국이 협약 제12조 제3항, 제4항, 제5항에 따른 의무를 이행하지 않았다고 판단한다. 따라서 위원회는 당사국에 다음과 같이 권고한다:</w:t>
      </w:r>
    </w:p>
    <w:p>
      <w:pPr>
        <w:ind w:left="0" w:firstLine="0" w:hanging="0"/>
        <w:jc w:val="left"/>
      </w:pPr>
      <w:r>
        <w:rPr>
          <w:rFonts w:ascii="Times New Roman" w:hAnsi="굴림체" w:cs="굴림체" w:eastAsia="굴림체"/>
          <w:sz w:val="24"/>
        </w:rPr>
        <w:t xml:space="preserve">  (a)통보인과 관련해 당사국은 다음을 행할 의무가 있다:</w:t>
      </w:r>
    </w:p>
    <w:p>
      <w:pPr>
        <w:ind w:left="0" w:firstLine="0" w:hanging="0"/>
        <w:jc w:val="left"/>
      </w:pPr>
      <w:r>
        <w:rPr>
          <w:rFonts w:ascii="Times New Roman" w:hAnsi="굴림체" w:cs="굴림체" w:eastAsia="굴림체"/>
          <w:sz w:val="24"/>
        </w:rPr>
        <w:t xml:space="preserve">		(i) 요청이 있는 경우 생명보험 계약의 재매입 지원을 포함한 효과적인 구제책을 제공하고, 통보 제기 과정에서 발생한 법적 비용과 협약에 따른 권리 침해에 대한 보상을 포함하여 재정적 손실에 대한 완전한 배상을 제공한다.</w:t>
      </w:r>
    </w:p>
    <w:p>
      <w:pPr>
        <w:ind w:left="0" w:firstLine="0" w:hanging="0"/>
        <w:jc w:val="left"/>
      </w:pPr>
      <w:r>
        <w:rPr>
          <w:rFonts w:ascii="Times New Roman" w:hAnsi="굴림체" w:cs="굴림체" w:eastAsia="굴림체"/>
          <w:sz w:val="24"/>
        </w:rPr>
        <w:t xml:space="preserve">		(ii) 이 견해를 공시하는 한편 모든 부문의 사람들이 이용할 수 있도록 접근 가능한 형식으로 이를 널리 배포한다.</w:t>
      </w:r>
    </w:p>
    <w:p>
      <w:pPr>
        <w:ind w:left="0" w:firstLine="0" w:hanging="0"/>
        <w:jc w:val="left"/>
      </w:pPr>
      <w:r>
        <w:rPr>
          <w:rFonts w:ascii="Times New Roman" w:hAnsi="굴림체" w:cs="굴림체" w:eastAsia="굴림체"/>
          <w:sz w:val="24"/>
        </w:rPr>
        <w:t xml:space="preserve">  (b) 일반사항으로 당사국은 다음과 같이 향후 유사한 위반을 방지하기 위한 조치를 취할 의무가 있다:</w:t>
      </w:r>
    </w:p>
    <w:p>
      <w:pPr>
        <w:ind w:left="0" w:firstLine="0" w:hanging="0"/>
        <w:jc w:val="left"/>
      </w:pPr>
      <w:r>
        <w:rPr>
          <w:rFonts w:ascii="Times New Roman" w:hAnsi="굴림체" w:cs="굴림체" w:eastAsia="굴림체"/>
          <w:sz w:val="24"/>
        </w:rPr>
        <w:t xml:space="preserve">		(i) 개인이 자신의 재정 문제를 스스로 관리할 수 있는 권리를 포함하여 협약 제12조를 완전히 준수하여, 대리 의사 결정에서 개인의 자율성, 의지 및 선호를 존중하는 지원 의사 결정으로 전환하기 위해 민법의 관련 조항을 폐지하는 등 후견제도를 완화하는 즉각적인 조치를 취한다.</w:t>
      </w:r>
    </w:p>
    <w:p>
      <w:pPr>
        <w:ind w:left="0" w:firstLine="0" w:hanging="0"/>
        <w:jc w:val="left"/>
      </w:pPr>
      <w:r>
        <w:rPr>
          <w:rFonts w:ascii="Times New Roman" w:hAnsi="굴림체" w:cs="굴림체" w:eastAsia="굴림체"/>
          <w:sz w:val="24"/>
        </w:rPr>
        <w:t xml:space="preserve">		(ii) 장애인 및 장애인 대표 단체와의 협의 및 협력을 통해 국가, 지역 및 지방 차원에서 공무원, 판사, 사회복지사 등 모든 행위자를 대상으로 장애인의 법적 능력 인정 및 지원 의사결정 메커니즘에 대한 적절하고 정기적인 교육이 제공되도록 보장한다. *7 )</w:t>
      </w:r>
    </w:p>
    <w:p>
      <w:pPr>
        <w:ind w:left="0" w:firstLine="0" w:hanging="0"/>
        <w:jc w:val="left"/>
      </w:pPr>
      <w:r>
        <w:rPr>
          <w:rFonts w:ascii="Times New Roman" w:hAnsi="굴림체" w:cs="굴림체" w:eastAsia="굴림체"/>
          <w:sz w:val="24"/>
        </w:rPr>
        <w:t>13. 선택의정서 제5조 및 위원회 절차규칙 제75조에 따라, 당사국은 본 견해 및 위원회 권고에 따라 취한 조치에 관한 정보를 포함하여 6개월 이내에 위원회에 서면 답변을 제출해야 한다.</w:t>
      </w:r>
    </w:p>
    <w:p>
      <w:pPr>
        <w:ind w:left="0" w:firstLine="0" w:hanging="0"/>
        <w:jc w:val="left"/>
      </w:pPr>
      <w:r>
        <w:rPr>
          <w:rFonts w:ascii="Times New Roman" w:hAnsi="굴림체" w:cs="굴림체" w:eastAsia="굴림체"/>
          <w:sz w:val="24"/>
        </w:rPr>
        <w:t/>
      </w:r>
    </w:p>
    <w:p>
      <w:pPr>
        <w:ind w:left="0" w:firstLine="0" w:hanging="0"/>
        <w:jc w:val="left"/>
      </w:pPr>
      <w:r>
        <w:rPr>
          <w:rFonts w:ascii="Times New Roman" w:hAnsi="굴림체" w:cs="굴림체" w:eastAsia="굴림체"/>
          <w:sz w:val="24"/>
        </w:rPr>
        <w:t>[ 각주 ]</w:t>
      </w:r>
    </w:p>
    <w:p>
      <w:pPr>
        <w:ind w:left="0" w:firstLine="0" w:hanging="0"/>
        <w:jc w:val="left"/>
      </w:pPr>
      <w:r>
        <w:rPr>
          <w:rFonts w:ascii="Times New Roman" w:hAnsi="굴림체" w:cs="굴림체" w:eastAsia="굴림체"/>
          <w:sz w:val="24"/>
        </w:rPr>
        <w:t>1. 국내 소송 절차에 대한 자세한 사항은 아래 단락 4.4 내지 4.6 참조.</w:t>
      </w:r>
    </w:p>
    <w:p>
      <w:pPr>
        <w:ind w:left="0" w:firstLine="0" w:hanging="0"/>
        <w:jc w:val="left"/>
      </w:pPr>
      <w:r>
        <w:rPr>
          <w:rFonts w:ascii="Times New Roman" w:hAnsi="굴림체" w:cs="굴림체" w:eastAsia="굴림체"/>
          <w:sz w:val="24"/>
        </w:rPr>
        <w:t>2. CRPD/C/HUN/CO/1, 단락 26.</w:t>
      </w:r>
    </w:p>
    <w:p>
      <w:pPr>
        <w:ind w:left="0" w:firstLine="0" w:hanging="0"/>
        <w:jc w:val="left"/>
      </w:pPr>
      <w:r>
        <w:rPr>
          <w:rFonts w:ascii="Times New Roman" w:hAnsi="굴림체" w:cs="굴림체" w:eastAsia="굴림체"/>
          <w:sz w:val="24"/>
        </w:rPr>
        <w:t>3. CRPD/C/HUN/QPR/2-3, 단락 16.</w:t>
      </w:r>
    </w:p>
    <w:p>
      <w:pPr>
        <w:ind w:left="0" w:firstLine="0" w:hanging="0"/>
        <w:jc w:val="left"/>
      </w:pPr>
      <w:r>
        <w:rPr>
          <w:rFonts w:ascii="Times New Roman" w:hAnsi="굴림체" w:cs="굴림체" w:eastAsia="굴림체"/>
          <w:sz w:val="24"/>
        </w:rPr>
        <w:t>4. Bacher v. Austria (CRPD/C/19/D/26/2014), 단락 8.11 및 Beasley v. Australia (CRPD/C/15/D/11/2013), 단락 7.5 참조.</w:t>
      </w:r>
    </w:p>
    <w:p>
      <w:pPr>
        <w:ind w:left="0" w:firstLine="0" w:hanging="0"/>
        <w:jc w:val="left"/>
      </w:pPr>
      <w:r>
        <w:rPr>
          <w:rFonts w:ascii="Times New Roman" w:hAnsi="굴림체" w:cs="굴림체" w:eastAsia="굴림체"/>
          <w:sz w:val="24"/>
        </w:rPr>
        <w:t>5. Medina Vela v. Mexico (CRPD/C/22/D/32/2015), 단락 10.6 및 Jungelin v. Sweden (CRPD/C/12/D/5/2011), 단락 10.5 참조.</w:t>
      </w:r>
    </w:p>
    <w:p>
      <w:pPr>
        <w:ind w:left="0" w:firstLine="0" w:hanging="0"/>
        <w:jc w:val="left"/>
      </w:pPr>
      <w:r>
        <w:rPr>
          <w:rFonts w:ascii="Times New Roman" w:hAnsi="굴림체" w:cs="굴림체" w:eastAsia="굴림체"/>
          <w:sz w:val="24"/>
        </w:rPr>
        <w:t>6. CRPD/C/HUN/CO/1, 단락 26 및 CRPD/C/HUN/IR/1, 단락 110 참조.</w:t>
      </w:r>
    </w:p>
    <w:p>
      <w:pPr>
        <w:ind w:left="0" w:firstLine="0" w:hanging="0"/>
        <w:jc w:val="left"/>
      </w:pPr>
      <w:r>
        <w:rPr>
          <w:rFonts w:ascii="Times New Roman" w:hAnsi="굴림체" w:cs="굴림체" w:eastAsia="굴림체"/>
          <w:sz w:val="24"/>
        </w:rPr>
        <w:t>7. CRPD/C/HUN/CO/1, 단락 26.</w:t>
      </w:r>
    </w:p>
    <w:sectPr w:rsidR="00B859F1" w:rsidRPr="00373904" w:rsidSect="00400010">
      <w:headerReference w:type="default" r:id="rId6"/>
      <w:footerReference w:type="default" r:id="rId7"/>
      <w:pgSz w:w="11906" w:h="16838"/>
      <w:pgMar w:top="1701" w:right="1440" w:bottom="1560" w:left="1440" w:header="851" w:footer="144" w:gutter="0"/>
      <w:cols w:space="425"/>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C269D" w:rsidRDefault="00BC269D" w:rsidP="00400010">
      <w:pPr>
        <w:spacing w:after="0" w:line="240" w:lineRule="auto"/>
      </w:pPr>
      <w:r>
        <w:separator/>
      </w:r>
    </w:p>
  </w:endnote>
  <w:endnote w:type="continuationSeparator" w:id="0">
    <w:p w:rsidR="00BC269D" w:rsidRDefault="00BC269D" w:rsidP="0040001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맑은 고딕">
    <w:panose1 w:val="020B0503020000020004"/>
    <w:charset w:val="81"/>
    <w:family w:val="modern"/>
    <w:pitch w:val="variable"/>
    <w:sig w:usb0="9000002F" w:usb1="29D77CFB" w:usb2="00000012" w:usb3="00000000" w:csb0="00080001" w:csb1="00000000"/>
  </w:font>
  <w:font w:name="Times New Roman">
    <w:panose1 w:val="02020603050405020304"/>
    <w:charset w:val="00"/>
    <w:family w:val="roman"/>
    <w:pitch w:val="variable"/>
    <w:sig w:usb0="E0002AFF" w:usb1="C0007843" w:usb2="00000009" w:usb3="00000000" w:csb0="000001FF" w:csb1="00000000"/>
  </w:font>
  <w:font w:name="굴림체">
    <w:panose1 w:val="020B0609000101010101"/>
    <w:charset w:val="81"/>
    <w:family w:val="modern"/>
    <w:pitch w:val="fixed"/>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Fonts w:ascii="굴림체" w:eastAsia="굴림체" w:hAnsi="굴림체"/>
        <w:szCs w:val="20"/>
      </w:rPr>
      <w:id w:val="975031199"/>
      <w:docPartObj>
        <w:docPartGallery w:val="Page Numbers (Bottom of Page)"/>
        <w:docPartUnique/>
      </w:docPartObj>
    </w:sdtPr>
    <w:sdtEndPr/>
    <w:sdtContent>
      <w:sdt>
        <w:sdtPr>
          <w:rPr>
            <w:rFonts w:ascii="굴림체" w:eastAsia="굴림체" w:hAnsi="굴림체"/>
            <w:szCs w:val="20"/>
          </w:rPr>
          <w:id w:val="-1769616900"/>
          <w:docPartObj>
            <w:docPartGallery w:val="Page Numbers (Top of Page)"/>
            <w:docPartUnique/>
          </w:docPartObj>
        </w:sdtPr>
        <w:sdtEndPr/>
        <w:sdtContent>
          <w:p w:rsidR="00400010" w:rsidRPr="00400010" w:rsidRDefault="00400010">
            <w:pPr>
              <w:pStyle w:val="a5"/>
              <w:jc w:val="right"/>
              <w:rPr>
                <w:rFonts w:ascii="굴림체" w:eastAsia="굴림체" w:hAnsi="굴림체"/>
                <w:szCs w:val="20"/>
              </w:rPr>
            </w:pPr>
            <w:r w:rsidRPr="00400010">
              <w:rPr>
                <w:rFonts w:ascii="굴림체" w:eastAsia="굴림체" w:hAnsi="굴림체"/>
                <w:szCs w:val="20"/>
                <w:lang w:val="ko-KR"/>
              </w:rPr>
              <w:t xml:space="preserve">페이지 </w:t>
            </w:r>
            <w:r w:rsidRPr="00400010">
              <w:rPr>
                <w:rFonts w:ascii="굴림체" w:eastAsia="굴림체" w:hAnsi="굴림체"/>
                <w:b/>
                <w:bCs/>
                <w:szCs w:val="20"/>
              </w:rPr>
              <w:fldChar w:fldCharType="begin"/>
            </w:r>
            <w:r w:rsidRPr="00400010">
              <w:rPr>
                <w:rFonts w:ascii="굴림체" w:eastAsia="굴림체" w:hAnsi="굴림체"/>
                <w:b/>
                <w:bCs/>
                <w:szCs w:val="20"/>
              </w:rPr>
              <w:instrText>PAGE</w:instrText>
            </w:r>
            <w:r w:rsidRPr="00400010">
              <w:rPr>
                <w:rFonts w:ascii="굴림체" w:eastAsia="굴림체" w:hAnsi="굴림체"/>
                <w:b/>
                <w:bCs/>
                <w:szCs w:val="20"/>
              </w:rPr>
              <w:fldChar w:fldCharType="separate"/>
            </w:r>
            <w:r w:rsidRPr="00400010">
              <w:rPr>
                <w:rFonts w:ascii="굴림체" w:eastAsia="굴림체" w:hAnsi="굴림체"/>
                <w:b/>
                <w:bCs/>
                <w:szCs w:val="20"/>
                <w:lang w:val="ko-KR"/>
              </w:rPr>
              <w:t>2</w:t>
            </w:r>
            <w:r w:rsidRPr="00400010">
              <w:rPr>
                <w:rFonts w:ascii="굴림체" w:eastAsia="굴림체" w:hAnsi="굴림체"/>
                <w:b/>
                <w:bCs/>
                <w:szCs w:val="20"/>
              </w:rPr>
              <w:fldChar w:fldCharType="end"/>
            </w:r>
            <w:r w:rsidRPr="00400010">
              <w:rPr>
                <w:rFonts w:ascii="굴림체" w:eastAsia="굴림체" w:hAnsi="굴림체"/>
                <w:szCs w:val="20"/>
                <w:lang w:val="ko-KR"/>
              </w:rPr>
              <w:t xml:space="preserve"> / </w:t>
            </w:r>
            <w:r w:rsidRPr="00400010">
              <w:rPr>
                <w:rFonts w:ascii="굴림체" w:eastAsia="굴림체" w:hAnsi="굴림체"/>
                <w:b/>
                <w:bCs/>
                <w:szCs w:val="20"/>
              </w:rPr>
              <w:fldChar w:fldCharType="begin"/>
            </w:r>
            <w:r w:rsidRPr="00400010">
              <w:rPr>
                <w:rFonts w:ascii="굴림체" w:eastAsia="굴림체" w:hAnsi="굴림체"/>
                <w:b/>
                <w:bCs/>
                <w:szCs w:val="20"/>
              </w:rPr>
              <w:instrText>NUMPAGES</w:instrText>
            </w:r>
            <w:r w:rsidRPr="00400010">
              <w:rPr>
                <w:rFonts w:ascii="굴림체" w:eastAsia="굴림체" w:hAnsi="굴림체"/>
                <w:b/>
                <w:bCs/>
                <w:szCs w:val="20"/>
              </w:rPr>
              <w:fldChar w:fldCharType="separate"/>
            </w:r>
            <w:r w:rsidRPr="00400010">
              <w:rPr>
                <w:rFonts w:ascii="굴림체" w:eastAsia="굴림체" w:hAnsi="굴림체"/>
                <w:b/>
                <w:bCs/>
                <w:szCs w:val="20"/>
                <w:lang w:val="ko-KR"/>
              </w:rPr>
              <w:t>2</w:t>
            </w:r>
            <w:r w:rsidRPr="00400010">
              <w:rPr>
                <w:rFonts w:ascii="굴림체" w:eastAsia="굴림체" w:hAnsi="굴림체"/>
                <w:b/>
                <w:bCs/>
                <w:szCs w:val="20"/>
              </w:rPr>
              <w:fldChar w:fldCharType="end"/>
            </w:r>
          </w:p>
        </w:sdtContent>
      </w:sdt>
    </w:sdtContent>
  </w:sdt>
  <w:p w:rsidR="00400010" w:rsidRDefault="00400010">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C269D" w:rsidRDefault="00BC269D" w:rsidP="00400010">
      <w:pPr>
        <w:spacing w:after="0" w:line="240" w:lineRule="auto"/>
      </w:pPr>
      <w:r>
        <w:separator/>
      </w:r>
    </w:p>
  </w:footnote>
  <w:footnote w:type="continuationSeparator" w:id="0">
    <w:p w:rsidR="00BC269D" w:rsidRDefault="00BC269D" w:rsidP="0040001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00010" w:rsidRDefault="00400010">
    <w:pPr>
      <w:pStyle w:val="a4"/>
    </w:pPr>
    <w:r>
      <w:rPr>
        <w:noProof/>
      </w:rPr>
      <w:t xml:space="preserve">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800"/>
  <w:displayHorizontalDrawingGridEvery w:val="0"/>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2194"/>
    <w:rsid w:val="000A5B53"/>
    <w:rsid w:val="0027093F"/>
    <w:rsid w:val="00373904"/>
    <w:rsid w:val="00400010"/>
    <w:rsid w:val="004B71AE"/>
    <w:rsid w:val="00834127"/>
    <w:rsid w:val="008C77A6"/>
    <w:rsid w:val="00AA6F37"/>
    <w:rsid w:val="00B82194"/>
    <w:rsid w:val="00B859F1"/>
    <w:rsid w:val="00BC269D"/>
    <w:rsid w:val="00DA5FB2"/>
    <w:rsid w:val="00F614D5"/>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0D26E718-9928-4E2C-854A-C6FC0123A6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Cs w:val="22"/>
        <w:lang w:val="en-US" w:eastAsia="ko-KR" w:bidi="ar-SA"/>
      </w:rPr>
    </w:rPrDefault>
    <w:pPrDefault>
      <w:pPr>
        <w:spacing w:after="200" w:line="276" w:lineRule="auto"/>
        <w:ind w:left="403" w:hanging="301"/>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DA5FB2"/>
    <w:pPr>
      <w:spacing w:after="0" w:line="240" w:lineRule="auto"/>
    </w:pPr>
  </w:style>
  <w:style w:type="paragraph" w:styleId="a4">
    <w:name w:val="header"/>
    <w:basedOn w:val="a"/>
    <w:link w:val="Char"/>
    <w:uiPriority w:val="99"/>
    <w:unhideWhenUsed/>
    <w:rsid w:val="00400010"/>
    <w:pPr>
      <w:tabs>
        <w:tab w:val="center" w:pos="4513"/>
        <w:tab w:val="right" w:pos="9026"/>
      </w:tabs>
      <w:snapToGrid w:val="0"/>
    </w:pPr>
  </w:style>
  <w:style w:type="character" w:customStyle="1" w:styleId="Char">
    <w:name w:val="머리글 Char"/>
    <w:basedOn w:val="a0"/>
    <w:link w:val="a4"/>
    <w:uiPriority w:val="99"/>
    <w:rsid w:val="00400010"/>
  </w:style>
  <w:style w:type="paragraph" w:styleId="a5">
    <w:name w:val="footer"/>
    <w:basedOn w:val="a"/>
    <w:link w:val="Char0"/>
    <w:uiPriority w:val="99"/>
    <w:unhideWhenUsed/>
    <w:rsid w:val="00400010"/>
    <w:pPr>
      <w:tabs>
        <w:tab w:val="center" w:pos="4513"/>
        <w:tab w:val="right" w:pos="9026"/>
      </w:tabs>
      <w:snapToGrid w:val="0"/>
    </w:pPr>
  </w:style>
  <w:style w:type="character" w:customStyle="1" w:styleId="Char0">
    <w:name w:val="바닥글 Char"/>
    <w:basedOn w:val="a0"/>
    <w:link w:val="a5"/>
    <w:uiPriority w:val="99"/>
    <w:rsid w:val="0040001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Relationships xmlns="http://schemas.openxmlformats.org/package/2006/relationships"><Relationship Id="rId1" Target="styles.xml" Type="http://schemas.openxmlformats.org/officeDocument/2006/relationships/styles"/><Relationship Id="rId2" Target="settings.xml" Type="http://schemas.openxmlformats.org/officeDocument/2006/relationships/settings"/><Relationship Id="rId3" Target="webSettings.xml" Type="http://schemas.openxmlformats.org/officeDocument/2006/relationships/webSettings"/><Relationship Id="rId4" Target="footnotes.xml" Type="http://schemas.openxmlformats.org/officeDocument/2006/relationships/footnotes"/><Relationship Id="rId5" Target="endnotes.xml" Type="http://schemas.openxmlformats.org/officeDocument/2006/relationships/endnotes"/><Relationship Id="rId6" Target="header1.xml" Type="http://schemas.openxmlformats.org/officeDocument/2006/relationships/header"/><Relationship Id="rId7" Target="footer1.xml" Type="http://schemas.openxmlformats.org/officeDocument/2006/relationships/footer"/><Relationship Id="rId8" Target="fontTable.xml" Type="http://schemas.openxmlformats.org/officeDocument/2006/relationships/fontTable"/><Relationship Id="rId9" Target="theme/theme1.xml" Type="http://schemas.openxmlformats.org/officeDocument/2006/relationships/theme"/></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맑은 고딕"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맑은 고딕"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18</TotalTime>
  <Pages>1</Pages>
  <Words>0</Words>
  <Characters>0</Characters>
  <Application>Microsoft Office Word</Application>
  <DocSecurity>0</DocSecurity>
  <Lines>0</Lines>
  <Paragraphs>0</Paragraphs>
  <ScaleCrop>false</ScaleCrop>
  <HeadingPairs>
    <vt:vector size="2" baseType="variant">
      <vt:variant>
        <vt:lpstr>제목</vt:lpstr>
      </vt:variant>
      <vt:variant>
        <vt:i4>1</vt:i4>
      </vt:variant>
    </vt:vector>
  </HeadingPairs>
  <TitlesOfParts>
    <vt:vector size="1" baseType="lpstr">
      <vt:lpstr/>
    </vt:vector>
  </TitlesOfParts>
  <Company/>
  <LinksUpToDate>false</LinksUpToDate>
  <CharactersWithSpaces>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2023-08-25T10:12:00Z</dcterms:created>
  <dc:creator>beintech</dc:creator>
  <cp:lastModifiedBy>user</cp:lastModifiedBy>
  <dcterms:modified xsi:type="dcterms:W3CDTF">2023-11-01T02:27:00Z</dcterms:modified>
  <cp:revision>10</cp:revision>
</cp:coreProperties>
</file>