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개인통보(2021): 그라너 셀록 vs 호주</w:t>
      </w:r>
    </w:p>
    <w:p>
      <w:pPr>
        <w:ind w:left="0" w:firstLine="0" w:hanging="0"/>
        <w:jc w:val="center"/>
      </w:pPr>
      <w:r>
        <w:rPr>
          <w:rFonts w:ascii="Times New Roman" w:hAnsi="굴림체" w:cs="굴림체" w:eastAsia="굴림체"/>
          <w:sz w:val="24"/>
        </w:rPr>
        <w:t>CRPD Individual Communication(2021): Grainne Sherlock vs Australia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개인통보(20/2014)</w:t>
      </w:r>
    </w:p>
    <w:p>
      <w:pPr>
        <w:ind w:left="0" w:firstLine="0" w:hanging="0"/>
        <w:jc w:val="right"/>
      </w:pPr>
      <w:r>
        <w:rPr>
          <w:rFonts w:ascii="Times New Roman" w:hAnsi="굴림체" w:cs="굴림체" w:eastAsia="굴림체"/>
          <w:sz w:val="24"/>
        </w:rPr>
        <w:t>CRPD/C/24/D/20/2014</w:t>
      </w:r>
    </w:p>
    <w:p>
      <w:pPr>
        <w:ind w:left="0" w:firstLine="0" w:hanging="0"/>
        <w:jc w:val="right"/>
      </w:pPr>
      <w:r>
        <w:rPr>
          <w:rFonts w:ascii="Times New Roman" w:hAnsi="굴림체" w:cs="굴림체" w:eastAsia="굴림체"/>
          <w:sz w:val="24"/>
        </w:rPr>
        <w:t>위반 - 4, 5, 18</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2021. 4. 30.</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그라너 셀록(Grainne Sherlock) (호주장애인법센터(Australian Centre for Disability Law)가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호주</w:t>
      </w:r>
    </w:p>
    <w:p>
      <w:pPr>
        <w:ind w:left="0" w:firstLine="0" w:hanging="0"/>
        <w:jc w:val="left"/>
      </w:pPr>
      <w:r>
        <w:rPr>
          <w:rFonts w:ascii="Times New Roman" w:hAnsi="굴림체" w:cs="굴림체" w:eastAsia="굴림체"/>
          <w:sz w:val="24"/>
        </w:rPr>
        <w:t>제출일: 2014-02-24</w:t>
      </w:r>
    </w:p>
    <w:p>
      <w:pPr>
        <w:ind w:left="0" w:firstLine="0" w:hanging="0"/>
        <w:jc w:val="left"/>
      </w:pPr>
      <w:r>
        <w:rPr>
          <w:rFonts w:ascii="Times New Roman" w:hAnsi="굴림체" w:cs="굴림체" w:eastAsia="굴림체"/>
          <w:sz w:val="24"/>
        </w:rPr>
        <w:t>참고문서: 특별보고관 규칙 70 결정, 2014년 6월 13일 당사국에 전송함(문서 형태로 발행되지 않음)</w:t>
      </w:r>
    </w:p>
    <w:p>
      <w:pPr>
        <w:ind w:left="0" w:firstLine="0" w:hanging="0"/>
        <w:jc w:val="left"/>
      </w:pPr>
      <w:r>
        <w:rPr>
          <w:rFonts w:ascii="Times New Roman" w:hAnsi="굴림체" w:cs="굴림체" w:eastAsia="굴림체"/>
          <w:sz w:val="24"/>
        </w:rPr>
        <w:t>채택일: 2019. 3. 19.</w:t>
      </w:r>
    </w:p>
    <w:p>
      <w:pPr>
        <w:ind w:left="0" w:firstLine="0" w:hanging="0"/>
        <w:jc w:val="left"/>
      </w:pPr>
      <w:r>
        <w:rPr>
          <w:rFonts w:ascii="Times New Roman" w:hAnsi="굴림체" w:cs="굴림체" w:eastAsia="굴림체"/>
          <w:sz w:val="24"/>
        </w:rPr>
        <w:t>주제: 취업 비자 획득 관련 장애를 이유로 한 차별</w:t>
      </w:r>
    </w:p>
    <w:p>
      <w:pPr>
        <w:ind w:left="0" w:firstLine="0" w:hanging="0"/>
        <w:jc w:val="left"/>
      </w:pPr>
      <w:r>
        <w:rPr>
          <w:rFonts w:ascii="Times New Roman" w:hAnsi="굴림체" w:cs="굴림체" w:eastAsia="굴림체"/>
          <w:sz w:val="24"/>
        </w:rPr>
        <w:t>절차쟁점: 관할권</w:t>
      </w:r>
    </w:p>
    <w:p>
      <w:pPr>
        <w:ind w:left="0" w:firstLine="0" w:hanging="0"/>
        <w:jc w:val="left"/>
      </w:pPr>
      <w:r>
        <w:rPr>
          <w:rFonts w:ascii="Times New Roman" w:hAnsi="굴림체" w:cs="굴림체" w:eastAsia="굴림체"/>
          <w:sz w:val="24"/>
        </w:rPr>
        <w:t>본안쟁점: 이동의 자유, 거주지 선택의 자유, 취업 비자 접근성에 대한 장애를 이유로 한 차별</w:t>
      </w:r>
    </w:p>
    <w:p>
      <w:pPr>
        <w:ind w:left="0" w:firstLine="0" w:hanging="0"/>
        <w:jc w:val="left"/>
      </w:pPr>
      <w:r>
        <w:rPr>
          <w:rFonts w:ascii="Times New Roman" w:hAnsi="굴림체" w:cs="굴림체" w:eastAsia="굴림체"/>
          <w:sz w:val="24"/>
        </w:rPr>
        <w:t>관련조항: 제4조, 제5조, 제18조</w:t>
      </w:r>
    </w:p>
    <w:p>
      <w:pPr>
        <w:ind w:left="0" w:firstLine="0" w:hanging="0"/>
        <w:jc w:val="left"/>
      </w:pPr>
      <w:r>
        <w:rPr>
          <w:rFonts w:ascii="Times New Roman" w:hAnsi="굴림체" w:cs="굴림체" w:eastAsia="굴림체"/>
          <w:sz w:val="24"/>
        </w:rPr>
        <w:t>선택의정서 관련조항: 제1조(1)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20/2014</w:t>
      </w:r>
    </w:p>
    <w:p>
      <w:pPr>
        <w:ind w:left="0" w:firstLine="0" w:hanging="0"/>
        <w:jc w:val="left"/>
      </w:pPr>
      <w:r>
        <w:rPr>
          <w:rFonts w:ascii="Times New Roman" w:hAnsi="굴림체" w:cs="굴림체" w:eastAsia="굴림체"/>
          <w:sz w:val="24"/>
        </w:rPr>
        <w:t>1. 이 진정의 통보인은 1977년 1월 28일 출생한 아일랜드 국적의 그라너 셀록이다. 그녀는 당사국이 협약 제4조, 제5조, 제18조를 위반하여 피해자가 되었다고 주장한다. 선택 의정서는 2009년 9월 19일에 당사국을 위해 발효되었다. 대리인이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2001년에 다발성 경화증 진단을 받았다. 2008년부터 단일 클론 항체인 티사브리(Tysabri)를 1차 치료제로 처방받았다. 4주에 한 번 티사브리 주사를 맞을 때는 병원에 잠시 입원해야 한다. 그렇게 하면 증상 없이 건강을 유지할 수 있어서 통보인에게 매우 효과적인 치료법이다. 통보인은 결혼하여 두 자녀를 두고 있다.</w:t>
      </w:r>
    </w:p>
    <w:p>
      <w:pPr>
        <w:ind w:left="0" w:firstLine="0" w:hanging="0"/>
        <w:jc w:val="left"/>
      </w:pPr>
      <w:r>
        <w:rPr>
          <w:rFonts w:ascii="Times New Roman" w:hAnsi="굴림체" w:cs="굴림체" w:eastAsia="굴림체"/>
          <w:sz w:val="24"/>
        </w:rPr>
        <w:t>2.2 통보인은 소프트웨어 회사 오라클(Oracle)의 아일랜드 더블린 지사에서 고위 영업직원으로 일했다. 경기 침체가 한창이던 2012년 6월, 통보인은 고용 안정, 승진, 경력 발전의 기회를 제공할 수 있는, 오라클의 호주 멜버른 지사 고위직에 지원했다. 2012년 11월 5일 해당 직위를 제안받았고 2012년 11월 8일에 수락했다. 2012년 11월 30일, 임시 취업(기술) 비자(서브클래스 457 비자)를 받기 위해 호주 이민 및 시민권부에 온라인 신청서를 제출했다. 오라클이 통보인의 비자 신청을 보증하였다.</w:t>
      </w:r>
    </w:p>
    <w:p>
      <w:pPr>
        <w:ind w:left="0" w:firstLine="0" w:hanging="0"/>
        <w:jc w:val="left"/>
      </w:pPr>
      <w:r>
        <w:rPr>
          <w:rFonts w:ascii="Times New Roman" w:hAnsi="굴림체" w:cs="굴림체" w:eastAsia="굴림체"/>
          <w:sz w:val="24"/>
        </w:rPr>
        <w:t>2.3 신청 과정에서 통보인은 필요한 정보를 제공했다. 서브클래스 457 비자 신청자는 1994년 이민규칙(Migration Regulations)에 따라 공익기준(Public Interest Criterion) 4006A의 건강 요건을 충족해야 한다. 공익기준 4006A는 신청자로 하여금 비자 기간 동안 “호주 당국에 상당한 비용을 초래하거나 호주 시민권자 또는 영주권자의 의료 서비스 접근을 침해”하는 상황에서 비자 기간 동안 건강 관리 또는 지역사회 서비스를 필요로 할 가능성이 있는 질병이나 상태가를 방해할 수준”의 건강 돌봄 또는 지역사회 서비스가 필요한 질병이나 건강이상이 없어야 한다고 규정하고 있다. 이 같은 요건은 추천하는 고용주가 이와 관련된 모든 건강 관리 비용을 지불하기로 약속한 경우에는 면제될 수 있다. 또 통보인은 모든 서브클래스 457 비자 신청자에게 요구되는 사항으로, 부파(Bupa) 보험사의 ‘플래티넘 해외 방문자 보험’에 가입했다. 게다가 호주는 아일랜드와 건강 관리 상호 협정을 맺고 있어서 통보인은 호주 도착 시 메디케어에 등록할 자격이 있었다. 통보인이 메디케어에 등록할 수 있었다면 티사브리 비용을 보조받았을 것이고 민간 건강보험 가입 요건이 면제되었을 것이다.</w:t>
      </w:r>
    </w:p>
    <w:p>
      <w:pPr>
        <w:ind w:left="0" w:firstLine="0" w:hanging="0"/>
        <w:jc w:val="left"/>
      </w:pPr>
      <w:r>
        <w:rPr>
          <w:rFonts w:ascii="Times New Roman" w:hAnsi="굴림체" w:cs="굴림체" w:eastAsia="굴림체"/>
          <w:sz w:val="24"/>
        </w:rPr>
        <w:t>2.4 통보인은 비자를 신청할 때 다발성 경화증 진단을 받은 사실을 밝혔고, 나중에 호주 이민·시민부는 그녀의 질병을 ‘심한 의학적 건강이상’으로 간주했다. 2012년 12월 21일, 통보인은 이민·시민부의 요청에 따라 건강검진을 받았다. 2013년 1월 28일, 이민·시민부는 오라클의 ‘이민 대행업체’인 딜로이트(Deloitte)에 통보인이 건강 요건을 충족하지 못한다고 통보했다. 4년 동안 다발성 경화증 치료비가 약 97,000 호주달러로 추산되는데, 이는 ‘상당한 비용 한도’인 35,000 호주달러를 초과한다는 이유에서였다. 또 이민·시민부는 통보인이 호주에 체류하는 동안 다발성 경화증에 대한 모든 치료비와 약값을 지불할 것이라는 오라클의 추천자 보증(nominator undertaking)을 28일 이내에 제출하면 건강 요건 면제를 받을 수 있다고 통고했다. 통보인은 이 같은 내용을 오라클에 전달했다. 2013년 1월 31일, 통보인은 호주에서 발생한 비보험 건강 관리 비용을 개인적으로 부담하고 해당 금액을 급여에서 공제할 의사가 있다고 오라클과 딜로이트에 알렸다. 2013년 2월 1일, 이민·시민부는 호주 법이 그런 사적 합의를 허용하지 않는다고 딜로이트에 통보했다. 2013년 2월 15일, 오라클은 이런 규정이 적용될 경우 무한 책임이 따른다는 이유로 추천자 보증에 대한 서명을 거부했다. 2013년 2월 22일, 오라클은 통보인의 비자 신청과 멜버른 지사 발령을 철회했다.</w:t>
      </w:r>
    </w:p>
    <w:p>
      <w:pPr>
        <w:ind w:left="0" w:firstLine="0" w:hanging="0"/>
        <w:jc w:val="left"/>
      </w:pPr>
      <w:r>
        <w:rPr>
          <w:rFonts w:ascii="Times New Roman" w:hAnsi="굴림체" w:cs="굴림체" w:eastAsia="굴림체"/>
          <w:sz w:val="24"/>
        </w:rPr>
        <w:t>2.5 2013년 2월 19일, 통보인은 민간 병원에서 입원 치료를 받을 경우 티사브리 비용을 보험으로 충당할 수 있다는 것을 부파를 통해 확인했다. 게다가 부파 측은 임상적으로 입원이 필요할 경우 당일의 주사 치료비 등 병원비뿐만 아니라 호주의학협회가 정한 입원 치료비 요율의 100% 또는 담당 의사가 부파의 차액 보상 제도를 활용하여 청구한 치료비까지 보장할 것이라고 통보인에게 조언했다. 외래 치료비는 보험료의 150%까지 보상받을 수 있다고 했다. 통보인은 보험 적용 범위에 관한 정보를 오라클과 딜로이트에 전달했다. 또 2013년 5월 1일에는 서브클래스 457 비자 신청 거부와 자신의 질병을 이유로 한 차별을 우려하는 서신을 이민·시민부 장관에게 발송했다. 그 서신에서 통보인은 건강 요건 면제와 관련해 고용주의 요구에 더 잘 맞추기 위한 여러 합의문을 제시했고, 치료비와 약값은 개인 보험으로 충당할 수 있을 것이고, 이민·시민부는 그러한 사적 합의가 호주의 법률을 위반하는 것이라고 우려했다고 썼다. 그리고 장관이 이민·시민부의 조처가 합당한지 조사해달라고 요청했다.</w:t>
      </w:r>
    </w:p>
    <w:p>
      <w:pPr>
        <w:ind w:left="0" w:firstLine="0" w:hanging="0"/>
        <w:jc w:val="left"/>
      </w:pPr>
      <w:r>
        <w:rPr>
          <w:rFonts w:ascii="Times New Roman" w:hAnsi="굴림체" w:cs="굴림체" w:eastAsia="굴림체"/>
          <w:sz w:val="24"/>
        </w:rPr>
        <w:t>2.6 2013년 6월 14일, 이민·시민부 담당자는 통보인의 보험이 500 호주달러 이하로만 약값을 보장한다는 점, 그리고 다발성 경화증 등 통보인의 기존 질병과 관련하여 치료를 받으려면 대기 기간이 12개월이라는 점을 부파로부터 확인했다고 답변했다. 이에 대해, 통보인은 이민·시민부가 자신은 대기 기간 없이 잠시 입원 치료를 받을 것이고 보험사가 전액 보장할 것이라는 점을 고려하지 않았다고 주장한다. 또 이민·시민부는 서브클래스 457 비자 신청에 적용되는 규정이 고용주가 부담하기로 약속한 건강 관리 비용 지불과 관련하여 고용주와 직원이 체결한 사적 합의를 막지 않는다고 밝혔다. 통보인은 이 정보가 2013년 2월 1일 오라클과 딜로이트에 제공된 시민·이민부의 조언과 모순된다고 주장한다.</w:t>
      </w:r>
    </w:p>
    <w:p>
      <w:pPr>
        <w:ind w:left="0" w:firstLine="0" w:hanging="0"/>
        <w:jc w:val="left"/>
      </w:pPr>
      <w:r>
        <w:rPr>
          <w:rFonts w:ascii="Times New Roman" w:hAnsi="굴림체" w:cs="굴림체" w:eastAsia="굴림체"/>
          <w:sz w:val="24"/>
        </w:rPr>
        <w:t>2.7 통보인은 비자 신청 거부가 자신과 가족에게 부정적인 영향을 미쳤다고 주장한다. 통보인이 멜버른 발령을 수락한 후, 더블린에 있는 그녀의 고객들이 후임자에게 배정되었다. 통보인이 더블린 지사로 복귀한 후 첫 두 달 동안 자신이 맡을 고객이 없었고, 그 결과 2013년도 수입이 약 9,000 유로 감소했다. 또 통보인의 남편은 가족의 호주 이주를 준비하기 위해 2012년 12월 23일에 사업을 정리했다. 그래서 그는 4개월 동안 실직 상태였고, 비자 신청이 거부된 후 이전보다 소득이 낮은 일자리를 구할 수밖에 없었다. 또 통보인과 남편은 더블린에 있는 집을 임대하기로 계약하고 가구를 모두 처분했기 때문에, 임대 계약을 해지하느라 비용이 들었고 가구도 거의 남아있지 않았다. 큰딸은 예상치 못하게 입학 자격증 시험을 치러야 하는 등 학교에 복귀하느라 어려움을 겪었다. 가족의 이주 계획이 취소되면서 충격과 실망에 빠진 큰딸은 심한 스트레스와 불안을 겪었다. 통보인의 작은딸도 사회적으로 고립되었다. 더구나 통보인의 이주 계획은 여동생과 함께 준비한 것이었다. 2012년 12월 여동생과 그녀의 남편은 미리 뉴질랜드로 이주했고, 곧이어 통보인의 가족도 호주로 이주할 계획이었다. 통보인의 비자 신청이 거부되자 통보인은 여동생과 만나기가 매우 어려워졌다. 이 때문에 정서적, 심리적으로 심각한 문제가 생겨 통보인은 심리상담을 받아야 했다.</w:t>
      </w:r>
    </w:p>
    <w:p>
      <w:pPr>
        <w:ind w:left="0" w:firstLine="0" w:hanging="0"/>
        <w:jc w:val="left"/>
      </w:pPr>
      <w:r>
        <w:rPr>
          <w:rFonts w:ascii="Times New Roman" w:hAnsi="굴림체" w:cs="굴림체" w:eastAsia="굴림체"/>
          <w:sz w:val="24"/>
        </w:rPr>
        <w:t>2.8 국내 구제 절차 완료와 관련하여, 통보인은 오라클이 ‘추천자 보증’ 서명을 거부하고 멜버른 지사 발령을 철회함으로써 비자 신청이 종료되었다고 주장한다. 호주에서는 이러한 성격의 결정이나 행위를 1958년 이민법(Migration Act)으로 검토할 수 없다. 더욱이, 1992년 장애차별금지법 제1조, 제2조, 제2조A는 이민법 또는 이 법에 따라 제정된 규정의 차별 여부를 판단할 수 없고, 장애차별금지법은 이민법에 따라 허용 또는 요구되는 결정이나 행위를 불법화할 수 없다.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당사국이 협약 제4조제1항제a호~제e호, 제5조제2항, 제18조제1항에 따른 자신의 권리를 침해했다고 주장한다. 또 당사국에 이민을 신청했기 때문에 자신의 비자 신청과 관련된 사안은 당사국의 관할권에 속한다고 주장한다. 따라서 당사국은 그녀의 비자 신청을 차별 없이 처리할 의무가 있다는 것이다. 또 통보인은 협약 제4조제1항제a호~제e호, 제5조제2항, 제18조제1항에 따라 당사국이 장애를 이유로 한 차별을 금지하고, 이동의 자유 및 거주지 선택의 자유와 관련된 모든 차별을 금지하는 효과적인 법적 보호를 제공하기 위해 입법 등 적절한 모든 조치를 취할 의무가 있다고 주장한다.</w:t>
      </w:r>
    </w:p>
    <w:p>
      <w:pPr>
        <w:ind w:left="0" w:firstLine="0" w:hanging="0"/>
        <w:jc w:val="left"/>
      </w:pPr>
      <w:r>
        <w:rPr>
          <w:rFonts w:ascii="Times New Roman" w:hAnsi="굴림체" w:cs="굴림체" w:eastAsia="굴림체"/>
          <w:sz w:val="24"/>
        </w:rPr>
        <w:t>3.2 통보인은 당사국이 자신의 이동 및 거주지 선택의 자유에 대한 권리를 다른 사람과 동등하게 인정하지 않았다고 주장한다. 또 매달 특정한 약물을 처방받아야 하는 등 치료비로 인해 건강 요건을 충족하지 못했기 때문에 다른 사람과 동등하게 서브클래스 457 비자를 취득할 수 없었다고 주장한다. 자신과 같은 장애가 없는 비자 신청자라면, 그런 요건을 충족할 수 있어서 장래 고용주는 당사국에 건강 요건 면제 조건을 제시할 필요조차 없었을 것이라고 생각한다. 따라서 통보인은 당사국의 이민법이 장애를 이유로 자신을 명백히 차별했다고 생각한다.</w:t>
      </w:r>
    </w:p>
    <w:p>
      <w:pPr>
        <w:ind w:left="0" w:firstLine="0" w:hanging="0"/>
        <w:jc w:val="left"/>
      </w:pPr>
      <w:r>
        <w:rPr>
          <w:rFonts w:ascii="Times New Roman" w:hAnsi="굴림체" w:cs="굴림체" w:eastAsia="굴림체"/>
          <w:sz w:val="24"/>
        </w:rPr>
        <w:t>3.3 통보인은 당사국의 이민 관련 법률 및 규정이 정당한 목적으로 합리적, 객관적 기준에 따른 차별이 아닌 한 특정 신분을 근거로 비국적자를 차별할 수 없다고 지적한다. 공익기준 4006A에는 장애에 기초한 차등 대우를 정당화하는 적법한 목적이 존재하지 않는다. 첫째, 장애인뿐만 아니라 서브클래스 457 비자를 신청하는 모든 사람은 호주에서 발생할 수 있는 건강 비용을 충당할 수 있는 민간 건강보험에 가입해야 하기 때문에, 이 같은 차등은 합리적 또는 객관적 근거가 부족하다. 통보인은 이 요건을 충족했었다. 둘째, 통보인의 민간보험은 추가 건강 관리 비용을 충당할 수 있었고, 호주와 아일랜드는 건강 돌봄 상호 협정을 맺었기 때문에 필수 치료 비용은 메디케어가 보장한다. 따라서 호주에서 발생하는 모든 의료 비용은 이 상호 협정의 틀에서 해결된다. 또 통보인은 합리적 또는 객관적인 관점에서 볼 때, 호주 공중 보건 시스템에 대한 위협이 비자 신청 거부 또는 고용주의 건강 요건 서명 요구를 정당화하는 이유가 되지 못한다고 주장한다. 더욱이, 통보인의 호주 이주가 호주 국민의 공공 건강 돌봄 서비스 접근성을 침해하지 않을 것이다. 셋째, 치료의 차이를 근거로 한 비자 거부 결정은, 통보인과 그 가족이 호주 지역사회에 기여할 수 있는 기여도를 고려하지 않고 다발성 경화증 치료에 드는 예상 비용을 기준으로 한 것이어서 합리적이지 않다.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2015년 4월 27일, 당사국은 진정의 심리적격 및 본안에 대한 견해를 제출했다. 당사국은 선택의정서 제1조(1)의 목적상 통보인이 호주의 관할권에 있었던 적이 없다는 이유로 심사를 허용해서는 안 된다고 주장한다. 또 협약 제18조에 따른 통보인의 진정은 그녀가 합법적으로 호주 영토 안에 거주하고 있는 것이 아니라는 이유로 허용되어서는 안 된다고 주장한다. 위원회가 해당 진정의 심사를 허용하더라도 당사국은 소의 이익이 없다고 생각한다.</w:t>
      </w:r>
    </w:p>
    <w:p>
      <w:pPr>
        <w:ind w:left="0" w:firstLine="0" w:hanging="0"/>
        <w:jc w:val="left"/>
      </w:pPr>
      <w:r>
        <w:rPr>
          <w:rFonts w:ascii="Times New Roman" w:hAnsi="굴림체" w:cs="굴림체" w:eastAsia="굴림체"/>
          <w:sz w:val="24"/>
        </w:rPr>
        <w:t>4.2 당사국은 이 협약 또는 다른 국제법이 누군가가 한 나라에 입국하거나 거주할 권리를 부여하지 않는다고 적시한다. 또 서브클래스 457 비자 프로그램에 이민자 건강 요건을 부여하는 것은 합법적인 목적 달성을 위한 합법적인 차등 대우이고, 합리적이고 객관적인 기준에 기초하고, 그 목적에 비례하기 때문에 차별이 아니라고 주장한다.</w:t>
      </w:r>
    </w:p>
    <w:p>
      <w:pPr>
        <w:ind w:left="0" w:firstLine="0" w:hanging="0"/>
        <w:jc w:val="left"/>
      </w:pPr>
      <w:r>
        <w:rPr>
          <w:rFonts w:ascii="Times New Roman" w:hAnsi="굴림체" w:cs="굴림체" w:eastAsia="굴림체"/>
          <w:sz w:val="24"/>
        </w:rPr>
        <w:t>4.3 당사국은 서브클래스 457 비자 프로그램이 최대 4년 동안 해외 숙련 노동자를 보증하는 데 가장 일반적으로 사용된다고 지적한다. 이 프로그램에는 고용주의 요구에 따라 제한 없이 추진된다. 비자 신청자는 적절한 민간 건강보험을 포함한 특정한 요건만 갖추면 된다. 건강 돌봄 상호 협정 및 메디케어에 관한 통보인의 주장과 관련하여, 당사국은 통보인이 아일랜드 국적이어서 민간 건강보험 요건을 갖추기에 충분했을 것이라고 주장한다. 거의 모든 비자 신청자는 건강보험 요건에 더해 ‘이민자 건강 요건’을 갖추어야 한다. 이 요건을 갖추려면 신청자는 첫째 결핵이 없어야 하고, 둘째 호주의 공중 보건 또는 지역사회에 위협이 되거나 위협을 초래할 수 있는 질병 또는 상태가 없어야 하고, 셋째 (a) 건강 돌봄 및 지역사회 서비스 분야에서 호주 지역사회에 상당한 비용을 초래하거나 (b) 호주 시민권자나 영주권자의 건강 관리 또는 지역사회 서비스 접근에 악영향을 끼치는 건강 관리 또는 지역사회 서비스 제공과 관련이 있는 질병 또는 상태가 없어야 한다:</w:t>
      </w:r>
    </w:p>
    <w:p>
      <w:pPr>
        <w:ind w:left="0" w:firstLine="0" w:hanging="0"/>
        <w:jc w:val="left"/>
      </w:pPr>
      <w:r>
        <w:rPr>
          <w:rFonts w:ascii="Times New Roman" w:hAnsi="굴림체" w:cs="굴림체" w:eastAsia="굴림체"/>
          <w:sz w:val="24"/>
        </w:rPr>
        <w:t>4.4 당사국은 서브클래스 457 비자 신청에서 민간 건강보험 요건과 이민자 건강 요건은 별개이자 구분되는 것이고, 요건 두 가지를 모두 갖추어야 발급된다고 설명한다. 이민자 건강 요건을 갖추었는지를 평가할 때 비자 신청자가 어떤 건강보험에 가입했는지는 고려 대상이 아니다. 서브클래스 457 비자 프로그램은 고용주의 보증에만 기반한 것이어서 직원에게 발생하는 건강 비용은 호주 지역사회가 부담하지 않기 때문이다. 당사국은 민간보험이 의료비를 보장한다는 통보인의 주장은 근거가 없고, 민간보험과 이민자 건강 요건은 전혀 무관하다고 지적한다. 연방 의무관은 ‘가상 인물(hypothetical person)’ 심사를 통해 이민자 건강 요건을 심사하는데, 이때 신청자의 개인 재정 상황은 고려하지 않는다. 신청자와 동일한 중증 장애를 가진 가상의 신청자가 건강 돌봄 비용을 발생시키거나 의료 또는 다른 사유로 특정한 서비스를 요구할 가능성이 있을 경우, 의무관은 국가의 비용이 발생하고 서비스가 필요한 것으로 가정한다. 이러한 심사를 통해 당사국은 설령 신청자의 재정적 상황이 바뀌더라도 국가가 의료비를 책임질 의무가 없을 것이라고 판단한다.</w:t>
      </w:r>
    </w:p>
    <w:p>
      <w:pPr>
        <w:ind w:left="0" w:firstLine="0" w:hanging="0"/>
        <w:jc w:val="left"/>
      </w:pPr>
      <w:r>
        <w:rPr>
          <w:rFonts w:ascii="Times New Roman" w:hAnsi="굴림체" w:cs="굴림체" w:eastAsia="굴림체"/>
          <w:sz w:val="24"/>
        </w:rPr>
        <w:t>4.5 당사국은 대다수 유형의 임시 비자가 건강 요건을 면제할 수 없지만, 고용주가 모든 의료비를 보장하기로 약속하는 경우 서브클래스 457 비자 신청자의 건강 요건을 면제할 수 있다고 주장한다. 이는 고용주의 보증을 기반으로 하는 서브클래스 457 비자 프로그램의 특성이다. 호주 법률은 의료비 지불 또는 변제와 관련한 직원과 고용주의 사적 합의를 금지하지 않는다. 그럼에도 당사국은 그런 합의가 해당 비자 기준에 해당하지 않아서 검토의 대상이 될 수 없고, 고용주의 비용 부담을 법적으로 강제할 뿐이라고 한다. 통보인은 이민·시민부가 오라클과 딜로이트에 해당 합의가 법적으로 허용되지 않는다고 조언했다고 주장하는데, 당사국은 그런 조언을 한 사실을 인지하지 못하고 통보인의 주장에 근거가 없다고 판단한다.</w:t>
      </w:r>
    </w:p>
    <w:p>
      <w:pPr>
        <w:ind w:left="0" w:firstLine="0" w:hanging="0"/>
        <w:jc w:val="left"/>
      </w:pPr>
      <w:r>
        <w:rPr>
          <w:rFonts w:ascii="Times New Roman" w:hAnsi="굴림체" w:cs="굴림체" w:eastAsia="굴림체"/>
          <w:sz w:val="24"/>
        </w:rPr>
        <w:t>4.6 당사국은 통보인이 선택의정서 제1조제1항의 목적상 당사국의 관할권에 속하지 않고, 협약 제18조의 목적상 합법적으로 당사국 영토 안에 거주하고 있는 것이 아닌 한 통보인의 주장이 허용될 수 없다고 생각한다. 협약의 적용 범위를 정의한 제4조제5항에 따르면, 이 협약은 제한된 영토에만 적용된다. 당사국은 매우 제한적인 상황에서 역외 인권 의무를 수용한다는 것을 인정하지만, 이 사안은 그 기준에 부합하지 않는다고 생각한다. 또 자국민의 권리에 관한 사건 등 일부 사안에서는 자유권규약에 따른 관할권과 관련하여 진보적 접근법을 취하기도 한다고 지적한다. 하지만 이 사안의 경우 통보인과 그 가족은 다른 나라 국민이고 이전에 호주와 아무런 연관이 없었기 때문에 국제법에 따라 호주에 입국 또는 거주할 권리가 없다고 한다. 이와 관련하여 당사국은 인권위원회의 법리를 언급하는데, 자유권규약은 외국인이 규약 당사국의 영토에 입국 또는 거주할 권리를 인정하지 않는다. 원칙적으로, 누구를 자국 영토에 들일 것인지는 당사국이 결정할 사안이다. *1 ) 관할권은 한 개인에 대한 일정한 통제권을 의미하지만, 호주 이민법에 따르면 그 통제권은 비국적자의 행동에 영향을 줄 수 없고 원칙적으로 비자를 통한 입국 통제를 위한 법률적 틀로만 활용된다. 더욱이, 한 개인은 당사국 영토 밖에서 비자를 신청할 수 있을지언정 당사국의 관할권에 속하지는 않는다.</w:t>
      </w:r>
    </w:p>
    <w:p>
      <w:pPr>
        <w:ind w:left="0" w:firstLine="0" w:hanging="0"/>
        <w:jc w:val="left"/>
      </w:pPr>
      <w:r>
        <w:rPr>
          <w:rFonts w:ascii="Times New Roman" w:hAnsi="굴림체" w:cs="굴림체" w:eastAsia="굴림체"/>
          <w:sz w:val="24"/>
        </w:rPr>
        <w:t>4.7 당사국은 통보인이 합법적으로 자국 영토 안에 있지 않아서 협약 제18조에 따른 통보인의 주장은 허용되지 않는다고 주장한다. 협약은 새로운 인권을 생성하는 것이 아니라 장애인이 다른 사람과 동등하게 기존 권리를 향유할 수 있도록 하는 실질적인 의무를 비롯하여 장애인의 욕구를 충족하는 방식으로 기존 권리를 명시한다. 따라서 제18조는 기존 권리를 장애인에게 접근 가능한 방식으로 만들라고 명시한 것이다. 당사국은 자유권규약 제12조제1항에 따른 이동의 자유 및 거주지 선택의 자유에 대한 권리는 합법적으로 한 국가의 영토 안에 있는 사람에게만 적용된다고 주장한다. 당사국의 영토 안에 합법적으로 거주해야 한다는 요건이 협약 제18조에 명시적으로 포함되어 있지는 않지만, 당사국은 협약 제18조가 자유권규약 제12조의 권리를 반영하는 한 규약 제12조의 내재적 제한이 협약 제18조에도 적용된다고 주장한다.</w:t>
      </w:r>
    </w:p>
    <w:p>
      <w:pPr>
        <w:ind w:left="0" w:firstLine="0" w:hanging="0"/>
        <w:jc w:val="left"/>
      </w:pPr>
      <w:r>
        <w:rPr>
          <w:rFonts w:ascii="Times New Roman" w:hAnsi="굴림체" w:cs="굴림체" w:eastAsia="굴림체"/>
          <w:sz w:val="24"/>
        </w:rPr>
        <w:t>4.8 당사국은 위원회가 제18조에 따른 통보인의 주장의 청구 적격을 허용하더라도 그녀의 주장은 소의 이익이 없다고 적시한다. 또 협약 논의 과정을 되돌아보면 제18조가 신분 증명 서류 취득 또는 시민자격 인정 같은 문제를 해결하기 위해 만들어진 것이 분명하다고 한다. 제18조제1항제b호는 장애인이 다른 사람과 동등하게 그리고 동일한 제약 조건에 따라 비자를 신청하고 이민 심사를 받을 동등한 권리를 가져야 한다고 규정한다. 당사국은 이 조항이 장애인에게 호주의 시민권, 영주권, 또는 모든 종류의 비자를 취득할 수 있는 추가적인 권리를 부여하는 게 아니라고 한다.</w:t>
      </w:r>
    </w:p>
    <w:p>
      <w:pPr>
        <w:ind w:left="0" w:firstLine="0" w:hanging="0"/>
        <w:jc w:val="left"/>
      </w:pPr>
      <w:r>
        <w:rPr>
          <w:rFonts w:ascii="Times New Roman" w:hAnsi="굴림체" w:cs="굴림체" w:eastAsia="굴림체"/>
          <w:sz w:val="24"/>
        </w:rPr>
        <w:t>4.9 당사국은 장애인이 다른 사람과 동등하게 호주 이민 절차에 접근할 수 있기 때문에 협약 제18조에 따라 다른 사람과 동등하게 이동의 자유 및 거주지 선택의 자유를 향유한다고 주장한다. 이민자 건강 요건은 모든 서브클래스 457 비자 신청자에게 적용되고, 장애가 있거나 치료가 필요한 신청자도 다른 신청자와 동일한 요건으로 심사받는다고 한다. 또 장애나 의학적 상태 그 자체가 반드시 건강 요건을 충족하지 못하는 결과를 초래하는 것은 아니라고 한다.</w:t>
      </w:r>
    </w:p>
    <w:p>
      <w:pPr>
        <w:ind w:left="0" w:firstLine="0" w:hanging="0"/>
        <w:jc w:val="left"/>
      </w:pPr>
      <w:r>
        <w:rPr>
          <w:rFonts w:ascii="Times New Roman" w:hAnsi="굴림체" w:cs="굴림체" w:eastAsia="굴림체"/>
          <w:sz w:val="24"/>
        </w:rPr>
        <w:t>4.10 당사국은 협약이 국제인권법의 기존 원칙에 확고히 기반을 두고 있고, 정당한 차등 대우는 차별이 아니라는 국제법상 확립된 접근법에 따라 제4조 및 제5조를 해석해야 한다고 강조한다. *2 ) 또 차등 대우는 정당한 목적 달성을 위한 것이어야 하고, 합리적이고 객관적인 기준에 기초해야 하고, 달성하려는 목표에 비례해야 한다고 지적한다. *3 ) 호주는 제18조와 관련된 해석적 선언(interpretative declaration)에서 “장애인권리협약은 한 개인이 국적이 없는 나라에 입국 또는 체류할 수 있는 권리를 생성시키지 않고, 호주에 입국 또는 체류하려는 비국적자에 대한 호주의 합법적, 객관적, 합리적인 기준에 기초한 건강 요건에 영향을 주지 않는다”고 선언했다고 지적한다. 당사국은 호주의 이민 절차가 이민자 건강 요건 결여 등 특별한 경우에 사람을 차등 대우하지만, 장애를 이유로 어떤 사람을 직접적으로 차등 대우하지는 않는다고 주장한다. 이민자 건강 요건이 장애와 관련된 이유로 필요한 기준을 충족하지 못하는 일부 사람들에게 불균형적으로 영향을 줄 수 있다고 인정한다. 그렇지만 서브클래스 457 비자 신청자에게 적용되는 이민자 건강 요건은 정당한 차등 대우이기에 제4조 및 제5조에 따른 차별이 아니라고 주장한다.</w:t>
      </w:r>
    </w:p>
    <w:p>
      <w:pPr>
        <w:ind w:left="0" w:firstLine="0" w:hanging="0"/>
        <w:jc w:val="left"/>
      </w:pPr>
      <w:r>
        <w:rPr>
          <w:rFonts w:ascii="Times New Roman" w:hAnsi="굴림체" w:cs="굴림체" w:eastAsia="굴림체"/>
          <w:sz w:val="24"/>
        </w:rPr>
        <w:t>4.11 첫째, 당사국은 이민자 건강 요건이 정당한 목적을 달성하기 위한 것이라고 주장한다. 당사국의 주장에 따르면, 많은 나라들은 이민 법령을 만들기 훨씬 이전부터 국경에서 건강 및 보건 요건을 관리해 왔고, 대개 두 가지 목적으로 이민 법령을 제정했다. 하나는 감염병 확산 등 공중 보건에 대한 위협에서 지역사회를 보호하기 위해서고, 다른 하나는 이민자가 요구할 수 있는 건강 돌봄 또는 사회 서비스의 비용이나 수요를 줄여 자국의 건강 돌봄 체계를 보호하기 위해서다.</w:t>
      </w:r>
    </w:p>
    <w:p>
      <w:pPr>
        <w:ind w:left="0" w:firstLine="0" w:hanging="0"/>
        <w:jc w:val="left"/>
      </w:pPr>
      <w:r>
        <w:rPr>
          <w:rFonts w:ascii="Times New Roman" w:hAnsi="굴림체" w:cs="굴림체" w:eastAsia="굴림체"/>
          <w:sz w:val="24"/>
        </w:rPr>
        <w:t>4.12 둘째, 당사국은 서브클래스 457 비자 신청자의 건강 요건이 합리적이고 객관적인 기준에 기초한다고 적시한다. 대다수 임시 비자 신청서에 건강 관련 질문이 포함되어 있는데, 이는 신청자가 결핵 발병률이 높은 나라에 거주했는지, 그리고 호주에 체류하는 동안 건강 돌봄 비용을 발생시키거나 치료를 받아야 할 상황이 생길 것인지를 확인하기 위함이라고 한다. 신청자의 답변과 호주 이민 당국이 보유한 모든 정보를 종합하여 건강 검진이 필요한지를 심사한다고 한다. 심사 절차는 다음과 같다. 공인 의사와 방사선 전문가들이 건강 검진을 실시하고, 신청자의 의학적 상태가 중대하다고 판단할 경우에는 검진서를 연방 의무 담당관에게 보내 공익기준 4006A에 따른 건강 요건 충족 여부에 대한 의견을 구한다. 의무 담당관은 ‘가상 인물’ 심사를 통해 신청자의 건강 돌봄 및 지역사회 서비스 비용을 추정한다(위 4.5항 참조). 따라서 의무 담당관은 국가 간 건강 관리 상호 협정 여부나 신청자의 저축 금액 또는 민간 건강보험 관련 정보를 검토할 수 없다. 의무 담당관은 추정 비용을 산정한 다음 건강 관리 또는 지역사회 서비스 제공이 공익기준 4006A에 반하여 호주 지역사회에 상당한 비용을 초래할 가능성이 있는지를 결정한다. 이때 추정 비용과 비용 한도를 비교한다. 신청 당시 통보인에게 적용되는 한도는 35,000 호주달러였다. *4 )</w:t>
      </w:r>
    </w:p>
    <w:p>
      <w:pPr>
        <w:ind w:left="0" w:firstLine="0" w:hanging="0"/>
        <w:jc w:val="left"/>
      </w:pPr>
      <w:r>
        <w:rPr>
          <w:rFonts w:ascii="Times New Roman" w:hAnsi="굴림체" w:cs="굴림체" w:eastAsia="굴림체"/>
          <w:sz w:val="24"/>
        </w:rPr>
        <w:t>4.13 당사국은 해외 난민 및 인도적 비자 프로그램의 경우 이민자 건강 요건을 면제할 수 있다고 적시한다. 서브클래스 457 비자 신청자의 경우 이민자 건강 요건을 면제받으려면 고용주가 모든 의료비를 부담한다고 보증해야 한다고 지적한다(위의 4.6항 참조). 이는 고용주 보증에 기초한 비자 프로그램에 적용할 수 있는 합리적인 제한이고, 고용주는 직원의 모든 건강 관리 또는 지역사회 서비스 비용을 부담할 책임이 있다고 한다.</w:t>
      </w:r>
    </w:p>
    <w:p>
      <w:pPr>
        <w:ind w:left="0" w:firstLine="0" w:hanging="0"/>
        <w:jc w:val="left"/>
      </w:pPr>
      <w:r>
        <w:rPr>
          <w:rFonts w:ascii="Times New Roman" w:hAnsi="굴림체" w:cs="굴림체" w:eastAsia="굴림체"/>
          <w:sz w:val="24"/>
        </w:rPr>
        <w:t>4.14 셋째, 당사국은 해당 이민자 건강 요건이 당사국이 달성하고자 하는 목표에 비례한다고 주장한다. 건강 요건 제도는 “민감한 환자를 관리하기 위해 특정한 집단의 대규모 이민에 유연하게 대처하고 이민으로 인한 건강 비용 발생을 억제할 목적으로 구축되었다”. 당사국은 이 제도가 모든 비자 신청자에게 표준적인 건강 요건을 부과하는 동시에 일부 서브클래스 비자 신청자에게는 맞춤형 건강 요건 면제 및 필요할 경우 주무 부서 개입을 통해 동정심과 비용 억제 사이에서 실용적인 균형을 맞춘다고 주장한다.</w:t>
      </w:r>
    </w:p>
    <w:p>
      <w:pPr>
        <w:ind w:left="0" w:firstLine="0" w:hanging="0"/>
        <w:jc w:val="left"/>
      </w:pPr>
      <w:r>
        <w:rPr>
          <w:rFonts w:ascii="Times New Roman" w:hAnsi="굴림체" w:cs="굴림체" w:eastAsia="굴림체"/>
          <w:sz w:val="24"/>
        </w:rPr>
        <w:t>4.15 당사국은 건강 요건을 충족하지 못한 서브클래스 457 비자 신청자의 경우 고용주가 건강 비용을 책임지겠다고 보증하면 비자를 승인할 수 있다고 거듭 말한다. 이는 “일자리를 찾는 사람들의 자유로운 이동을 허용하는 것과 호주 시민권자 및 영주권자조차 부족할 수 있는 건강 돌봄 및 지역사회 서비스 접근성을 보장해야 하는 필요성 사이에서 효과적인 균형”을 유지하는 것이라고 한다.</w:t>
      </w:r>
    </w:p>
    <w:p>
      <w:pPr>
        <w:ind w:left="0" w:firstLine="0" w:hanging="0"/>
        <w:jc w:val="center"/>
      </w:pPr>
      <w:r>
        <w:rPr>
          <w:rFonts w:ascii="Times New Roman" w:hAnsi="굴림체" w:cs="굴림체" w:eastAsia="굴림체"/>
          <w:sz w:val="24"/>
        </w:rPr>
        <w:t>당사국 견해에 대한 통보인 의견</w:t>
      </w:r>
    </w:p>
    <w:p>
      <w:pPr>
        <w:ind w:left="0" w:firstLine="0" w:hanging="0"/>
        <w:jc w:val="left"/>
      </w:pPr>
      <w:r>
        <w:rPr>
          <w:rFonts w:ascii="Times New Roman" w:hAnsi="굴림체" w:cs="굴림체" w:eastAsia="굴림체"/>
          <w:sz w:val="24"/>
        </w:rPr>
        <w:t>5.1 2019년 10월 11일, 통보인은 당사국의 견해에 대한 자신의 의견을 제출했다. 통보인은 선택의정서 제1조의 “당사국의 관할권에 속한(subject to its jurisdiction)”이라는 문구를 당사국의 고유한 권력 및 권한의 범위와 관련하여 광범위하게 해석해야 하기 때문에 진정 접수 시점에 통보인은 당사국의 관할권에 속했다고 주장한다. 협약은 새로운 권리를 생성하는 것이 아니라 장애인이 법 앞에 평등할 권리를 보장하기 위한 요소들을 기술하기 때문에 자유권규약과 난민협약을 통해 선택의정서 제1조의 의미를 해석하는 것이 가능하다. 또 통보인은 조약법에 관한 비엔나 협약 제31조 *5 ) 를 참조하여 개인의 권리 및 존엄성을 인정하는 해석이 그렇게 하지 않은 해석에 우선한다고 주장한다. 관련 조항이 모호하거나 불분명하거나 또는 터무니없거나 불합리한 결과로 이어질 경우에는 조약의 제정 과정, 최종 결정 당시 상황 같은 보완적인 해석 수단으로 그 의미를 정의할 수 있다. *6 ) 통보인은 협약의 대상과 목적에 비추어 볼 때 “당사국의 관할권에 속한”이라는 문구는 당사국의 지리적 영역 밖에 있는 비시민권자의 상황도 포함되기 때문에 자신이 비자 신청을 접수하는 시점에 호주의 관할권 안에 있었다고 주장한다.</w:t>
      </w:r>
    </w:p>
    <w:p>
      <w:pPr>
        <w:ind w:left="0" w:firstLine="0" w:hanging="0"/>
        <w:jc w:val="left"/>
      </w:pPr>
      <w:r>
        <w:rPr>
          <w:rFonts w:ascii="Times New Roman" w:hAnsi="굴림체" w:cs="굴림체" w:eastAsia="굴림체"/>
          <w:sz w:val="24"/>
        </w:rPr>
        <w:t>5.2 통보인은 자유권규약 제2조제1항의 “당사국의 관할권에 속한”이라는 문구를 해당 행위가 자국의 영토 및 관할권 안에서 발생한 경우에만 국가의 의무가 발생하는 것으로 해석하는 것은 온당하지 않다고 주장한다. 그런 해석은 규약의 목적에 부합하지 않을뿐더러 조약법에 관한 비엔나 협약 제31조 및 제32조와 정면 충돌하여 명백하게 터무니없는 결과로 이어진다고 한다. 통보인은 국가의 관할권이 때론 영토 밖에서도 행사될 수 있고, 규약의 초안 작성자들의 취지는 국가가 영토 밖에서 관할권을 행사할 때 규약이 정한 의무가 면제되지 않는다는 것이라고 언급한 국제사법재판소의 결정을 인용한다. *7 ) 이와 관련하여 통보인은 당사국이 국가의 권력 또는 유효한 통제권(effective control) 안에 있는 모든 사람에게, 설령 그들이 영토 밖에 있더라도, 자유권규약이 정한 권리를 보장해야 한다는 자유권위원회 일반논평 제31호(2004년)를 언급한다. 통보인은 유효한 통제권의 기준이 새로운 기준, 즉 국가가 개인 *8 ) 에게 행사한 영향력을 역외 관할권 행사의 두 가지 형태 중 하나인 국가에 의한 권력 행사로 간주하는 새로운 기준으로 대체되었다고 지적한다. 이 새로운 기준은 ‘개인에 대한 권력’이라는 이전의 기준보다 더 넓은 범위에 적용된다고 주장한다. 또 통보인은 자유권규약이 정한 권리가 당사국 시민에게만 적용되는 것이 아니라 망명 신청자, 난민, 이주 노동자 등 국적 취득 여부와 무관하게 당사국의 영토 또는 관할권에 속한 모든 개인에게 적용되어야 한다고 지적한다. 또 이 원칙은 당사국의 권력 또는 유효한 통제권이 미치는 조건과 무관하게 자국 영토 밖에서 행사하는 당사국의 권력 또는 유효한 통제권 안에 있는 사람에게도 적용된다고 한다. *9 )</w:t>
      </w:r>
    </w:p>
    <w:p>
      <w:pPr>
        <w:ind w:left="0" w:firstLine="0" w:hanging="0"/>
        <w:jc w:val="left"/>
      </w:pPr>
      <w:r>
        <w:rPr>
          <w:rFonts w:ascii="Times New Roman" w:hAnsi="굴림체" w:cs="굴림체" w:eastAsia="굴림체"/>
          <w:sz w:val="24"/>
        </w:rPr>
        <w:t>5.3 통보인은 서브클래스 457 비자 프로그램은 인도주의를 고려하지 않고, 국제법상의 국가 주권 원칙에 따라 자유권규약은 당사국의 영토에 입국 또는 거주할 수 있는 외국인의 권리를 인정하지 않는 상황에서, “권력 또는 유효한 통제권 범위 안에” 있어야 한다는 조건은 비자 신청자가 충족하기에는 상대적으로 높은 진입 심사 기준(threshold test)이라고 적시한다. 누구를 자국 영토에 들일 것인지를 결정하는 것은 원칙적으로 당사국의 권한이지만 *10 ) , 당사국이 영토 밖 비국적자에 대한 관할권을 행사할 때 진입 심사 기준을 얼마나 높여야 할지를 고려해야 한다고 주장한다. 통보인은 호주 이민법의 유일한 목적이 비자 절차를 통해 비국적자의 행동을 통제하는 것이기 때문에 이민법이 비국적자의 행동에 영향을 주지 않는다는 당사국의 진술에 모순이 있다고 판단한다. 당사국이 서브클래스 457 비자를 발급하면 비국적자가 자국 영토에 입국할 수 있게 되지만 거부하면 입국이 제한된다. 통보인은 당사국의 영토에 거주하거나 국적을 취득하기 위해 당사국에 신청서를 제출한 사람은 당사국의 관할권에 속한다고 주장한다. 또 통보인이 생각하기에 비자 신청의 맥락에서 관할권 문제와 관련이 있다고 보는 유엔 자유권위원회와 유럽인권재판소 *11 ) 의 법리를 언급한다. 또 일반적으로 국가는 비시민권자의 영토 내 입국 문제 및 그 조건을 결정할 수 있지만, 그 과정에서 장애를 근거로 차별할 자격은 없다고 한다.</w:t>
      </w:r>
    </w:p>
    <w:p>
      <w:pPr>
        <w:ind w:left="0" w:firstLine="0" w:hanging="0"/>
        <w:jc w:val="left"/>
      </w:pPr>
      <w:r>
        <w:rPr>
          <w:rFonts w:ascii="Times New Roman" w:hAnsi="굴림체" w:cs="굴림체" w:eastAsia="굴림체"/>
          <w:sz w:val="24"/>
        </w:rPr>
        <w:t>5.4 통보인은 협약에는 영토에 관한 언급이 없고 국제 인권법을 보편적으로 준수해야 한다는 점을 고려할 때, 국가는 영토의 범위와 무관하게 협약의 의무를 이행해야 한다고 주장하고, 위원회도 일반논평 제1호(2014년)에서 이 입장을 지지했다고 언급한다. *12 ) 또 협약 제18조에 대한 당사국의 해석적 선언과 관련하여, 통보인은 그 선언이 국제법상 당사국의 의무에 영향을 주지 않는다고 주장한다.</w:t>
      </w:r>
    </w:p>
    <w:p>
      <w:pPr>
        <w:ind w:left="0" w:firstLine="0" w:hanging="0"/>
        <w:jc w:val="left"/>
      </w:pPr>
      <w:r>
        <w:rPr>
          <w:rFonts w:ascii="Times New Roman" w:hAnsi="굴림체" w:cs="굴림체" w:eastAsia="굴림체"/>
          <w:sz w:val="24"/>
        </w:rPr>
        <w:t>5.5 통보인은 제5조와 제18조를 연결하여 해석하면, 두 조항은 장애인이 다른 사람과 동등하게 차별 없이 거주지를 선택할 권리를 지지한다고 해석할 수 있다고 주장한다. 협약 제18조의 상위 조항인 자유권규약 제12조제1항은 국가의 의무를 더욱 폭넓게 해석하는 규약 제2조 및 제26조와 연결하여 해석해야 한다. 이와 관련하여, 통보인은 협약 제18조가 규약 제12조에 포함된 기존 권리만 명시한다는 당사국의 주장은 근거가 없다고 판단한다.</w:t>
      </w:r>
    </w:p>
    <w:p>
      <w:pPr>
        <w:ind w:left="0" w:firstLine="0" w:hanging="0"/>
        <w:jc w:val="left"/>
      </w:pPr>
      <w:r>
        <w:rPr>
          <w:rFonts w:ascii="Times New Roman" w:hAnsi="굴림체" w:cs="굴림체" w:eastAsia="굴림체"/>
          <w:sz w:val="24"/>
        </w:rPr>
        <w:t>5.6 통보인은 모든 사람이 자유권규약 제26조에 따른 법률에 따라 동등한 보호를 받을 자격이 있다면, 입국 허가 과정이 차별로부터 보호받을 권리를 침해해서는 안 된다고 주장한다. 규약 제26조를 폭넓게 해석하면, 국가는 주권이 미치는 국경에 대한 통제권을 행사할 권리가 있지만 그 권한을 행사할 때는 국적자와 비국적자를 차별하지 않는 방식으로 법률을 적용해야 한다. 또 통보인은 ‘협약은 준수되어야 한다(pacta sunt servanda)’는 원칙에 따라 국가의 차별금지 의무를 더욱 폭넓게 해석할 수 있다고 말한다.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 2020년 5월 29일, 당사국은 통보인의 의견에 대한 추가 견해를 제출했다. 여기서 당사국은 통보인이 선택의정서 제1조의 취지에 따라 당사국의 관할권에 속한 개인이라는 사실을 입증하지 못했다고 거듭 말한다. 당사국은 협약의 영토 범위는 선택의정서의 목적상 개인이 당사국의 관할권 안에 있는지를 판단하는 핵심이라고 주장하는데, 이는 협약의 범위가 기본적으로 영토에 기반한다는 최초 의견서의 주장을 반복한 것이다. 또 매우 제한된 상황에서는 역외에서 발생하는 인권조약에 대한 의무가 있다는 것을 인정한다고 지적한다. 당사국은 국제법에 따라 국가가 영토 밖 사람들에게 ‘유효한 통제권(effective control)’을 행사하기 위해 높은 수준의 통제권을 행사해야 하는데, 통보인의 경우는 이 기준치를 충족하지 못한다고 주장한다. 또 국가는 공무원들이 역외 개인에게 억류 또는 강제력을 행사하도록 하거나 신체 보호 조치를 취하도록 함으로써 유효한 통제권을 실질적으로 행사할 수 있다고 주장한다. 통보인은 비자 신청과 관련하여 호주 이민법을 적용한 것이 협약에 따른 인권조약 의무를 발생하기에 충분한 통제권 수준을 구성했다고 주장한다고 지적한다. 이 같은 통보인의 주장을 수용할 경우, 이는 해당 국가에 입국하기 위해 비자를 신청한 모든 개인에게 국가의 인권조약 의무가 발생한다는 급진적이고 지나치게 포괄적인 해석이라고 당사국은 적시한다. 이러한 결과는 국가는 비시민권자의 입국을 통제하고 누구를 자국 영토에 들일 것인지를 결정할 자격이 있다는 기존의 국제법 원칙에 위배된다고 한다. *13 )</w:t>
      </w:r>
    </w:p>
    <w:p>
      <w:pPr>
        <w:ind w:left="0" w:firstLine="0" w:hanging="0"/>
        <w:jc w:val="center"/>
      </w:pPr>
      <w:r>
        <w:rPr>
          <w:rFonts w:ascii="Times New Roman" w:hAnsi="굴림체" w:cs="굴림체" w:eastAsia="굴림체"/>
          <w:sz w:val="24"/>
        </w:rPr>
        <w:t>B. 위원회의 쟁점 및 절차</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7.1 진정에 포함된 주장을 검토하기 전에 위원회는 선택의정서 제2조와 의사규칙 제65조에 따라 해당 사건이 선택의정서에 따라 진정의 심리적격을 결정해야 한다.</w:t>
      </w:r>
    </w:p>
    <w:p>
      <w:pPr>
        <w:ind w:left="0" w:firstLine="0" w:hanging="0"/>
        <w:jc w:val="left"/>
      </w:pPr>
      <w:r>
        <w:rPr>
          <w:rFonts w:ascii="Times New Roman" w:hAnsi="굴림체" w:cs="굴림체" w:eastAsia="굴림체"/>
          <w:sz w:val="24"/>
        </w:rPr>
        <w:t>7.2 위원회는 선택의정서 제2조제c항에 따라 이와 유사한 사안을 검토한 적이 없고, 다른 국제 조사 또는 화해 절차에 따라 검토한 적도 없다는 것을 확인했다.</w:t>
      </w:r>
    </w:p>
    <w:p>
      <w:pPr>
        <w:ind w:left="0" w:firstLine="0" w:hanging="0"/>
        <w:jc w:val="left"/>
      </w:pPr>
      <w:r>
        <w:rPr>
          <w:rFonts w:ascii="Times New Roman" w:hAnsi="굴림체" w:cs="굴림체" w:eastAsia="굴림체"/>
          <w:sz w:val="24"/>
        </w:rPr>
        <w:t>7.3 위원회는 오라클이 건강 관련 비용을 보장하는 보증서 서명을 거부하는 순간 비자 신청 심사가 종료되었기 때문에 더 이상 활용할 수 있는 국내 구제 절차가 없다는 통보인의 주장을 지적한다. 또 이민법에 따라 이러한 성격의 결정 또는 행위를 검토할 수 없고, 이민법 조항은 호주 장애차별금지법의 적용을 받지 않는다는 통보인의 주장을 지적한다. 이와 관련하여, 위원회는 통보인이 보증서에 서명하지 않고 자신의 비자 신청을 철회하기로 한 고용주의 결정에는 이의를 제기하지 않지만, 이민자 건강 요건이 서브클래스 457 비자 신청을 심사할 때 장애에 기반한 차별에 영향을 주었다고 주장한다고 지적한다. 또 당사국이 국내 구제 절차 완료 쟁점에 대해서는 아무런 이의를 제기하지 않았다고 지적한다. 그래서 위원회는 선택의정서 제2조제d항에 따라 통보인의 통보를 검토할 수 있다고 결정한다.</w:t>
      </w:r>
    </w:p>
    <w:p>
      <w:pPr>
        <w:ind w:left="0" w:firstLine="0" w:hanging="0"/>
        <w:jc w:val="left"/>
      </w:pPr>
      <w:r>
        <w:rPr>
          <w:rFonts w:ascii="Times New Roman" w:hAnsi="굴림체" w:cs="굴림체" w:eastAsia="굴림체"/>
          <w:sz w:val="24"/>
        </w:rPr>
        <w:t>7.4 위원회는 선택의정서 제1조제1항의 목적상 통보인이 자국의 관할권에 속하지 않는다는 당사국의 주장을 지적한다. 이와 관련하여, 관할권은 개인에 대한 일정 수준의 통제권을 의미하지만 당사국의 이민법은 영토에 들어오는 것을 규제하는 법률 틀일 뿐이고, 통보인은 비자 신청을 제외하고 당사국과 아무런 관계가 없었기 때문에 국제법에 따라 당사국에 입국 또는 거주할 권리가 없다는 당사국의 주장을 지적한다. 또 협약은 제한된 영토에 적용되고, 이 진정 건의 경우 역외 적용에 대한 높은 기준치를 충족하지 못한다는 당사국의 입장을 지적한다. 이와 관련하여, 위원회는 선택의정서 제1조에 포함된 “관할권에 속한”의 개념을 당사국의 권력 및 권한의 범위와 관련하여 광범위하게 해석해야 하고, 당사국은 비국적자가 자국 영토에 있지 않더라도 비자 신청 절차를 통해 그들의 행동을 통제할 수 있는 권력을 가지고 있고, 통보인은 당사국으로 이주를 하려고 하기 때문에 당사국의 권력 또는 통제권 아래에 있다는 통보인의 주장을 지적한다. 위원회는 협약 제18조제1항제b호가 이동의 자유에 대한 권리를 행사하기 위해 이민 절차를 활용하는 것을 포함한 장애인의 이동의 자유, 거주지 선택의 자유, 국적 선택의 자유를 다른 사람과 동등하게 보장하는 장애인의 권리를 규정한다고 상기한다. 따라서 협약 제18조제1항제b호에 비추어 선택의정서 제1조제1항이 이민 관련 절차에 대한 당사국의 관할권에도 확대하여 적용할 수 있는 것으로 해석해야 한다고 생각한다. 그러므로 위원회는 통보인이 당사국의 관할권에 속한다고 결정한다.</w:t>
      </w:r>
    </w:p>
    <w:p>
      <w:pPr>
        <w:ind w:left="0" w:firstLine="0" w:hanging="0"/>
        <w:jc w:val="left"/>
      </w:pPr>
      <w:r>
        <w:rPr>
          <w:rFonts w:ascii="Times New Roman" w:hAnsi="굴림체" w:cs="굴림체" w:eastAsia="굴림체"/>
          <w:sz w:val="24"/>
        </w:rPr>
        <w:t>7.5 위원회는 협약 제18조의 목적상 통보인이 합법적으로 자국 영토 안에 있지 않기 때문에 진정의 청구 적격을 허용해서는 안 된다는 당사국의 주장을 지적한다. 또 협약은 장애인의 새로운 인권을 인정하는 것이 아니라 장애인의 특정한 상황에 대한 기존 권리의 적용을 명시하고, 자유권규약은 외국인의 당사국 영토 입국 또는 거주 권리를 부여하지 않기 때문에 누구를 자국 영토에 들일 것인지는 원칙적으로 국가가 결정할 사안이고 *14 ) , 협약 제18조가 자유권규약 제12조의 기존 권리를 반영하는 한 규약 제12조의 제약 조건이 협약 제18조에도 적용된다는 당사국의 주장을 지적한다. 이와 관련하여, 위원회는 협약 제5조 및 제18조가 장애인의 차별 없는 거주지 선택 권리를 지지하고, 국가는 누구를 자국 영토에 들일 것인지를 결정할 때 장애를 이유로 차별할 자격이 없다는 통보인의 주장을 지적한다.</w:t>
      </w:r>
    </w:p>
    <w:p>
      <w:pPr>
        <w:ind w:left="0" w:firstLine="0" w:hanging="0"/>
        <w:jc w:val="left"/>
      </w:pPr>
      <w:r>
        <w:rPr>
          <w:rFonts w:ascii="Times New Roman" w:hAnsi="굴림체" w:cs="굴림체" w:eastAsia="굴림체"/>
          <w:sz w:val="24"/>
        </w:rPr>
        <w:t>7.6 위원회는 협약 전체 특히 제18조가 새로운 권리를 생성하지는 않지만 이민 절차에 대한 기존 권리를 보호할 의무를 확대한다고 상기한다. 통보인은 장애를 이유로 한 차별을 받았다고 주장하며, 당사국 이민법의 건강 요건에 이의를 제기하고 당사국이 자국으로 이주하려는 다른 비국적자들과 동등하게 이민 절차를 활용할 수 있도록 보장하는 협약 제18조제1항제b호에 따른 자신의 권리를 침해했다고 주장한다. 이 같은 이유로, 위원회는 협약 제18조에 따른 통보인의 주장을 검토하는 것이 타당하다고 결정한다.</w:t>
      </w:r>
    </w:p>
    <w:p>
      <w:pPr>
        <w:ind w:left="0" w:firstLine="0" w:hanging="0"/>
        <w:jc w:val="left"/>
      </w:pPr>
      <w:r>
        <w:rPr>
          <w:rFonts w:ascii="Times New Roman" w:hAnsi="굴림체" w:cs="굴림체" w:eastAsia="굴림체"/>
          <w:sz w:val="24"/>
        </w:rPr>
        <w:t>7.7 따라서 청구 적격에 대한 다른 장애물이 없기 때문에 위원회는 해당 진정의 심리적격을 허용하고, 본안을 검토한다.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 및 의사규칙 제73조제1항에 따라 접수된 모든 정보를 고려하여 이 통보를 검토했다.</w:t>
      </w:r>
    </w:p>
    <w:p>
      <w:pPr>
        <w:ind w:left="0" w:firstLine="0" w:hanging="0"/>
        <w:jc w:val="left"/>
      </w:pPr>
      <w:r>
        <w:rPr>
          <w:rFonts w:ascii="Times New Roman" w:hAnsi="굴림체" w:cs="굴림체" w:eastAsia="굴림체"/>
          <w:sz w:val="24"/>
        </w:rPr>
        <w:t>8.2 협약 제4조제1항제a호~제e호, 제5조제1항 및 제2항, 제18조제1항에 따른 통보인의 주장과 관련하여, 위원회가 다룰 쟁점은 1994년 이민규칙에 수록된 공익기준 4006A에 따른 이민자 건강 요건이 협약이 정한 통보인의 권리를 침해했는지 여부이다. 위원회는 위 기준에 따른 건강 요건을 충족하지 못한 서브클래스 457 비자 신청자는 고용주의 건강 관리 비용 보증 동의서를 제출한 경우에만 건강 요건을 면제받을 수 있다고 지적한다. 또 건강 요건이 협약 제18조를 위반하여 장애인이 다른 사람과 동등하게 이민 절차를 이용할 권리를 향유할 수 있는 능력에 장해물이 된다는 통보인의 주장을 지적한다. 아울러 호주의 거의 모든 임시 비자 신청자에게 동일한 건강 요건이 적용되고, 모든 서브클래스 457 비자 신청자는 동일한 요건에 따라 동등하게 심사받고, 고용주가 모든 건강 돌봄 비용을 부담하기로 보증을 할 경우 건강 요건이 면제될 수 있다는 당사국의 주장을 지적한다;</w:t>
      </w:r>
    </w:p>
    <w:p>
      <w:pPr>
        <w:ind w:left="0" w:firstLine="0" w:hanging="0"/>
        <w:jc w:val="left"/>
      </w:pPr>
      <w:r>
        <w:rPr>
          <w:rFonts w:ascii="Times New Roman" w:hAnsi="굴림체" w:cs="굴림체" w:eastAsia="굴림체"/>
          <w:sz w:val="24"/>
        </w:rPr>
        <w:t>8.3 위원회는 당사국이 “장애인권리협약은 ... 호주에 입국 또는 체류하려는 비국적자에 대한 호주의 합법적, 객관적, 합리적인 기준에 기초한 건강 요건에 영향을 주지 않는다”고 해석적 선언을 했다고 지적한다. 또 ‘유보(reservation)’는 그 표현이나 용어가 어떠하든 국가가 조약을 서명, 비준, 수락, 승인, 또는 동의할 때 특정한 조항의 자국 내 적용에 대한 법적 효과를 배제 또는 수정하려는 일방적인 진술을 의미한다고 상기한다. *15 ) 따라서 “유보 또는 해석적 선언이라는 일방적 진술의 성격은 통보인이 표방하려는 법적 효과에 따라 결정된다.” *16 ) 더욱이, “조약과 관련하여 국가 또는 국제기구의 일방적 진술이 유보인지 아니면 해석적 선언인지를 판단하려면, 그 진술이 참조하는 조약에 비추어 통보인의 의도에서 확인한 시각으로 그 진술에 부여된 일반적인 의미에 부합하고 선의에 기반하여 그 진술을 해석해야 한다.” *17 ) 그렇게 하려면 유용한 지침이 되는 일반적인 해석 규칙에 따라 객관적으로 분석할 필요가 있다. *18 ) 호주의 해석적 선언은 협약이 “합법적이고 객관적이고 합리적인 기준에 근거하여 만든 비국적자의 호주 입국 또는 체류를 위한 건강 요건”에 영향을 주지 않는다는 당사국의 법적 이해를 제시한다. 이것은 비국적자의 입국 또는 체류를 위한 당사국의 건강 요건에 적용되는 협약의 법적 효과를 배제 또는 수정하려는 것이 아니라, 당면 맥락에서 합법적, 객관적, 합리적 기준에 근거한 건강 요건은 허용 가능하다는 법적 견해를 명시하려는 것이라고 한다. 이와 같은 당사국의 해석과 이해는 당사국이 그런 진술을 해석적 선언으로 명명했다는 사실 *19 ) , 그리고 위원회의 모든 절차에 그런 진술을 설명하는 방식에서 확인된다. 호주의 선언을 분석한 결과, 그것은 해석적 선언일 뿐 유보로 간주할 수 없다는 사실이 명확하다. 해석적 선언은 위원회의 건강 요건 쟁점 특히 협약 제5조 준수 여부를 따지는 심사 대상이 된다.</w:t>
      </w:r>
    </w:p>
    <w:p>
      <w:pPr>
        <w:ind w:left="0" w:firstLine="0" w:hanging="0"/>
        <w:jc w:val="left"/>
      </w:pPr>
      <w:r>
        <w:rPr>
          <w:rFonts w:ascii="Times New Roman" w:hAnsi="굴림체" w:cs="굴림체" w:eastAsia="굴림체"/>
          <w:sz w:val="24"/>
        </w:rPr>
        <w:t>8.4 위원회는 통보인의 다발성 경화증 치료에 예상되는 비용이 호주 당국이 정한 기준치를 초과했기 때문에 공익기준 4006A에 따른 이민자 건강 요건을 충족하지 못했다고 지적한다. 따라서 통보인은 비자를 받기 위해 고용주로부터 모든 건강 관련 비용을 부담하겠다는 보증을 받아야 했다. 위원회는 통보인이 오라클과 맺은 사적 계약을 통해 자신의 모든 건강 관련 비용을 스스로 부담할 의향이 있다고 오라클과 딜로이트에 알렸지만, 호주 법률에 따라 허용되지 않는다는 통지를 받았다고 지적한다(위 단락 2.4 참조). 또 서브클래스 457 비자 프로그램에 대한 이민자 건강 요건의 존재가 장애가 있는 신청자에게 불균형적인 영향을 줄 수 있다는 점은 논쟁의 여지가 없다고 지적한다. *20 ) 이와 관련하여, 위원회는 그러한 차등 대우가 합법적, 객관적, 합리적 기준에 따른 것이어서 협약 위반이 아니라는 당사국의 입장을 지적한다. *21 ) 또 건강 요건은 특히 이주자에게 발생할 수 있는 의료 비용을 줄여 공중 보건 시스템을 보호하기 위함이라는 당사국의 진술을 지적한다. 하지만 위원회는 당사국이 공익기준 4006A와 1994년 이민규칙에 따라 해당 비용이 과도한 부담이 되는지를 결정하기 위해 “가상 인물” 심사를 실시한다는 점도 지적한다. 이러한 맥락에서 볼 때, 비용이 발생할 것이고 비자 신청자가 서비스를 이용할 것으로 예상된다. 하지만 당사국은 건강 돌봄 및 지역사회 서비스에 대한 자국민의 접근성을 보호하려는 목표와 관련될 수 있는 다른 요인들을 고려하지 않는다(위 단락 4.15 참조).</w:t>
      </w:r>
    </w:p>
    <w:p>
      <w:pPr>
        <w:ind w:left="0" w:firstLine="0" w:hanging="0"/>
        <w:jc w:val="left"/>
      </w:pPr>
      <w:r>
        <w:rPr>
          <w:rFonts w:ascii="Times New Roman" w:hAnsi="굴림체" w:cs="굴림체" w:eastAsia="굴림체"/>
          <w:sz w:val="24"/>
        </w:rPr>
        <w:t>8.5 위원회는 협약 제2조가 정한 “장애를 이유로 한 차별”은 다른 사람과 동등하게 정치적, 경제적, 사회적, 문화적, 시민적, 기타 영역에서 모든 인권과 기본적 자유에 대한 인식, 향유, 또는 행사를 훼손 또는 무효화할 목적이나 효과를 가진 장애에 기반한 모든 구별, 배제, 또는 제한을 의미한다고 상기한다. 여기에는 합리적 편의제공 거부를 비롯한 모든 형태의 차별이 포함된다. 또 위원회는 중립적인 방식으로 적용되는 법률이 개인의 특정한 상황을 고려하지 않을 경우에 차별적인 효과를 가질 수 있다고 상기한다. 협약이 보장되는 권리를 향유함에 있어서 국가가 객관적이고 합리적인 정당성을 갖추지 않고 상황이 크게 다른 사람을 다르게 대우하지 않을 때 차별을 받지 않을 권리가 침해될 수 있다. *22 ) 위원회는 표면상 중립적으로 보이는 법률, 정책, 또는 실천이 장애인에게 불균형하게 부정적인 영향을 주는 것은 간접 차별이라고 지적한다. 간접 차별은 사실은 접근 가능한 기회임에도 특정한 개인이 자신의 상황 때문에 그런 기회를 통해 이익을 얻을 수 없을 것이라고 가정하여 그 개인을 배제할 때 발생한다. *23 ) 위원회는 규칙이나 결정이 특정한 인종, 피부색, 성별, 언어, 종교, 정치적 또는 기타 견해, 국가적 또는 사회적 출신, 재산, 출생 또는 기타 지위를 가진 개인에게 전적으로 또는 불균형하게 해로운 영향을 주는 경우 간접 차별로 간주한다고 지적한다. *24 ) 장애 여성이 그런 경우에 속한다. 위원회는 협약 제5조제1항 및 제2항에 따라 당사국은 모든 사람이 법 앞에서 그리고 법 아래에서 평등하고 동등한 보호와 혜택을 차별 없이 받을 자격이 있다는 것을 인정하고, 장애를 이유로 한 모든 차별을 금지하고, 장애인이 모든 차별로부터 동등하고 효과적인 법적 보호를 받도록 보장할 의무가 있다고 본다.</w:t>
      </w:r>
    </w:p>
    <w:p>
      <w:pPr>
        <w:ind w:left="0" w:firstLine="0" w:hanging="0"/>
        <w:jc w:val="left"/>
      </w:pPr>
      <w:r>
        <w:rPr>
          <w:rFonts w:ascii="Times New Roman" w:hAnsi="굴림체" w:cs="굴림체" w:eastAsia="굴림체"/>
          <w:sz w:val="24"/>
        </w:rPr>
        <w:t>8.6 다발성 경화증을 근거로 통보인에 대한 취업 비자 거부가 장애를 이유로 한 차별에 해당하는지를 검토하기 전에, 위원회는 통보인의 상태를 장애로 간주할 수 있는지부터 결정해야 한다. 이와 관련하여, 위원회는 협약 제1조가 “장애인은 다양한 장벽과의 상호작용에서 다른 사람과 동등하게 이 사회에 완전하고 효과적으로 참여하는 것을 방해하는 장기적인 신체적, 정신적, 지적, 또는 감각적 손상을 입은 사람을 포함한다”고 정의한다는 점을 상기한다. 위원회는 질병과 장애의 차이는 정도의 차이이지 종류의 차이가 아니라고 생각한다. 처음에는 질병으로 인식된 건강 손상이 장기간 또는 만성상태로 이어져 장애를 유발하는 손상으로 발전할 수 있다. 인권에 기반한 장애모형은 장애인들이 다양하다는 점과 이들이 상호작용하면서 태도 및 환경에 의한 장벽을 경험한다는 점을 함께 고려한다. *25 ) 진정 당사자들이 제공한 정보로 볼 때, 위원회는 통보인의 신체적 손상이 여러 장벽과 상호작용함으로써 다른 사람과 동등하게 완전하고 효과적인 사회 참여하는 것을 방해하는 요인이 되었다고 생각한다.</w:t>
      </w:r>
    </w:p>
    <w:p>
      <w:pPr>
        <w:ind w:left="0" w:firstLine="0" w:hanging="0"/>
        <w:jc w:val="left"/>
      </w:pPr>
      <w:r>
        <w:rPr>
          <w:rFonts w:ascii="Times New Roman" w:hAnsi="굴림체" w:cs="굴림체" w:eastAsia="굴림체"/>
          <w:sz w:val="24"/>
        </w:rPr>
        <w:t>8.7 위원회는 기준이 합리적이고 객관적이고 그 목적이 협약에 따라 정당한 차등 대우를 차별로 보지는 않지만, *26 ) “차별을 우선적으로 해결하고 제거하기 위한 노력의 일환으로 당사국이 모든 가용 자원을 통해 모든 노력을 기울이지 않고, 가용 자원이 부족하다는 이유로 차등 대우를 제거하지 않는 것은 객관적이고 합리적인 정당화가 될 수 없다”고 상기한다. *27 ) 또 통보인은 다발성 경화증을 가졌다는 단순한 사실만으로 건강 요건을 충족하지 못하여 호주로 가서 자신이 선택한 소임을 수행하는 데 필요한 취업 비자를 취득할 수 없게 되었다고 지적한다. 이것은 당사국이 다른 사람과 동등하게 장애인이 사회에 완전하고 효과적으로 참여하는 것을 방해하는 태도 및 환경에 의한 장벽 대신 개인에 초점을 맞춘다는 점에서 협약에 반한다. *28 ) 위원회는 당사국이 통보인이 요구하는 치료의 잠재적인 비용에 초점을 맞추고, 통보인의 다발성 경화증을 확인하는 순간 그녀의 비자 신청을 거부했다고 지적한다. 특히, 관계 당국은 통보인이 선택한 직무와 관련된 기능을 완전하게 수행할 능력이 있다는 점, 비자 거부가 통보인의 개인 및 직업 생활에 영향을 준다는 점, 또는 통보인이 자신에게 필요한 치료가 당사국의 재정 부담을 초래하지 않게 하려고 대안을 제시했다는 점을 고려하지 않았다. 그 대신, 당사국은 통보인이 당사국에 거주함으로써 생길 수 있는 잠재적인 재정 부담에 대한 책임을 전적으로 그녀를 고용하려는 회사에 전가했다. 따라서 위원회는 통보인의 취업 비자 요청이 다발성 경화증을 가졌다는 이유만으로 다른 고려 없이 거부되었고, 따라서 이민법에 따른 이민자 건강 요건이 장애인인 통보인에게 불균형하게 영향을 주어 결국 그녀가 간접 차별을 받았다고 생각한다. *29 )</w:t>
      </w:r>
    </w:p>
    <w:p>
      <w:pPr>
        <w:ind w:left="0" w:firstLine="0" w:hanging="0"/>
        <w:jc w:val="left"/>
      </w:pPr>
      <w:r>
        <w:rPr>
          <w:rFonts w:ascii="Times New Roman" w:hAnsi="굴림체" w:cs="굴림체" w:eastAsia="굴림체"/>
          <w:sz w:val="24"/>
        </w:rPr>
        <w:t>8.8 따라서 위원회는 통보인의 개인적, 직업적 상황에 대한 다른 요소들을 고려하지 않고 다발성 경화증을 근거로 서브클래스 457 비자 요건을 충족하지 못했다고 결정한 사실이 장애를 이유로 한 간접 차별에 해당한다고 판단한다. 또 1994년 이민규칙이 통보인이 이민 절차를 다른 사람과 동등하게 활용할 권리를 행사하는 것을 훼손 또는 무효화하는 결과를 초래하여, 협약 제18조제1항과 연결하여 해석되는 또는 단독으로 해석되는 제4조제1항제a호~제e호 및 제5조제1항 및 제2항에 따른 권리를 침해했다고 결정한다.</w:t>
      </w:r>
    </w:p>
    <w:p>
      <w:pPr>
        <w:ind w:left="0" w:firstLine="0" w:hanging="0"/>
        <w:jc w:val="center"/>
      </w:pPr>
      <w:r>
        <w:rPr>
          <w:rFonts w:ascii="Times New Roman" w:hAnsi="굴림체" w:cs="굴림체" w:eastAsia="굴림체"/>
          <w:sz w:val="24"/>
        </w:rPr>
        <w:t>C. 결정 및 권고</w:t>
      </w:r>
    </w:p>
    <w:p>
      <w:pPr>
        <w:ind w:left="0" w:firstLine="0" w:hanging="0"/>
        <w:jc w:val="left"/>
      </w:pPr>
      <w:r>
        <w:rPr>
          <w:rFonts w:ascii="Times New Roman" w:hAnsi="굴림체" w:cs="굴림체" w:eastAsia="굴림체"/>
          <w:sz w:val="24"/>
        </w:rPr>
        <w:t>9. 선택의정서 제5조에 근거하여 활동하는 위원회는 당사국이 협약 제4조, 제5조, 제18조에 따른 의무를 이행하지 않았다고 본다. 따라서 당사국에 아래와 같은 권고를 제시한다:</w:t>
      </w:r>
    </w:p>
    <w:p>
      <w:pPr>
        <w:ind w:left="0" w:firstLine="0" w:hanging="0"/>
        <w:jc w:val="left"/>
      </w:pPr>
      <w:r>
        <w:rPr>
          <w:rFonts w:ascii="Times New Roman" w:hAnsi="굴림체" w:cs="굴림체" w:eastAsia="굴림체"/>
          <w:sz w:val="24"/>
        </w:rPr>
        <w:t xml:space="preserve">	(a) 통보인과 관련하여, 당사국은 통보인에게 발생한 모든 법적 비용의 변제와 보상을 포함하여 효과적인 구제책을 제공할 의무가 있다.</w:t>
      </w:r>
    </w:p>
    <w:p>
      <w:pPr>
        <w:ind w:left="0" w:firstLine="0" w:hanging="0"/>
        <w:jc w:val="left"/>
      </w:pPr>
      <w:r>
        <w:rPr>
          <w:rFonts w:ascii="Times New Roman" w:hAnsi="굴림체" w:cs="굴림체" w:eastAsia="굴림체"/>
          <w:sz w:val="24"/>
        </w:rPr>
        <w:t xml:space="preserve">	(b) 전체적으로, 당사국은 향후 유사한 침해를 방지하기 위한 조치를 취할 의무가 있다. 이와 관련하여, 위원회는 장애인이 다른 사람과 동등하게 이민 절차를 이용할 권리를 가로막는 장벽을 국내법을 통해 제거하도록 당사국에 요구한다. 당사국 법률은 건강 관리 비용 지불 또는 상환과 관련한 직원과 고용주의 사적 합의를 금지하지 않기 때문에, 위원회는 그러한 합의를 비자 기준의 일부가 되도록 검토할 것을 권고한다.</w:t>
      </w:r>
    </w:p>
    <w:p>
      <w:pPr>
        <w:ind w:left="0" w:firstLine="0" w:hanging="0"/>
        <w:jc w:val="left"/>
      </w:pPr>
      <w:r>
        <w:rPr>
          <w:rFonts w:ascii="Times New Roman" w:hAnsi="굴림체" w:cs="굴림체" w:eastAsia="굴림체"/>
          <w:sz w:val="24"/>
        </w:rPr>
        <w:t>10. 선택의정서 제5조와 위원회 의사규칙 제75조에 따라, 당사국은 위원회의 견해 및 권고를 고려하여 취한 모든 조치에 대한 정보를 포함한 서면 답변을 6개월 이내에 위원회에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General comment No. 15 (1986), para. 5.</w:t>
      </w:r>
    </w:p>
    <w:p>
      <w:pPr>
        <w:ind w:left="0" w:firstLine="0" w:hanging="0"/>
        <w:jc w:val="left"/>
      </w:pPr>
      <w:r>
        <w:rPr>
          <w:rFonts w:ascii="Times New Roman" w:hAnsi="굴림체" w:cs="굴림체" w:eastAsia="굴림체"/>
          <w:sz w:val="24"/>
        </w:rPr>
        <w:t>2) Human Rights Committee, general comment No. 18 (1989); Love et al. v. Australia (CCPR/C/77/D/983/2001); Committee on Economic, Social and Cultural Rights, general comment No. 20 (2009), para. 13; and Committee on the Elimination of Racial Discrimination, general recommendations No. 32 (2009), para. 8, No. 14 (1993), para. 2, and No. 30 (2004), para. 4. See also CERD/C/AUS/CO/14, para. 24; and G.D. and S.F. v. France (CEDAW/C/44/D/12/2007), para. 12.15.</w:t>
      </w:r>
    </w:p>
    <w:p>
      <w:pPr>
        <w:ind w:left="0" w:firstLine="0" w:hanging="0"/>
        <w:jc w:val="left"/>
      </w:pPr>
      <w:r>
        <w:rPr>
          <w:rFonts w:ascii="Times New Roman" w:hAnsi="굴림체" w:cs="굴림체" w:eastAsia="굴림체"/>
          <w:sz w:val="24"/>
        </w:rPr>
        <w:t>3) Committee on the Elimination of Racial Discrimination, general recommendation No. 14 (1993), para. 2; Human Rights Committee, general comment No. 18 (1989), para. 13; and Committee on Economic, Social and Cultural Rights, general comment No. 20 (2009), para. 13.</w:t>
      </w:r>
    </w:p>
    <w:p>
      <w:pPr>
        <w:ind w:left="0" w:firstLine="0" w:hanging="0"/>
        <w:jc w:val="left"/>
      </w:pPr>
      <w:r>
        <w:rPr>
          <w:rFonts w:ascii="Times New Roman" w:hAnsi="굴림체" w:cs="굴림체" w:eastAsia="굴림체"/>
          <w:sz w:val="24"/>
        </w:rPr>
        <w:t>4) That amount increased to 40,000 Australian dollars on 1 July 2013.</w:t>
      </w:r>
    </w:p>
    <w:p>
      <w:pPr>
        <w:ind w:left="0" w:firstLine="0" w:hanging="0"/>
        <w:jc w:val="left"/>
      </w:pPr>
      <w:r>
        <w:rPr>
          <w:rFonts w:ascii="Times New Roman" w:hAnsi="굴림체" w:cs="굴림체" w:eastAsia="굴림체"/>
          <w:sz w:val="24"/>
        </w:rPr>
        <w:t>5) Article 31 (1) reads as follows: “A treaty shall be interpreted in good faith in accordance with the ordinary meaning to be given to the terms of the treaty in their context and in the light of its object and purpose.”</w:t>
      </w:r>
    </w:p>
    <w:p>
      <w:pPr>
        <w:ind w:left="0" w:firstLine="0" w:hanging="0"/>
        <w:jc w:val="left"/>
      </w:pPr>
      <w:r>
        <w:rPr>
          <w:rFonts w:ascii="Times New Roman" w:hAnsi="굴림체" w:cs="굴림체" w:eastAsia="굴림체"/>
          <w:sz w:val="24"/>
        </w:rPr>
        <w:t>6) Ibid., art. 32.</w:t>
      </w:r>
    </w:p>
    <w:p>
      <w:pPr>
        <w:ind w:left="0" w:firstLine="0" w:hanging="0"/>
        <w:jc w:val="left"/>
      </w:pPr>
      <w:r>
        <w:rPr>
          <w:rFonts w:ascii="Times New Roman" w:hAnsi="굴림체" w:cs="굴림체" w:eastAsia="굴림체"/>
          <w:sz w:val="24"/>
        </w:rPr>
        <w:t>7) See, inter alia, Legal Consequences of the Construction of a Wall in the Occupied Palestinian Territory, Advisory Opinion, I.C.J. Reports 2004, p. 136, at p. 179.</w:t>
      </w:r>
    </w:p>
    <w:p>
      <w:pPr>
        <w:ind w:left="0" w:firstLine="0" w:hanging="0"/>
        <w:jc w:val="left"/>
      </w:pPr>
      <w:r>
        <w:rPr>
          <w:rFonts w:ascii="Times New Roman" w:hAnsi="굴림체" w:cs="굴림체" w:eastAsia="굴림체"/>
          <w:sz w:val="24"/>
        </w:rPr>
        <w:t>8) Human Rights Committee, general comment No. 36 (2018).</w:t>
      </w:r>
    </w:p>
    <w:p>
      <w:pPr>
        <w:ind w:left="0" w:firstLine="0" w:hanging="0"/>
        <w:jc w:val="left"/>
      </w:pPr>
      <w:r>
        <w:rPr>
          <w:rFonts w:ascii="Times New Roman" w:hAnsi="굴림체" w:cs="굴림체" w:eastAsia="굴림체"/>
          <w:sz w:val="24"/>
        </w:rPr>
        <w:t>9) Ibid., general comment no. 15 (1986), para. 10. See also Lopez Burgos v. Uruguay (CCPR/C/13/D/52/1979).</w:t>
      </w:r>
    </w:p>
    <w:p>
      <w:pPr>
        <w:ind w:left="0" w:firstLine="0" w:hanging="0"/>
        <w:jc w:val="left"/>
      </w:pPr>
      <w:r>
        <w:rPr>
          <w:rFonts w:ascii="Times New Roman" w:hAnsi="굴림체" w:cs="굴림체" w:eastAsia="굴림체"/>
          <w:sz w:val="24"/>
        </w:rPr>
        <w:t>10) Human Rights Committee, general comment no. 15 (1986), para. 5.</w:t>
      </w:r>
    </w:p>
    <w:p>
      <w:pPr>
        <w:ind w:left="0" w:firstLine="0" w:hanging="0"/>
        <w:jc w:val="left"/>
      </w:pPr>
      <w:r>
        <w:rPr>
          <w:rFonts w:ascii="Times New Roman" w:hAnsi="굴림체" w:cs="굴림체" w:eastAsia="굴림체"/>
          <w:sz w:val="24"/>
        </w:rPr>
        <w:t>11) In its 20 October 2005 decision concerning Haydarie and others v. Netherlands (Application No. 8876/04), the European Court of Human Rights held that, “as regards the family life at issue in the present case – the existence of which is not in dispute –, no distinction can be drawn between the two applicants living in the Netherlands and the three others currently residing in Pakistan. In these circumstances, it does not find it necessary to determine the Government’s argument that the three applicants in Pakistan cannot be regarded as finding themselves within the jurisdiction of the Netherlands State within the meaning of Article 1 of the Convention jurisdiction”. That case involved applicants who were residing in the Netherlands and were seeking to bring their family members from outside the country. Regarding that decision, the author claims that the Court held that a State could be in breach of its human rights violations by failing to grant the visa as the individuals were within the jurisdiction of the Netherlands purely by virtue of the fact that they were applying for a family reunification visa. The author adds: “This may be the strongest evidence that the granting of a visa may fall within a State’s jurisdiction and will therefore be the proviso of a State’s obligations under international law”.</w:t>
      </w:r>
    </w:p>
    <w:p>
      <w:pPr>
        <w:ind w:left="0" w:firstLine="0" w:hanging="0"/>
        <w:jc w:val="left"/>
      </w:pPr>
      <w:r>
        <w:rPr>
          <w:rFonts w:ascii="Times New Roman" w:hAnsi="굴림체" w:cs="굴림체" w:eastAsia="굴림체"/>
          <w:sz w:val="24"/>
        </w:rPr>
        <w:t>12) Specifically, in paragraph 5 of that general comment, the Committee has stated the following:</w:t>
      </w:r>
    </w:p>
    <w:p>
      <w:pPr>
        <w:ind w:left="0" w:firstLine="0" w:hanging="0"/>
        <w:jc w:val="left"/>
      </w:pPr>
      <w:r>
        <w:rPr>
          <w:rFonts w:ascii="Times New Roman" w:hAnsi="굴림체" w:cs="굴림체" w:eastAsia="굴림체"/>
          <w:sz w:val="24"/>
        </w:rPr>
        <w:t>13) The Universal Declaration of Human Rights, the International Covenant on Civil and Political Rights and the Convention on the Rights of Persons with Disabilities each specify that the right to equal recognition before the law is operative “everywhere”. In other words, there are no permissible circumstances under international human rights law in which a person may be deprived of the right to recognition as a person before the law, or in which this right may be limited.</w:t>
      </w:r>
    </w:p>
    <w:p>
      <w:pPr>
        <w:ind w:left="0" w:firstLine="0" w:hanging="0"/>
        <w:jc w:val="left"/>
      </w:pPr>
      <w:r>
        <w:rPr>
          <w:rFonts w:ascii="Times New Roman" w:hAnsi="굴림체" w:cs="굴림체" w:eastAsia="굴림체"/>
          <w:sz w:val="24"/>
        </w:rPr>
        <w:t>14) Human Rights Committee, general comment No. 15 (1986), para. 5.</w:t>
      </w:r>
    </w:p>
    <w:p>
      <w:pPr>
        <w:ind w:left="0" w:firstLine="0" w:hanging="0"/>
        <w:jc w:val="left"/>
      </w:pPr>
      <w:r>
        <w:rPr>
          <w:rFonts w:ascii="Times New Roman" w:hAnsi="굴림체" w:cs="굴림체" w:eastAsia="굴림체"/>
          <w:sz w:val="24"/>
        </w:rPr>
        <w:t>15) Vienna Convention on the Law of Treaties, art. 2 (1) .</w:t>
      </w:r>
    </w:p>
    <w:p>
      <w:pPr>
        <w:ind w:left="0" w:firstLine="0" w:hanging="0"/>
        <w:jc w:val="left"/>
      </w:pPr>
      <w:r>
        <w:rPr>
          <w:rFonts w:ascii="Times New Roman" w:hAnsi="굴림체" w:cs="굴림체" w:eastAsia="굴림체"/>
          <w:sz w:val="24"/>
        </w:rPr>
        <w:t>16) Official Records of the General Assembly, Sixty-sixth Session, Supplement No. 10 (A/66/10/Add.1), chap. IV, sect. F, guideline 1.3. The Human Rights Committee, in its decision of 8 November 1989 concerning communication No. 220/1987 on T.K. v. France, stated that “it is not the formal designation but the effect the statement purports to have that determines its nature”.</w:t>
      </w:r>
    </w:p>
    <w:p>
      <w:pPr>
        <w:ind w:left="0" w:firstLine="0" w:hanging="0"/>
        <w:jc w:val="left"/>
      </w:pPr>
      <w:r>
        <w:rPr>
          <w:rFonts w:ascii="Times New Roman" w:hAnsi="굴림체" w:cs="굴림체" w:eastAsia="굴림체"/>
          <w:sz w:val="24"/>
        </w:rPr>
        <w:t>17) Records of the General Assembly, Sixty-sixth Session, Supplement No. 10 (A/66/10/Add.1), chap. IV, sect. F, guideline 1.3.1.</w:t>
      </w:r>
    </w:p>
    <w:p>
      <w:pPr>
        <w:ind w:left="0" w:firstLine="0" w:hanging="0"/>
        <w:jc w:val="left"/>
      </w:pPr>
      <w:r>
        <w:rPr>
          <w:rFonts w:ascii="Times New Roman" w:hAnsi="굴림체" w:cs="굴림체" w:eastAsia="굴림체"/>
          <w:sz w:val="24"/>
        </w:rPr>
        <w:t>18) Ibid., commentary to guideline 1.3.1.</w:t>
      </w:r>
    </w:p>
    <w:p>
      <w:pPr>
        <w:ind w:left="0" w:firstLine="0" w:hanging="0"/>
        <w:jc w:val="left"/>
      </w:pPr>
      <w:r>
        <w:rPr>
          <w:rFonts w:ascii="Times New Roman" w:hAnsi="굴림체" w:cs="굴림체" w:eastAsia="굴림체"/>
          <w:sz w:val="24"/>
        </w:rPr>
        <w:t>19) Records of the General Assembly, Sixty-sixth Session, Supplement No. 10 (A/66/10/Add.1), chap. IV, sect. F. Guideline 1.3.2 reads as follows: “The phrasing or name of a unilateral statement provides an indication of the purported legal effect.”</w:t>
      </w:r>
    </w:p>
    <w:p>
      <w:pPr>
        <w:ind w:left="0" w:firstLine="0" w:hanging="0"/>
        <w:jc w:val="left"/>
      </w:pPr>
      <w:r>
        <w:rPr>
          <w:rFonts w:ascii="Times New Roman" w:hAnsi="굴림체" w:cs="굴림체" w:eastAsia="굴림체"/>
          <w:sz w:val="24"/>
        </w:rPr>
        <w:t>20) In its observations, the State party stated that “the Australian Government acknowledges that the existence of the health requirement is likely to disproportionately affect some persons who may not meet the required criteria for reasons associated with disability”.</w:t>
      </w:r>
    </w:p>
    <w:p>
      <w:pPr>
        <w:ind w:left="0" w:firstLine="0" w:hanging="0"/>
        <w:jc w:val="left"/>
      </w:pPr>
      <w:r>
        <w:rPr>
          <w:rFonts w:ascii="Times New Roman" w:hAnsi="굴림체" w:cs="굴림체" w:eastAsia="굴림체"/>
          <w:sz w:val="24"/>
        </w:rPr>
        <w:t>21) Human Rights Committee, general comment No. 18 (1989), para. 13.</w:t>
      </w:r>
    </w:p>
    <w:p>
      <w:pPr>
        <w:ind w:left="0" w:firstLine="0" w:hanging="0"/>
        <w:jc w:val="left"/>
      </w:pPr>
      <w:r>
        <w:rPr>
          <w:rFonts w:ascii="Times New Roman" w:hAnsi="굴림체" w:cs="굴림체" w:eastAsia="굴림체"/>
          <w:sz w:val="24"/>
        </w:rPr>
        <w:t>22) H.M. v. Sweden (CRPD/C/7/D/3/2011), para. 8.3.</w:t>
      </w:r>
    </w:p>
    <w:p>
      <w:pPr>
        <w:ind w:left="0" w:firstLine="0" w:hanging="0"/>
        <w:jc w:val="left"/>
      </w:pPr>
      <w:r>
        <w:rPr>
          <w:rFonts w:ascii="Times New Roman" w:hAnsi="굴림체" w:cs="굴림체" w:eastAsia="굴림체"/>
          <w:sz w:val="24"/>
        </w:rPr>
        <w:t>23) General comment No. 6 (2018), para. 18 (b).</w:t>
      </w:r>
    </w:p>
    <w:p>
      <w:pPr>
        <w:ind w:left="0" w:firstLine="0" w:hanging="0"/>
        <w:jc w:val="left"/>
      </w:pPr>
      <w:r>
        <w:rPr>
          <w:rFonts w:ascii="Times New Roman" w:hAnsi="굴림체" w:cs="굴림체" w:eastAsia="굴림체"/>
          <w:sz w:val="24"/>
        </w:rPr>
        <w:t>24) See, for example, Althammer et al. v. Austria (CCPR/C/78/D/998/2001), para. 10.2.</w:t>
      </w:r>
    </w:p>
    <w:p>
      <w:pPr>
        <w:ind w:left="0" w:firstLine="0" w:hanging="0"/>
        <w:jc w:val="left"/>
      </w:pPr>
      <w:r>
        <w:rPr>
          <w:rFonts w:ascii="Times New Roman" w:hAnsi="굴림체" w:cs="굴림체" w:eastAsia="굴림체"/>
          <w:sz w:val="24"/>
        </w:rPr>
        <w:t>25) Convention on the Rights of Persons with Disabilities, preamble, paras. (e) and (i). See also S.C. v. Brazil (CRPD/C/12/D/10/2013), para. 6.3.</w:t>
      </w:r>
    </w:p>
    <w:p>
      <w:pPr>
        <w:ind w:left="0" w:firstLine="0" w:hanging="0"/>
        <w:jc w:val="left"/>
      </w:pPr>
      <w:r>
        <w:rPr>
          <w:rFonts w:ascii="Times New Roman" w:hAnsi="굴림체" w:cs="굴림체" w:eastAsia="굴림체"/>
          <w:sz w:val="24"/>
        </w:rPr>
        <w:t>26) Human Rights Committee, general comment No. 18 (1989), para. 13.</w:t>
      </w:r>
    </w:p>
    <w:p>
      <w:pPr>
        <w:ind w:left="0" w:firstLine="0" w:hanging="0"/>
        <w:jc w:val="left"/>
      </w:pPr>
      <w:r>
        <w:rPr>
          <w:rFonts w:ascii="Times New Roman" w:hAnsi="굴림체" w:cs="굴림체" w:eastAsia="굴림체"/>
          <w:sz w:val="24"/>
        </w:rPr>
        <w:t>27) Committee on Economic, Social and Cultural Rights, general comment No. 20 (2009), para. 13.</w:t>
      </w:r>
    </w:p>
    <w:p>
      <w:pPr>
        <w:ind w:left="0" w:firstLine="0" w:hanging="0"/>
        <w:jc w:val="left"/>
      </w:pPr>
      <w:r>
        <w:rPr>
          <w:rFonts w:ascii="Times New Roman" w:hAnsi="굴림체" w:cs="굴림체" w:eastAsia="굴림체"/>
          <w:sz w:val="24"/>
        </w:rPr>
        <w:t>28) Convention on the Rights of Persons with Disabilities, preamble, para. (e).</w:t>
      </w:r>
    </w:p>
    <w:p>
      <w:pPr>
        <w:ind w:left="0" w:firstLine="0" w:hanging="0"/>
        <w:jc w:val="left"/>
      </w:pPr>
      <w:r>
        <w:rPr>
          <w:rFonts w:ascii="Times New Roman" w:hAnsi="굴림체" w:cs="굴림체" w:eastAsia="굴림체"/>
          <w:sz w:val="24"/>
        </w:rPr>
        <w:t>29) See also Domina and Bendtsen v. Denmark (CRPD/C/20/D/39/2017), para. 8.5.</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