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장애인권리위원회 개인통보(2020): 리차드 사를린 vs 스페인</w:t>
      </w:r>
    </w:p>
    <w:p>
      <w:pPr>
        <w:ind w:left="0" w:firstLine="0" w:hanging="0"/>
        <w:jc w:val="center"/>
      </w:pPr>
      <w:r>
        <w:rPr>
          <w:rFonts w:ascii="Times New Roman" w:hAnsi="굴림체" w:cs="굴림체" w:eastAsia="굴림체"/>
          <w:sz w:val="24"/>
        </w:rPr>
        <w:t>CRPD Individual Communication(2020): Richard Sahlin vs Spain</w:t>
      </w:r>
    </w:p>
    <w:p>
      <w:pPr>
        <w:ind w:left="0" w:firstLine="0" w:hanging="0"/>
        <w:jc w:val="left"/>
      </w:pPr>
      <w:r>
        <w:rPr>
          <w:rFonts w:ascii="Times New Roman" w:hAnsi="굴림체" w:cs="굴림체" w:eastAsia="굴림체"/>
          <w:sz w:val="24"/>
        </w:rPr>
        <w:t xml:space="preserve">    </w:t>
      </w:r>
    </w:p>
    <w:p>
      <w:pPr>
        <w:ind w:left="0" w:firstLine="0" w:hanging="0"/>
        <w:jc w:val="right"/>
      </w:pPr>
      <w:r>
        <w:rPr>
          <w:rFonts w:ascii="Times New Roman" w:hAnsi="굴림체" w:cs="굴림체" w:eastAsia="굴림체"/>
          <w:sz w:val="24"/>
        </w:rPr>
        <w:t>개인통보(45/2018)</w:t>
      </w:r>
    </w:p>
    <w:p>
      <w:pPr>
        <w:ind w:left="0" w:firstLine="0" w:hanging="0"/>
        <w:jc w:val="right"/>
      </w:pPr>
      <w:r>
        <w:rPr>
          <w:rFonts w:ascii="Times New Roman" w:hAnsi="굴림체" w:cs="굴림체" w:eastAsia="굴림체"/>
          <w:sz w:val="24"/>
        </w:rPr>
        <w:t>CRPD/C/23/D/45/2018</w:t>
      </w:r>
    </w:p>
    <w:p>
      <w:pPr>
        <w:ind w:left="0" w:firstLine="0" w:hanging="0"/>
        <w:jc w:val="right"/>
      </w:pPr>
      <w:r>
        <w:rPr>
          <w:rFonts w:ascii="Times New Roman" w:hAnsi="굴림체" w:cs="굴림체" w:eastAsia="굴림체"/>
          <w:sz w:val="24"/>
        </w:rPr>
        <w:t>위반 - 5, 27</w:t>
      </w:r>
    </w:p>
    <w:p>
      <w:pPr>
        <w:ind w:left="0" w:firstLine="0" w:hanging="0"/>
        <w:jc w:val="right"/>
      </w:pPr>
      <w:r>
        <w:rPr>
          <w:rFonts w:ascii="Times New Roman" w:hAnsi="굴림체" w:cs="굴림체" w:eastAsia="굴림체"/>
          <w:sz w:val="24"/>
        </w:rPr>
        <w:t>장애인권리위원회</w:t>
      </w:r>
    </w:p>
    <w:p>
      <w:pPr>
        <w:ind w:left="0" w:firstLine="0" w:hanging="0"/>
        <w:jc w:val="right"/>
      </w:pPr>
      <w:r>
        <w:rPr>
          <w:rFonts w:ascii="Times New Roman" w:hAnsi="굴림체" w:cs="굴림체" w:eastAsia="굴림체"/>
          <w:sz w:val="24"/>
        </w:rPr>
        <w:t>2020. 8. 21.</w:t>
      </w:r>
    </w:p>
    <w:p>
      <w:pPr>
        <w:ind w:left="0" w:firstLine="0" w:hanging="0"/>
        <w:jc w:val="righ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제출자: 리차드 사를린 (Richard Sahlin) (스웨덴청각장애인협회, 스웨덴청각장애인청소년협회 및 비정부기구인 메드라겐 솜 베르크티그에서 대리함)</w:t>
      </w:r>
    </w:p>
    <w:p>
      <w:pPr>
        <w:ind w:left="0" w:firstLine="0" w:hanging="0"/>
        <w:jc w:val="left"/>
      </w:pPr>
      <w:r>
        <w:rPr>
          <w:rFonts w:ascii="Times New Roman" w:hAnsi="굴림체" w:cs="굴림체" w:eastAsia="굴림체"/>
          <w:sz w:val="24"/>
        </w:rPr>
        <w:t>피해자: 통보인</w:t>
      </w:r>
    </w:p>
    <w:p>
      <w:pPr>
        <w:ind w:left="0" w:firstLine="0" w:hanging="0"/>
        <w:jc w:val="left"/>
      </w:pPr>
      <w:r>
        <w:rPr>
          <w:rFonts w:ascii="Times New Roman" w:hAnsi="굴림체" w:cs="굴림체" w:eastAsia="굴림체"/>
          <w:sz w:val="24"/>
        </w:rPr>
        <w:t>당사국: 스웨덴</w:t>
      </w:r>
    </w:p>
    <w:p>
      <w:pPr>
        <w:ind w:left="0" w:firstLine="0" w:hanging="0"/>
        <w:jc w:val="left"/>
      </w:pPr>
      <w:r>
        <w:rPr>
          <w:rFonts w:ascii="Times New Roman" w:hAnsi="굴림체" w:cs="굴림체" w:eastAsia="굴림체"/>
          <w:sz w:val="24"/>
        </w:rPr>
        <w:t>제출일: 2018-01-23</w:t>
      </w:r>
    </w:p>
    <w:p>
      <w:pPr>
        <w:ind w:left="0" w:firstLine="0" w:hanging="0"/>
        <w:jc w:val="left"/>
      </w:pPr>
      <w:r>
        <w:rPr>
          <w:rFonts w:ascii="Times New Roman" w:hAnsi="굴림체" w:cs="굴림체" w:eastAsia="굴림체"/>
          <w:sz w:val="24"/>
        </w:rPr>
        <w:t>참고문서: 위원회 절차규칙 제70조에 따라 취한 결정, 2018년 2월 27일 당사국송부 (문서 형태로 발행되지 않음)</w:t>
      </w:r>
    </w:p>
    <w:p>
      <w:pPr>
        <w:ind w:left="0" w:firstLine="0" w:hanging="0"/>
        <w:jc w:val="left"/>
      </w:pPr>
      <w:r>
        <w:rPr>
          <w:rFonts w:ascii="Times New Roman" w:hAnsi="굴림체" w:cs="굴림체" w:eastAsia="굴림체"/>
          <w:sz w:val="24"/>
        </w:rPr>
        <w:t>채택일: 2020. 8. 21.</w:t>
      </w:r>
    </w:p>
    <w:p>
      <w:pPr>
        <w:ind w:left="0" w:firstLine="0" w:hanging="0"/>
        <w:jc w:val="left"/>
      </w:pPr>
      <w:r>
        <w:rPr>
          <w:rFonts w:ascii="Times New Roman" w:hAnsi="굴림체" w:cs="굴림체" w:eastAsia="굴림체"/>
          <w:sz w:val="24"/>
        </w:rPr>
        <w:t>주제: 채용절차와 직장에서의 적절한 변형과 조정</w:t>
      </w:r>
    </w:p>
    <w:p>
      <w:pPr>
        <w:ind w:left="0" w:firstLine="0" w:hanging="0"/>
        <w:jc w:val="left"/>
      </w:pPr>
      <w:r>
        <w:rPr>
          <w:rFonts w:ascii="Times New Roman" w:hAnsi="굴림체" w:cs="굴림체" w:eastAsia="굴림체"/>
          <w:sz w:val="24"/>
        </w:rPr>
        <w:t>절차쟁점: 국내 구제절차의 소진, 주장의 소명</w:t>
      </w:r>
    </w:p>
    <w:p>
      <w:pPr>
        <w:ind w:left="0" w:firstLine="0" w:hanging="0"/>
        <w:jc w:val="left"/>
      </w:pPr>
      <w:r>
        <w:rPr>
          <w:rFonts w:ascii="Times New Roman" w:hAnsi="굴림체" w:cs="굴림체" w:eastAsia="굴림체"/>
          <w:sz w:val="24"/>
        </w:rPr>
        <w:t>본안쟁점: 평등 및 비차별, 법 앞의 동등한 인정, 근로 및 고용, 사실과 증거</w:t>
      </w:r>
    </w:p>
    <w:p>
      <w:pPr>
        <w:ind w:left="0" w:firstLine="0" w:hanging="0"/>
        <w:jc w:val="left"/>
      </w:pPr>
      <w:r>
        <w:rPr>
          <w:rFonts w:ascii="Times New Roman" w:hAnsi="굴림체" w:cs="굴림체" w:eastAsia="굴림체"/>
          <w:sz w:val="24"/>
        </w:rPr>
        <w:t>관련조항: 제3조, 제4조 제2항, 제5조 제2항 및 제3항, 제27조 제1항 제b호, 제g호, 제i호</w:t>
      </w:r>
    </w:p>
    <w:p>
      <w:pPr>
        <w:ind w:left="0" w:firstLine="0" w:hanging="0"/>
        <w:jc w:val="left"/>
      </w:pPr>
      <w:r>
        <w:rPr>
          <w:rFonts w:ascii="Times New Roman" w:hAnsi="굴림체" w:cs="굴림체" w:eastAsia="굴림체"/>
          <w:sz w:val="24"/>
        </w:rPr>
        <w:t>선택의정서 관련조항: 제2조 제d호 및 제e호</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개인통보 45/2018</w:t>
      </w:r>
    </w:p>
    <w:p>
      <w:pPr>
        <w:ind w:left="0" w:firstLine="0" w:hanging="0"/>
        <w:jc w:val="left"/>
      </w:pPr>
      <w:r>
        <w:rPr>
          <w:rFonts w:ascii="Times New Roman" w:hAnsi="굴림체" w:cs="굴림체" w:eastAsia="굴림체"/>
          <w:sz w:val="24"/>
        </w:rPr>
        <w:t>1. 통보인은 리차드 사를린 (Richard Sahlin)으로 스웨덴 국적이며, 1967년 6월 23일에 태어났다. 그는 청각장애가 있다. 통보인은 당사국이 협약 제3조, 제4조제2항, 제5조제2항 및 제3항, 그리고 제27조제1항제b호, 제g호, 제i호를 위반함으로써 피해를 겪었다고 주장한다. 협약 선택의정서는 2009년 1월 14일부로 당사국에서 발효되었다. 스웨덴청각장애인협회, 스웨덴청각장애인청소년협회, 그리고 비정부기구인 메드라겐 솜 베르크티그("법을 도구로")에서 통보인을 대리한다.</w:t>
      </w:r>
    </w:p>
    <w:p>
      <w:pPr>
        <w:ind w:left="0" w:firstLine="0" w:hanging="0"/>
        <w:jc w:val="center"/>
      </w:pPr>
      <w:r>
        <w:rPr>
          <w:rFonts w:ascii="Times New Roman" w:hAnsi="굴림체" w:cs="굴림체" w:eastAsia="굴림체"/>
          <w:sz w:val="24"/>
        </w:rPr>
        <w:t>A. 당사자들이 제출한 정보와 주장의 개요</w:t>
      </w:r>
    </w:p>
    <w:p>
      <w:pPr>
        <w:ind w:left="0" w:firstLine="0" w:hanging="0"/>
        <w:jc w:val="center"/>
      </w:pPr>
      <w:r>
        <w:rPr>
          <w:rFonts w:ascii="Times New Roman" w:hAnsi="굴림체" w:cs="굴림체" w:eastAsia="굴림체"/>
          <w:sz w:val="24"/>
        </w:rPr>
        <w:t>통보인이 제출한 사실관계</w:t>
      </w:r>
    </w:p>
    <w:p>
      <w:pPr>
        <w:ind w:left="0" w:firstLine="0" w:hanging="0"/>
        <w:jc w:val="left"/>
      </w:pPr>
      <w:r>
        <w:rPr>
          <w:rFonts w:ascii="Times New Roman" w:hAnsi="굴림체" w:cs="굴림체" w:eastAsia="굴림체"/>
          <w:sz w:val="24"/>
        </w:rPr>
        <w:t>2.1 통보인은 2004년에 공법학 박사학위를 취득했다. 그 이후로 다양한 대학에서 단기 계약직으로 근무해 왔다. 현재 그는 우메오 대학(Umeå University)에서 강사로 일하고 있다. 그는 스웨덴 수어로 강의하며, 스웨덴어로 구술 통역된다.</w:t>
      </w:r>
    </w:p>
    <w:p>
      <w:pPr>
        <w:ind w:left="0" w:firstLine="0" w:hanging="0"/>
        <w:jc w:val="left"/>
      </w:pPr>
      <w:r>
        <w:rPr>
          <w:rFonts w:ascii="Times New Roman" w:hAnsi="굴림체" w:cs="굴림체" w:eastAsia="굴림체"/>
          <w:sz w:val="24"/>
        </w:rPr>
        <w:t>2.2 2015년 봄, 공공기관인 쇠데르턴 대학(Södertörn University)에서는 공법 분야의 강사(부교수)의 정규직에 관한 채용을 공고했다. 통보인은 이전에 쇠데르턴 대학에서 임시로 고용되었던 적이 있었기 때문에, 대학 당국은 그가 수어 통역이 필요하다는 점을 알고 있었다. 통보인은 채용 담당자에 의해 지원자들 중 가장 적합한 후보로 간주되었으며, 채용 절차의 일환으로 시연 강의를 할 기회를 얻었다. 그러나 그의 자격조건에도 불구하고 대학은 2016년 5월 17일에 채용 절차를 취소하기로 결정했다. 대학은 통보인이 동등한 고용 기회를 보장받기 위하여 지원하는 수어 통역 비용이 너무 비싸다고 주장했다. 통역 비용은 연간 520,000 스웨덴 크로나(약 55,341 달러)로 평가되었다. 대학은 연간 5000억 크로나 이상의 인건비 예산을 보유하고 있으며, 2016년에는 1억 8700만 스웨덴 크로나(약 2,000만 달러)의 예산이 남았다. 또한 대학은 채용 절차의 어느 단계에서도 통역이 필요하지 않은 대체 업무(학생 감독 및 시험과 웹 기반 지도)를 포함한 업무 조정 또는 정당한 편의제공 방법에 대한 추가 조사를 고려하지 않았다.</w:t>
      </w:r>
    </w:p>
    <w:p>
      <w:pPr>
        <w:ind w:left="0" w:firstLine="0" w:hanging="0"/>
        <w:jc w:val="left"/>
      </w:pPr>
      <w:r>
        <w:rPr>
          <w:rFonts w:ascii="Times New Roman" w:hAnsi="굴림체" w:cs="굴림체" w:eastAsia="굴림체"/>
          <w:sz w:val="24"/>
        </w:rPr>
        <w:t>2.3 통보인은 차별옴부즈만(Discrimination Ombudsman)에 진정을 제기했고, 차별옴부즈만은 그를 대리하여 스웨덴 노동법원에 소송을 제기했다. 통보인은 채용취소 결정이 차별에 해당하며 차별금지법의 제1장제4절제3항 및 제2장제1절을 위반하는 것이라고 주장했다. 같은 취지로 차별옴부즈만은 통보인은 그가 겪은 차별에 대해 100,000 스웨덴 크로나(10,695달러)의 보상금을 받을 자격이 있다고 주장했다.</w:t>
      </w:r>
    </w:p>
    <w:p>
      <w:pPr>
        <w:ind w:left="0" w:firstLine="0" w:hanging="0"/>
        <w:jc w:val="left"/>
      </w:pPr>
      <w:r>
        <w:rPr>
          <w:rFonts w:ascii="Times New Roman" w:hAnsi="굴림체" w:cs="굴림체" w:eastAsia="굴림체"/>
          <w:sz w:val="24"/>
        </w:rPr>
        <w:t>2.4 2017년 10월 11일, 법원은 대학이 필요한 수어 통역을 지원하기에는 비용이 지나치게 많이 들어서 채용이 취소되었다는 점을 고려할 때 대학이 통보인을 차별한 것이 아니라고 판단하였다. 법원은 대학의 교직원 인건비 예산 규모에도 불구하고, 매년 52만 스웨덴 크로나 상당의 수어 통역 비용을 부담하도록 요구하는 것은 합리적이지 않다고 판단했다. 해당 법원은 노동분쟁법(사법 절차)에 따라 심리되는 사건의 최종심이다.</w:t>
      </w:r>
    </w:p>
    <w:p>
      <w:pPr>
        <w:ind w:left="0" w:firstLine="0" w:hanging="0"/>
        <w:jc w:val="center"/>
      </w:pPr>
      <w:r>
        <w:rPr>
          <w:rFonts w:ascii="Times New Roman" w:hAnsi="굴림체" w:cs="굴림체" w:eastAsia="굴림체"/>
          <w:sz w:val="24"/>
        </w:rPr>
        <w:t>진정 내용</w:t>
      </w:r>
    </w:p>
    <w:p>
      <w:pPr>
        <w:ind w:left="0" w:firstLine="0" w:hanging="0"/>
        <w:jc w:val="left"/>
      </w:pPr>
      <w:r>
        <w:rPr>
          <w:rFonts w:ascii="Times New Roman" w:hAnsi="굴림체" w:cs="굴림체" w:eastAsia="굴림체"/>
          <w:sz w:val="24"/>
        </w:rPr>
        <w:t>3.1 통보인은 당사국이 근로에 대한 동등한 권리와 정당한 편의제공 의무를 이행하지 않았다고 주장하며, 이는 협약 제5조제2항 및 제3항, 제27조제1항제b호, 제g호, 제i호에 따른 의무 위반이라고 주장한다. 그는 당사국이 정당한 편의제공의 의무를 고용주에게만 지우지 않았다면, 이러한 위반을 방지할 수 있었을 것이라고 주장한다. 당사국은 국가 예산에서 특정 자금을 지원하거나 국립대학과 공공기관이 장애인 고용을 위한 정당한 편의제공에 필요한 재정적 전제조건을 갖추고 의무를 명확하게 수행하도록 해야 했다. 만약 그랬다면, 본 사안에서 그가 지원한 직책의 업무수행을 위한 정당한 편의제공을 요구하는 것은 과도하거나 불합리한 일이 아니었을 것이다.</w:t>
      </w:r>
    </w:p>
    <w:p>
      <w:pPr>
        <w:ind w:left="0" w:firstLine="0" w:hanging="0"/>
        <w:jc w:val="left"/>
      </w:pPr>
      <w:r>
        <w:rPr>
          <w:rFonts w:ascii="Times New Roman" w:hAnsi="굴림체" w:cs="굴림체" w:eastAsia="굴림체"/>
          <w:sz w:val="24"/>
        </w:rPr>
        <w:t>3.2 통보인은 당사국이 국내 법률 해석에서 협약의 기준을 준수하지 않음으로써 판단의 재량을 일탈했다고 주장한다. 노동법원의 판결은 위원회의 일반논평 제2호(2014)의 요구사항을 충족하지 않는다. 일반논평에 따르면, 직장 자체가 접근 가능하지 않은 경우에 장애인은 협약 제27조에서 설명된 권리를 실질적으로 누릴 수 없다. 따라서 직장은 협약 제9조제1항제a호에 명시된 바와 같이 접근 가능해야 한다. 근무 환경 조정을 거부하는 것은 장애를 이유로 한 차별에 해당하는 금지행위이다.</w:t>
      </w:r>
    </w:p>
    <w:p>
      <w:pPr>
        <w:ind w:left="0" w:firstLine="0" w:hanging="0"/>
        <w:jc w:val="left"/>
      </w:pPr>
      <w:r>
        <w:rPr>
          <w:rFonts w:ascii="Times New Roman" w:hAnsi="굴림체" w:cs="굴림체" w:eastAsia="굴림체"/>
          <w:sz w:val="24"/>
        </w:rPr>
        <w:t>3.3 통보인은 또한 당사국이 협약 제4조제2항에 따른 자신의 권리를 보호하지 못했다고 주장한다. 당사국과 쇠데르턴 대학 모두 2016 회계연도에 예산 흑자를 기록했다. *1 ) 따라서 수어 통역 비용을 충당하도록 요구하는 것은 비합리적이지 않다. 당사국의 재량은 개인의 권리를 소홀히 하는 행위까지 확장되지 않으며, 당사국은 잉여금이 협약에 따른 의무와 관련하여 더 긴급한 사회적 필요를 위해 사용되었음을 입증하지 않았다.</w:t>
      </w:r>
    </w:p>
    <w:p>
      <w:pPr>
        <w:ind w:left="0" w:firstLine="0" w:hanging="0"/>
        <w:jc w:val="left"/>
      </w:pPr>
      <w:r>
        <w:rPr>
          <w:rFonts w:ascii="Times New Roman" w:hAnsi="굴림체" w:cs="굴림체" w:eastAsia="굴림체"/>
          <w:sz w:val="24"/>
        </w:rPr>
        <w:t>3.4 또한 통보인은 대학은 통보인이 지원한 직책에 상응하는 기능을 수행할 수 있도록 하는 정당한 편의를 제공하기 위하여 다른 조치가 채택될 수 있는지 고려하지 않았다고 주장한다. 쇠데르턴 대학은 수어 통역이 너무 비용이 많이 소요될 것이라고 판단한 이후, 통보인이 수어 통역이 필요하지 않은 대체업무, 즉 학생을 감독하거나, 학생의 성과를 검토하고, 온라인 채팅을 통해 학생 관련 문제를 관리하는 등의 업무를 수행할 수 있는지 조사하지 않았다. 만약 이러한 업무조정이 있었다면, 실제 총 비용은 대학이 제시한 금액보다 크게 감소했을 것이다. 이러한 조치는 대략적으로 연간 약 10만 스웨덴 크로나 (약 10,695 달러) 정도의 비용이 든다. 당사국은 대체 업무를 포함하여 가능한 모든 편의제공의 방법이 지나친 부담을 초래한다는 결론을 뒷받침하기 위한 충분한 증거나 분석을 제시하지 못했다.</w:t>
      </w:r>
    </w:p>
    <w:p>
      <w:pPr>
        <w:ind w:left="0" w:firstLine="0" w:hanging="0"/>
        <w:jc w:val="left"/>
      </w:pPr>
      <w:r>
        <w:rPr>
          <w:rFonts w:ascii="Times New Roman" w:hAnsi="굴림체" w:cs="굴림체" w:eastAsia="굴림체"/>
          <w:sz w:val="24"/>
        </w:rPr>
        <w:t>3.5 또한 통보인은 요청된 편의제공의 합리성을 평가할 때 당사국이 통보인을 부교수로 고용함으로써 얻을 수 있는 이점을 고려하지 않았다고 주장한다. 통보인은 장애가 있고 장애인 권리에 대한 지식을 갖고 있기 때문에 쇠데르턴 대학에 값진 공헌을 할 수 있고, 쇠데르턴 대학이 모든 소외 계층에게 개방적이고 포용적이라는 것을 보여줄 수 있었다. 장애가 있는 부교수가 있으면 학생들은 전문적인 방식으로 장애인과 상호 작용할 수 있다. 그렇게 하지 않은 것은 당사국이 협약 제8조를 위반하여 장애인에 대한 인식을 제고해야 하는 의무를 위반하는 것이다.</w:t>
      </w:r>
    </w:p>
    <w:p>
      <w:pPr>
        <w:ind w:left="0" w:firstLine="0" w:hanging="0"/>
        <w:jc w:val="left"/>
      </w:pPr>
      <w:r>
        <w:rPr>
          <w:rFonts w:ascii="Times New Roman" w:hAnsi="굴림체" w:cs="굴림체" w:eastAsia="굴림체"/>
          <w:sz w:val="24"/>
        </w:rPr>
        <w:t>3.6 마지막으로 통보인은 언급된 위반 사항들이 모두 협약의 제3조에 규정된 일반 원칙들의 관점에서 해석되어야 한다고 주장한다. 특히, 차별금지에 관한 제3조의 제b항, 사회에서의 완전하고 효과적인 참여와 포용에 관한 제c항, 기회의 평등에 관한 제e항, 그리고 접근성에 관한 제f항 항목을 강조한다. 채용 절차를 취소함으로써 당사국은 협약의 제4조제2항, 제5조, 제9조 및 제27조를 위반하며, 특히 제3조와 연계하여 통보인의 공적 영역에서의 고용에 대한 평등한 기회를 가질 권리를 존중하지 않았다고 주장한다.</w:t>
      </w:r>
    </w:p>
    <w:p>
      <w:pPr>
        <w:ind w:left="0" w:firstLine="0" w:hanging="0"/>
        <w:jc w:val="center"/>
      </w:pPr>
      <w:r>
        <w:rPr>
          <w:rFonts w:ascii="Times New Roman" w:hAnsi="굴림체" w:cs="굴림체" w:eastAsia="굴림체"/>
          <w:sz w:val="24"/>
        </w:rPr>
        <w:t>심리적격과 본안에 대한 당사국 견해</w:t>
      </w:r>
    </w:p>
    <w:p>
      <w:pPr>
        <w:ind w:left="0" w:firstLine="0" w:hanging="0"/>
        <w:jc w:val="left"/>
      </w:pPr>
      <w:r>
        <w:rPr>
          <w:rFonts w:ascii="Times New Roman" w:hAnsi="굴림체" w:cs="굴림체" w:eastAsia="굴림체"/>
          <w:sz w:val="24"/>
        </w:rPr>
        <w:t>4.1 2018년 7월 4일, 당사국은 심리적격과 본안에 대한 견해를 제출했다. 당사국은 본 진정이 주장의 입증이 불충분하며 국내 구제절차가 소진되지 않아 심리불가능하다고 주장했다.</w:t>
      </w:r>
    </w:p>
    <w:p>
      <w:pPr>
        <w:ind w:left="0" w:firstLine="0" w:hanging="0"/>
        <w:jc w:val="left"/>
      </w:pPr>
      <w:r>
        <w:rPr>
          <w:rFonts w:ascii="Times New Roman" w:hAnsi="굴림체" w:cs="굴림체" w:eastAsia="굴림체"/>
          <w:sz w:val="24"/>
        </w:rPr>
        <w:t>4.2 당사국은 평등과 차별금지와 관련된 국내법을 참조한다. 스웨덴 헌법 제1장 제2조에 따르면, 공공 기관은 모든 사람이 사회에서 참여하고 평등을 달성할 수 있는 기회를 촉진하여야 하며, 공공기관은 차별 – 특히 장애를 이유로 하는 차별에 맞서야 한다. 본 사안과 관련된 국내 조항은 차별금지법에 있다. 차별금지법 제1장 제4절에 따르면 불충분한 접근성은 차별의 한 형태로 간주된다. 이 조항은 2015년 1월에 시행되었으며, 차별금지법을 협약과 조화시키기 위한 목적으로 제정되었다.</w:t>
      </w:r>
    </w:p>
    <w:p>
      <w:pPr>
        <w:ind w:left="0" w:firstLine="0" w:hanging="0"/>
        <w:jc w:val="left"/>
      </w:pPr>
      <w:r>
        <w:rPr>
          <w:rFonts w:ascii="Times New Roman" w:hAnsi="굴림체" w:cs="굴림체" w:eastAsia="굴림체"/>
          <w:sz w:val="24"/>
        </w:rPr>
        <w:t>4.3 차별금지의 첫 번째 필수 전제 조건은 개인이 "불이익을 당했다‘는 것이다. 이는 예를 들어 구직자가 불리한 위치에 놓이거나 개선, 혜택 또는 서비스 조치에서 제외되는 것을 의미한다. 결정적인 요소는 부정적인 결과가 발생한다는 점이다. 또 다른 기준은 접근성 향상 조치를 취하지 않았다는 것이다. 또한 취한 조치가 불충분했다는 것을 의미할 수도 있다. "비교 가능한 상황" 기준도 중요하다. 이것은 장애가 있는 사람의 상황과 장애가 없는 다른 사람들의 상황을 비교해야 한다는 것을 의미한다. 직장 생활에서 이 비교는 주로 장애가 있는 사람이 특정 직무를 수행하는 능력과 동일한 다른 구직자나 장애가 없는 직원을 비교하는 것과 관련이 있다. 고용주는 장애의 영향이 정당한 편의제공을 통해 제거되거나 감소될 수 있는 경우, 그 장애로 인해 직무 수행 능력이 제한되는 것을 고려해서는 안 된다.</w:t>
      </w:r>
    </w:p>
    <w:p>
      <w:pPr>
        <w:ind w:left="0" w:firstLine="0" w:hanging="0"/>
        <w:jc w:val="left"/>
      </w:pPr>
      <w:r>
        <w:rPr>
          <w:rFonts w:ascii="Times New Roman" w:hAnsi="굴림체" w:cs="굴림체" w:eastAsia="굴림체"/>
          <w:sz w:val="24"/>
        </w:rPr>
        <w:t>4.4 당사국에 따르면 운영자가 비용을 감당할 수 있는 경우에만 그 조치는 합리적인 것으로 간주될 수 있다. 이것은 정규 공공 또는 민간활동의 범위 내에서 자금을 지원할 수 있어야 한다. 적절한 조치에는 직업용 보조기기의 구매 또는 직장 환경의 조정이 포함될 수 있다. 또한 근무 시간, 업무 또는 작업 방법의 변경하는 것 또한 포함할 수도 있다.</w:t>
      </w:r>
    </w:p>
    <w:p>
      <w:pPr>
        <w:ind w:left="0" w:firstLine="0" w:hanging="0"/>
        <w:jc w:val="left"/>
      </w:pPr>
      <w:r>
        <w:rPr>
          <w:rFonts w:ascii="Times New Roman" w:hAnsi="굴림체" w:cs="굴림체" w:eastAsia="굴림체"/>
          <w:sz w:val="24"/>
        </w:rPr>
        <w:t>4.5 차별옴부즈만은 차별금지법의 준수를 감시할 책임이 있다. 또한 자신이 차별로 인한 피해자라고 느끼는 사람을 대리하여 법적조치를 취할 수 있다. 이 절차는 개인에게 비용이 들지 않는다. 또한 차별 옴부즈만은 장애와 관련된 차별이 사회의 모든 영역에서 발생하지 않도록 하고 개인이 장애와 관계없이 동등한 권리와 기회를 누릴 수 있도록 해야한다.</w:t>
      </w:r>
    </w:p>
    <w:p>
      <w:pPr>
        <w:ind w:left="0" w:firstLine="0" w:hanging="0"/>
        <w:jc w:val="left"/>
      </w:pPr>
      <w:r>
        <w:rPr>
          <w:rFonts w:ascii="Times New Roman" w:hAnsi="굴림체" w:cs="굴림체" w:eastAsia="굴림체"/>
          <w:sz w:val="24"/>
        </w:rPr>
        <w:t>4.6 차별금지법의 제6장에는 해당 법에 따른 분쟁에 적용되는 절차에 관한 규정이 포함되어 있다. 분쟁은 노동분쟁법(사법절차)에 따라 처리되며, 이 경우 대개 본 사안처럼 노동법원으로 직접 제기되어 단심 재판으로 다루어지거나, 노동법원에 항소할 수 있는 가능성을 가지고 지방법원에서 1심으로 제기된다.</w:t>
      </w:r>
    </w:p>
    <w:p>
      <w:pPr>
        <w:ind w:left="0" w:firstLine="0" w:hanging="0"/>
        <w:jc w:val="left"/>
      </w:pPr>
      <w:r>
        <w:rPr>
          <w:rFonts w:ascii="Times New Roman" w:hAnsi="굴림체" w:cs="굴림체" w:eastAsia="굴림체"/>
          <w:sz w:val="24"/>
        </w:rPr>
        <w:t>4.7 스웨덴의 차별금지법은 유럽 연합 이사회의 다양한 차별금지 지침에 기반을 두고 있는데, 고용 및 직업에서의 평등한 대우에 관한 일반적인 기틀을 마련한 2000년 11월 27일에 채택된 이사회 지침 2000/78/EC도 그 중 하나이다. 이 지침은 차별금지법을 통해 스웨덴법에 구현되었다. 이 지침의 제5조는 고용주가 필요한 경우 장애인이 고용에 접근 및 참여하고 승진하거나 교육을 받을 수 있도록 적절한 조치를 취하도록 규정하고 있으며, 이러한 조치는 고용주에게 지나친 부담을 주지 않는 한 적용된다. 전문의 제21조는 고용주에게 지나치게 부담이 되는지 여부를 결정하기 위해서는 특히 수반되는 재정 및 기타 비용, 조직 또는 기업의 규모와 재정 자원, 공공 자금 또는 기타 지원을 얻을 가능성 등을 고려해야 한다고 명시한다.</w:t>
      </w:r>
    </w:p>
    <w:p>
      <w:pPr>
        <w:ind w:left="0" w:firstLine="0" w:hanging="0"/>
        <w:jc w:val="left"/>
      </w:pPr>
      <w:r>
        <w:rPr>
          <w:rFonts w:ascii="Times New Roman" w:hAnsi="굴림체" w:cs="굴림체" w:eastAsia="굴림체"/>
          <w:sz w:val="24"/>
        </w:rPr>
        <w:t>4.8 본 사안에서 노동법원은 통역 비용을 계산했는데, 여기에는 스웨덴 공공고용서비스가 장애로 인하여 근로 능력에 영향이 있으며 구직이 필요하거나 고용유지 기회를 강화하여야 하는 장애인을 위한 특별 조치로 제공할 수 있는 임금 보조금 및 일상 통역 지원금 *2 ) 이 포함되어 있다. 고용주는 업무 능력에 영향을 미치는 장애를 가진 사람을 고용할 때 이러한 보조금을 신청할 수 있다. 해당 장애인은 실직 상태이어야 하고, 스웨덴 고용서비스에 구직자로 등록되어 있어야 하며, 고용기간 동안 급여의 일부를 지원받을 수 있다. 임금 보조금은 직장에서 필요한 모든 편의제공을 보상하기 위한 것이며, 보조금의 수준은 그 사람이 필요로 하는 조정과 지원에 따라 다르다. 스웨덴 고용서비스는 고용주와 함께 직원의 업무능력을 향상시키기 위한 계획을 작성한다. 직원은 해당 업계에서 단체 협약에 부합하는 임금과 기타 혜택을 받아야 한다. 임금 보조금의 수준은 고용주가 채용하기 원하는 사람의 임금비용과 업무능력에 따라 달라진다. 직원의 업무 능 개발에 기여하는 조치에 대한 재정 지원으로서 자기계발 수당도 가능하다. 2016년에는 90,000명 이상의 장애인이 공공고용서비스의 다양한 재정적 지원을 받아 고용되었다. 그 중 약 29,270명이 임금 보조금을 받고 고용되었다.</w:t>
      </w:r>
    </w:p>
    <w:p>
      <w:pPr>
        <w:ind w:left="0" w:firstLine="0" w:hanging="0"/>
        <w:jc w:val="left"/>
      </w:pPr>
      <w:r>
        <w:rPr>
          <w:rFonts w:ascii="Times New Roman" w:hAnsi="굴림체" w:cs="굴림체" w:eastAsia="굴림체"/>
          <w:sz w:val="24"/>
        </w:rPr>
        <w:t>4.9 또한 2018년 예산안에서는 직장 생활에서 모든 사람의 기술을 활용하는 것이 중요하다고 명시하고 있다. 이를 위해서는 고용주와 직원 간의 원활한 의사소통이 필요하다. 그러한 맥락에서 정부는 청각장애인 또는 시청각장애인을 위한 노동시장 기회를 강화하기 위해 직장 생활에서 통역 서비스의 이용가능성을 높일 계획이었다. 이를 위해 2018년부터 2020년까지 매년 1,500만 스웨덴 크로나를 배정했다. *3 ) 또한 국가보건복지위원회가 통역 서비스를 위해 매년 7,500만 스웨덴 크로나를 카운티 의회에 할당하는 정부보조금도 있다. 또한 카운티 의회는 자체 재원으로 약 1억 5,600만 스웨덴 크로나를 책정했다.</w:t>
      </w:r>
    </w:p>
    <w:p>
      <w:pPr>
        <w:ind w:left="0" w:firstLine="0" w:hanging="0"/>
        <w:jc w:val="left"/>
      </w:pPr>
      <w:r>
        <w:rPr>
          <w:rFonts w:ascii="Times New Roman" w:hAnsi="굴림체" w:cs="굴림체" w:eastAsia="굴림체"/>
          <w:sz w:val="24"/>
        </w:rPr>
        <w:t>4.10 당사국은 대학이 2016년 5월 17일에 통보인과 관련된 채용 절차를 취소하기로 결정하자, 통보인이 고등교육심의위원회(Higher Education Appeals Board)에 이의신청을 제기하였다는 점에 주목한다. 통보인은 위원회에 대학의 결정을 취소할 것을 요청했으며, 대학이 부적절한 접근성의 형태로 차별 금지 규정을 위반했다고 주장했다. 그는 또한 대학이 업무의 재분배 또는 기술적 해결책을 통해 통역의 필요성을 줄일 수 있는지 여부를 검토하지 않았으며, 차별금지법의 준비문서(travaux préparatoires)에 따라 대학은 평등한 대우에 대한 자신의 정당한 주장과 대학의 재정 상황 사이에 신중한 균형을 잡아야 할 의무가 있다고 주장했다. 그는 또한 위원회가 자신의 신청을 심의할 수 없다고 결정하는 경우, 위원회는 자신의 신청을 행정법원에 제출해야 한다고 요청했다. 이와 관련하여 당사국은 공적 영역에서의 고용 문제는 유럽인권재판소의 판례에 따라 인권에 관한 문제이며 유럽인권협약 제14조의 차별금지 관점에서 이 문제를 보아야 한다는 통보인의 주장에 주목한다.</w:t>
      </w:r>
    </w:p>
    <w:p>
      <w:pPr>
        <w:ind w:left="0" w:firstLine="0" w:hanging="0"/>
        <w:jc w:val="left"/>
      </w:pPr>
      <w:r>
        <w:rPr>
          <w:rFonts w:ascii="Times New Roman" w:hAnsi="굴림체" w:cs="굴림체" w:eastAsia="굴림체"/>
          <w:sz w:val="24"/>
        </w:rPr>
        <w:t>4.11 2016년 7월 1일 고등교육심의위원회는 통보인의 신청을 기각하고 해당 사건을 스톡홀름 행정법원에 제출했다. 2017년 1월 26일, 행정법원은 통보인의 소송을 기각하고, 행정절차법 제22조에 따라 해당 결정이 자신에게 불리한 영향을 미치며 항소의 대상인 경우, 이에 대해 항소할 수 있다고 밝혔다. 일반행정법원에 항소할 수 있으나, 고용 문제에 관한 결정에는 적용되지 않는다. 쇠데르턴 대학의 결정은 고용 문제에 관한 것이므로 이 조항에 따라 일반행정법원의 판결 대상이 될 수 없다. 그러나 행정절차법 제3조에 따르면 이 법의 항소에 관한 규정은 유럽인권협약 6.1에 명시된 바와 같이 시민권 또는 의무를 결정함에 있어 공정한 재판을 받을 권리를 보장하기 위해 필요한 경우에는 항상 적용되어야 한다. 법원의 결정에 따르면, 대학의 결정은 유럽인권협약의 의미 내에서 시민권과 관련이 없다. 이에 따라 통보인의 소송은 기각되었다.</w:t>
      </w:r>
    </w:p>
    <w:p>
      <w:pPr>
        <w:ind w:left="0" w:firstLine="0" w:hanging="0"/>
        <w:jc w:val="left"/>
      </w:pPr>
      <w:r>
        <w:rPr>
          <w:rFonts w:ascii="Times New Roman" w:hAnsi="굴림체" w:cs="굴림체" w:eastAsia="굴림체"/>
          <w:sz w:val="24"/>
        </w:rPr>
        <w:t>4.12 통보인은 채용 절차가 취소된 후 자신이 차별을 받았다고 주장하며 대학의 결정을 차별옴부즈만에 신고했다. 옴부즈만은 감독을 시작하기로 결정했다. 이런 상황에서, 옴부즈만은 2016년 6월 16일에 대학에 편지를 보내 옴부즈만에 보고한 통보인의 진술에 대한 대학의 견해를 포함하여 몇 가지 질문을 했다. 그 중 한 가지 질문은 대학이 통보인에게 통역 비용이 적게 드는 대체 업무를 제안하는 것이 가능한지 여부였다. 옴부즈만은 또한 통보인이 이메일을 통한 학생 감독 및 지도를 하거나, 온라인 채팅룸을 통해 시험을 실시하고 그룹을 교육하거나, 강의를 녹음하는 등의 강의실 수업 이외의 방법으로 가르칠 수 있다고 제안했다고 보고했다. 옴부즈만은 또한 통보인이 행정 및 연구 업무를 수행할 수 있다고 제안했다고 밝혔다. 대학은 2016년 7월 8일에 답변했다. 대학은 공법학 강사로 채용 공고를 냈으며, 이는 주로 강의를 담당하는 직책이라고 밝혔다. 또한 통역 비용을 크게 줄이기 위해 현재 직책의 업무를 변경하거나 대학의 다른 직원에게 강의 업무를 재분배하는 것은 채용요구에 부합하지 않는다고 밝혔다. 또한, 재정적인 이유로 교육의 대다수는 개별 학생을 원격으로 감독하는 방식이 아닌 대규모 그룹교육으로 이루어져야 한다. 온라인 채팅방이나 녹음된 강의를 통해 교육을 수행하는 것은 쇠데르턴 대학의 공법 프로그램에 과도하고 광범위한 변경을 수반하므로 이는 합리적이라고 간주될 수 없다. 일부 변경이 가능하더라도 통역 지원의 필요성에 큰 변화를 가져올 것으로 기대할 수는 없다는 것이다.</w:t>
      </w:r>
    </w:p>
    <w:p>
      <w:pPr>
        <w:ind w:left="0" w:firstLine="0" w:hanging="0"/>
        <w:jc w:val="left"/>
      </w:pPr>
      <w:r>
        <w:rPr>
          <w:rFonts w:ascii="Times New Roman" w:hAnsi="굴림체" w:cs="굴림체" w:eastAsia="굴림체"/>
          <w:sz w:val="24"/>
        </w:rPr>
        <w:t>4.13 2016년 11월 16일 차별옴부즈만은 노동법원에 국가를 상대로 소송을 제기했다. 법원은 2017년 4월 4일 1시간 동안 예비심리를 진행했다. 본 심리는 2017년 8월 30일에 열렸다. 판사 5명과 법원 서기 외에 차별옴부즈만 소송 변호사 2명, 대학 변호사 1명, 통보인, 수어통역사 2명이 참석했다. 심리는 1시간 50분 동안 진행됐다.</w:t>
      </w:r>
    </w:p>
    <w:p>
      <w:pPr>
        <w:ind w:left="0" w:firstLine="0" w:hanging="0"/>
        <w:jc w:val="left"/>
      </w:pPr>
      <w:r>
        <w:rPr>
          <w:rFonts w:ascii="Times New Roman" w:hAnsi="굴림체" w:cs="굴림체" w:eastAsia="굴림체"/>
          <w:sz w:val="24"/>
        </w:rPr>
        <w:t>4.14 당사국은 또한 통보인이 2016년 대학 예산 잉여금으로 1억 8,700만 스웨덴 크로나를 "미사용 기부금"으로 언급한 내용이 부정확하다고 주장한다. “미사용 기부금”은 주로 연구 목적으로 외부 출처로부터 지급된 금액으로서 대학의 활동에 아직 사용되지 않은 금액을 의미한다. 이는 특정 연구 프로젝트용으로 이미 지정되어 있으므로 다른 목적으로 사용할 수 없다. 통보인은 또한 대학 기관 자본, 즉 공립 대학이 받은 공공연구 및 교육자금을 모두 활용하지 않았을 때 발생할 수 있는 잉여금에 대해서도 언급한다. 기관자금은 연간 수입원이 아니며, 대학이 받은 목적에 맞게 사용해야 한다. 마지막으로, 통보인이 2016년 중앙정부 예산에서 365억 스웨덴 크로나를 "잉여금"이라고 칭하고 언급할 때, 재정기본정책의 핵심요소 중 하나는 입법화되고 규율있는 중앙정부 예산프로세스라는 점을 주목해야 한다. 이 프로세스에서는 다양한 지출이 각각 배정되어 있다. 장애인의 권리와 가능성을 증진하고 보호하기 위한 조치는 예산의 여러 지출분야에서 찾아볼 수 있다. 2016년 국가 부채는 12억 9200만 스웨덴 크로나(1억 3762만 달러)에 달했다.</w:t>
      </w:r>
    </w:p>
    <w:p>
      <w:pPr>
        <w:ind w:left="0" w:firstLine="0" w:hanging="0"/>
        <w:jc w:val="left"/>
      </w:pPr>
      <w:r>
        <w:rPr>
          <w:rFonts w:ascii="Times New Roman" w:hAnsi="굴림체" w:cs="굴림체" w:eastAsia="굴림체"/>
          <w:sz w:val="24"/>
        </w:rPr>
        <w:t>4.15 개인 진정의 심리적격과 관련하여 당사국은 현재 문제가 다른 국제조사 또는 조정절차의 대상이 되었거나 진행 중인 사실을 알지 못한다고 언급한다.</w:t>
      </w:r>
    </w:p>
    <w:p>
      <w:pPr>
        <w:ind w:left="0" w:firstLine="0" w:hanging="0"/>
        <w:jc w:val="left"/>
      </w:pPr>
      <w:r>
        <w:rPr>
          <w:rFonts w:ascii="Times New Roman" w:hAnsi="굴림체" w:cs="굴림체" w:eastAsia="굴림체"/>
          <w:sz w:val="24"/>
        </w:rPr>
        <w:t>4.16 국내 구제절차의 소진과 관련하여, 당사국은 통보인이 행정법원의 결정에 대해 스톡홀름 행정항소법원에 항소했다는 점과, 2017년 4월 7일에 스톡홀름 행정항소법원이 항소를 인정하지 않았다는 점을 언급한다. 행정항소법원의 결정은 최고행정법원에 항소할 수 있으며 항소 방법에 대한 정보가 포함된 부록을 참조할 수 있다. 그러한 항소를 통해 통보인은 대학의 결정에 항소할 자격이 있다는 사실을 확인하고 궁극적으로 대학의 결정이 취소되어야 한다는 주장에 대한 심사를 받을 수 있었음에도 불구하고 통보인은 그렇게 하지 않았다. 항소가 성공할 가능성이 없거나 부당하게 장기화될 것이라는 점을 시사하는 것은 없다. 따라서 당사국은 통보인이 가능한 모든 국내 구제절차를 소진하지는 않았다고 간주한다.</w:t>
      </w:r>
    </w:p>
    <w:p>
      <w:pPr>
        <w:ind w:left="0" w:firstLine="0" w:hanging="0"/>
        <w:jc w:val="left"/>
      </w:pPr>
      <w:r>
        <w:rPr>
          <w:rFonts w:ascii="Times New Roman" w:hAnsi="굴림체" w:cs="굴림체" w:eastAsia="굴림체"/>
          <w:sz w:val="24"/>
        </w:rPr>
        <w:t>4.17 선택의정서 제2조제c항 및 제d항과 관련된 위원회의 심사 결과와 상관없이, 당사국은 해당 개인통보가 명백한 근거가 없기 때문에 선택의정서 제2조제e항에 따라 허용될 수 없다고 주장한다. 이와 관련하여 당사국은 아래에 기술된 본안에 대한 주장을 참조한다.</w:t>
      </w:r>
    </w:p>
    <w:p>
      <w:pPr>
        <w:ind w:left="0" w:firstLine="0" w:hanging="0"/>
        <w:jc w:val="left"/>
      </w:pPr>
      <w:r>
        <w:rPr>
          <w:rFonts w:ascii="Times New Roman" w:hAnsi="굴림체" w:cs="굴림체" w:eastAsia="굴림체"/>
          <w:sz w:val="24"/>
        </w:rPr>
        <w:t>4.18 진정내용 전체가 심리불가능하다고 선언되지 않은 경우에도 당사국은 최소한 진정내용의 일부에 대해서는 심리불가능하다고 선언해야 한다고 주장한다. 통보인은 위원회에 제기된 모든 주장과 관련하여 국내 법원에 먼저 실질적인 청구를 제기했어야 한다. *4 ) 본 사안에서 통보인은 자신의 필요와 고용조건에 대한 기타 가능한 조정에 관한 충분한 조사를 거부하는 것 자체가 정당한 편의를 받을 권리를 침해하는 것이라고 주장한다. 그러나 노동법원의 판결은 통보인이 해당 주장과 관련하여 국내 법원에 어떠한 문제도 제기하지 않았음을 분명히 보여준다. 법원에서 제기된 분쟁은 청각장애인 통역의 비용과 합리성에 관한 것이었다. 즉, 위원회가 주목하는 바와 같이 당사자들은 어떤 편의가 필요한지에 대해서는 동의했지만, *5 ) 그 비용이 과중하고 부당한 부담이라는 점에 대해서는 이견을 보였다. 고용인은 업무구성 방식, 근무시간 또는 작업 변경을 포함하는 가능한 편의제공을 문의할 의무가 있다. 그러나 노동법원은 분쟁 당사자들이 제기한 문제에 대해서만 판결을 내릴 수 있다. *6 ) 이 사건에서 통보인은 노동법원에 편의제공에 대한 조사가 부족하다는 문제를 제기하지 않았으므로 대학이 그런 조사를 했어야 했는지에 대한 평가는 배제되었다. 노동법원에 이러한 상황을 제기하는 것이 성공할 가능성이 없거나 절차를 불합리하게 연장하게 될 것이라는 점을 시사하는 것은 없었다. 노동법원에서 대학의 조사가 부족했다는 점을 지적했다면, 통보인이 차별을 받았다는 판결이 나올 수도 있었다. 따라서 편의제공에 대한 조사가 부족하다는 통보인의 주장과 관련된 부분은 심리불가능하다.</w:t>
      </w:r>
    </w:p>
    <w:p>
      <w:pPr>
        <w:ind w:left="0" w:firstLine="0" w:hanging="0"/>
        <w:jc w:val="left"/>
      </w:pPr>
      <w:r>
        <w:rPr>
          <w:rFonts w:ascii="Times New Roman" w:hAnsi="굴림체" w:cs="굴림체" w:eastAsia="굴림체"/>
          <w:sz w:val="24"/>
        </w:rPr>
        <w:t>4.19 본안과 관련하여, 당사국은 통보인이 제기한 진정내용의 핵심은 국가가 정당한 편의제공에 대한 재정적 지원을 하지 않고 명확한 의무를 이행하지 않은 것이 협약을 위반 혐의로 이어졌다는 것이라고 주장한다. 이와 관련하여, 당사국은 "불합리하거나 부당한 부담"이라는 용어는 정당한 편의제공이 수용 당사자에게 과도하거나 부당한 부담에 의하여 제한될 수 있다는 점을 시사한다는 위원회의 의견을 언급하며, *7 ) 고려해야 할 잠재적 요소로는 재정적 비용, 이용 가능한 자원(공공 보조금 포함), 편의제공 단체의 (전체) 규모, 조정 과정이 기관이나 기업에 미치는 영향, 제3자의 이익, 다른 사람에게 미칠 부정적인 영향, 합리적인 보건 및 안전 요건 등이 포함된다는 위원회의 논평을 참조한다. *8 ) 협약 제27조의 내용을 상기하면서, 당사국은 본 사안의 핵심 문제는 수어 통역 조치에 대한 노동법원의 비례성 평가가 협약 제5조 및 제27조에 따른 통보인의 권리 침해에 해당하는지의 여부라고 주장한다.</w:t>
      </w:r>
    </w:p>
    <w:p>
      <w:pPr>
        <w:ind w:left="0" w:firstLine="0" w:hanging="0"/>
        <w:jc w:val="left"/>
      </w:pPr>
      <w:r>
        <w:rPr>
          <w:rFonts w:ascii="Times New Roman" w:hAnsi="굴림체" w:cs="굴림체" w:eastAsia="굴림체"/>
          <w:sz w:val="24"/>
        </w:rPr>
        <w:t>4.20 이와 관련하여 당사국은 위원회의 법리를 참조한다. *9 ) 또한 당사국은 노동법원에서의 절차는 두 당사자(쇠데르턴 대학 및 차별옴부즈만)의 서면 제출뿐 아니라 구두로 한 예비심리와 본 심리를 포함했다고 기술한다. 양측은 자신의 견해와 증거를 제시했으며, 법원은 모든 사건 자료를 심리했다. 또한, 통보인의 요청에 따라 차별옴부즈만이 소송절차에서 원고 역할을 수행했다. 따라서 그의 사건은 차별 문제를 전문으로 하는 공공기관에 의해 진행되었으며, 이를 통해 그의 견해와 이익이 적절하게 표현되고 보호되었다. 또한, 노동법원은 차별에 관한 주장을 평가하는 데 전문성을 갖춘 전문법원이다. 노동법원의 5명의 위원은 차별옴부즈만의 주장을 기각해야 한다는 만장일치의 결론을 내렸다.</w:t>
      </w:r>
    </w:p>
    <w:p>
      <w:pPr>
        <w:ind w:left="0" w:firstLine="0" w:hanging="0"/>
        <w:jc w:val="left"/>
      </w:pPr>
      <w:r>
        <w:rPr>
          <w:rFonts w:ascii="Times New Roman" w:hAnsi="굴림체" w:cs="굴림체" w:eastAsia="굴림체"/>
          <w:sz w:val="24"/>
        </w:rPr>
        <w:t>4.21 노동법원의 조사 및 평가와 관련하여, 당사국은 노동법원이 관련 국가 및 유럽연합 법률과 판례, 협약 및 위원회의 견해를 철저히 조사했음을 강조한다. 그런 다음 법원은 통역비용에 대한 문제를 심리하면서 차별옴부즈만이 주장한 연간비용 520,000 스웨덴 크로나($55,341)를 기준으로 비례성 심사를 실시했다. 이후 법원은 이 사건에서 세 가지 사실로 인해 더 엄격한 접근성 조치가 요구된다고 판단했다: 대학은 국가기관이다; 인력에 대한 예산이 많으며; 해당 채용은 정규직으로 이루어질 예정이었다. 그러나 대학의 통역서비스에 대한 연간 비용은 실제로 고용주 수수료를 제외한 통보인의 세전 급여에 근접한 금액이다. 더욱이 법원은 이것이 일회성 비용의 문제가 아니며 이 조치가 다른 장애인 근로자들에게 도움이 되지 않을 것이라는 점을 강조했다. *10 ) 마지막으로 법원은 협약, 고용평등기본법, 차별금지법과 조약법상 준비문서(travaux preparatoires)에 따르더라도 이 사안과 같은 상황에서 고용주에게 연간 약 500,000 스웨덴 크로나의 비용으로 해당 유형의 편의제공을 취하도록 요구하는 것이 합리적이라고 판단할 수 없다고 판시했다. 통보인을 고용하기 위해 대학이 취해야 하는 편의제공은 합리적이지 않으며, 따라서 대학이 통보인을 차별하지 않았다는 결론을 내렸다.</w:t>
      </w:r>
    </w:p>
    <w:p>
      <w:pPr>
        <w:ind w:left="0" w:firstLine="0" w:hanging="0"/>
        <w:jc w:val="left"/>
      </w:pPr>
      <w:r>
        <w:rPr>
          <w:rFonts w:ascii="Times New Roman" w:hAnsi="굴림체" w:cs="굴림체" w:eastAsia="굴림체"/>
          <w:sz w:val="24"/>
        </w:rPr>
        <w:t>4.22 노동법원의 평가는 위원회가 협약 제2조, 제5조, 제27조에 따라 적용할 비례성 심사와 동일한 조사를 기반으로 이루어졌다. 이 평가에는 경제적 요인과 관련자들의 이익의 균형을 맞추는 요소에 대한 면밀한 조사가 필요했다. 스웨덴에서 취업을 신청하는 모든 청각 장애인에게 미치는 판결의 부정적인 결과에 관한 통보인의 주장과 관련하여, 당사국은 법원이 통보인의 구체적인 사항에 분명히 근거하고 있기 때문에 판결에 대한 그러한 광범위한 해석이 필요하지 않다고 주장한다. 또한, 이는 옴부즈만이 차별 주장의 근거로 선택한 상황으로 제한되어 있다.</w:t>
      </w:r>
    </w:p>
    <w:p>
      <w:pPr>
        <w:ind w:left="0" w:firstLine="0" w:hanging="0"/>
        <w:jc w:val="left"/>
      </w:pPr>
      <w:r>
        <w:rPr>
          <w:rFonts w:ascii="Times New Roman" w:hAnsi="굴림체" w:cs="굴림체" w:eastAsia="굴림체"/>
          <w:sz w:val="24"/>
        </w:rPr>
        <w:t>4.23 위의 관점에서, 당사국은 국내 노동법원의 절차와 평가가 높은 기준을 유지했으며, 자의적이거나 결함이 있거나 재판을 거부했다는 증거가 없다고 결론을 내렸다. 또한 차별로부터 통보인을 보호하지 못했다는 증거도 없다. 노동법원의 판결이 통보인에게 불리하게 내려졌다는 사실은 이러한 결론에 아무런 영향을 미치지 않는다. 따라서 위원회는 노동법원의 결론이 협약 제5조와 제27조에 따른 통보인의 권리를 침해한 것이 아니라는 점을 인정해야 한다.</w:t>
      </w:r>
    </w:p>
    <w:p>
      <w:pPr>
        <w:ind w:left="0" w:firstLine="0" w:hanging="0"/>
        <w:jc w:val="left"/>
      </w:pPr>
      <w:r>
        <w:rPr>
          <w:rFonts w:ascii="Times New Roman" w:hAnsi="굴림체" w:cs="굴림체" w:eastAsia="굴림체"/>
          <w:sz w:val="24"/>
        </w:rPr>
        <w:t>4.24 통보인의 자금 지원의 부족에 관한 주장에 대하여, 당사국은 자금 지원 부족과 노동법원의 결론 사이에 구체적인 연관성을 나타내는 것이 없다고 본다. 따라서 개인진정의 이 부분은 전반적인 편의제공에 대한 국가자금 지원에 관한 것이며 협약 제35조 및 제36조에 따른 보고 절차에 더 적합하다. 위원회가 다른 결론을 내릴 경우, 당사국은 이 문제에 대해 특히 더 넓은 재량의 여지가 부여되어야 한다고 생각한다. *11 )</w:t>
      </w:r>
    </w:p>
    <w:p>
      <w:pPr>
        <w:ind w:left="0" w:firstLine="0" w:hanging="0"/>
        <w:jc w:val="left"/>
      </w:pPr>
      <w:r>
        <w:rPr>
          <w:rFonts w:ascii="Times New Roman" w:hAnsi="굴림체" w:cs="굴림체" w:eastAsia="굴림체"/>
          <w:sz w:val="24"/>
        </w:rPr>
        <w:t>4.25 당사국은 통보인의 경우, 일상 통역 지원과 연간 임금 보조금의 형태로 통보인의 고용을 촉진하기 위해 상당한 자금 지원 조치가 이용가능했음을 언급한다. 임금 보조금은 연간 통역비용의 거의 30%, 즉 74만 스웨덴크로나(78,755달러) 중 22만 스웨덴크로나(23,414달러)를 충당할 수 있었다. 따라서 통보인의 사례에서, 특히 국가가 누려야 할 판단의 재량을 고려할 때, 국가지원금은 충분한 것으로 간주해야 한다.</w:t>
      </w:r>
    </w:p>
    <w:p>
      <w:pPr>
        <w:ind w:left="0" w:firstLine="0" w:hanging="0"/>
        <w:jc w:val="left"/>
      </w:pPr>
      <w:r>
        <w:rPr>
          <w:rFonts w:ascii="Times New Roman" w:hAnsi="굴림체" w:cs="굴림체" w:eastAsia="굴림체"/>
          <w:sz w:val="24"/>
        </w:rPr>
        <w:t>4.26 당사국은 위에서 언급한 국가 자금 지원 조치가 노동법원의 판결에서 고려된 유일한 조치이지만, 이것이 반드시 다른 자금지원 조치를 이용할 수 없었다는 것을 의미하지는 않는다고 주장한다. 차별옴부즈만은 통역비용이 임금보조금과 일상통역 지원만을 고려하여 산정해야 하는지에 대해서 의문을 제기하지 않았기 때문에, 법원은 기타 자금조달 조치의 가능성을 고려하지 않았다.</w:t>
      </w:r>
    </w:p>
    <w:p>
      <w:pPr>
        <w:ind w:left="0" w:firstLine="0" w:hanging="0"/>
        <w:jc w:val="left"/>
      </w:pPr>
      <w:r>
        <w:rPr>
          <w:rFonts w:ascii="Times New Roman" w:hAnsi="굴림체" w:cs="굴림체" w:eastAsia="굴림체"/>
          <w:sz w:val="24"/>
        </w:rPr>
        <w:t>4.27 그리고 당사국은 대학이 청각장애인을 위한 통역 이외에 다른 조정 조치에 대해 조사하지 않았기 때문에 자신의 권리가 침해되었다는 통보인의 주장을 주목한다. 당사국은 이 부분의 진정내용은 심리불가능하다고 간주되어야 함을 반복하면서, 2016년 7월 8일 차별옴부즈만에게 한 대학의 답변을 참조한다. 그 답변에서 대학은 제안된 조치가 채용 공고된 강사의 업무 내용에 과도한 변경을 요구하는 것이라고 결론 내렸다. 따라서 당사국은 이 개인진정이 협약의 위반사항을 입증한 것이 아니라고 판단한다.</w:t>
      </w:r>
    </w:p>
    <w:p>
      <w:pPr>
        <w:ind w:left="0" w:firstLine="0" w:hanging="0"/>
        <w:jc w:val="center"/>
      </w:pPr>
      <w:r>
        <w:rPr>
          <w:rFonts w:ascii="Times New Roman" w:hAnsi="굴림체" w:cs="굴림체" w:eastAsia="굴림체"/>
          <w:sz w:val="24"/>
        </w:rPr>
        <w:t>당사국의 견해에 관한 통보인 의견</w:t>
      </w:r>
    </w:p>
    <w:p>
      <w:pPr>
        <w:ind w:left="0" w:firstLine="0" w:hanging="0"/>
        <w:jc w:val="left"/>
      </w:pPr>
      <w:r>
        <w:rPr>
          <w:rFonts w:ascii="Times New Roman" w:hAnsi="굴림체" w:cs="굴림체" w:eastAsia="굴림체"/>
          <w:sz w:val="24"/>
        </w:rPr>
        <w:t>5.1 통보인은 행정항소법원의 결정에 대해 최고행정법원에 항소하지 않았음을 2019년 1월 15일 제출한 의견에 명시했다. 그러나 통보인은 관련 국내구제절차를 모두 소진하기 위해 그러한 항소가 필요하지 않았다고 주장한다. 그는 차별옴부즈만이 차별금지법 제6장 제9절에 따라 항소하지 말 것을 권고했다고 주장한다.</w:t>
      </w:r>
    </w:p>
    <w:p>
      <w:pPr>
        <w:ind w:left="0" w:firstLine="0" w:hanging="0"/>
        <w:jc w:val="left"/>
      </w:pPr>
      <w:r>
        <w:rPr>
          <w:rFonts w:ascii="Times New Roman" w:hAnsi="굴림체" w:cs="굴림체" w:eastAsia="굴림체"/>
          <w:sz w:val="24"/>
        </w:rPr>
        <w:t>5.2 통보인은 또한 당사국이 채용 공고된 강사직에 대한 모든 업무를 설명하지 않았다고 주장한다. 하나는 강사는 2년 동안 근무한 후 연구 기회를 누린다는 것이다. 또한, 모든 대학은 궁극적인 목표로서 강의를 덜 필요로 하는 교수직에 지원할 수 있는 기회를 제공하는 강사 커리어프로그램을 제공할 법적 의무가 있다. 해당 업무의 모든 측면에 통역이 필요한 것은 아니다. 일부에서는 강사가 컴퓨터를 보조 수단으로 사용하도록 허용한다. 통보인은 또한 온라인 교육 및 역진행 수업(flipped classroom)을 사용하는 등 수어통역사 유무와 관계없이 대규모 그룹에서 그가 교육을 진행할 수 없다고 판단하는 것은 당사국이 잘못 생각한 것이라고 주장한다. 점점 더 많은 대학이 이러한 종류의 온라인 교육을 도입하고 있다. 더욱이 대부분의 강사는 모든 형태의 교육 중에서 학생들의 보고서와 시험 에세이를 감독하는 것보다 세미나를 선호한다. 따라서 대학이 업무를 재분배하는 데 공식적인 장벽이 없다. 이러한 사실은 장기적인 비용과 관련이 있다. 왜냐하면 통보인의 경력이 쌓이면서 비용이 점차 줄어들 것이기 때문이다.</w:t>
      </w:r>
    </w:p>
    <w:p>
      <w:pPr>
        <w:ind w:left="0" w:firstLine="0" w:hanging="0"/>
        <w:jc w:val="left"/>
      </w:pPr>
      <w:r>
        <w:rPr>
          <w:rFonts w:ascii="Times New Roman" w:hAnsi="굴림체" w:cs="굴림체" w:eastAsia="굴림체"/>
          <w:sz w:val="24"/>
        </w:rPr>
        <w:t>5.3 통보인은 당사국이 2016년 연례 보고서에 나와 있는 "미사용 기부금"에 관해 교육과 연구에 지정된 것임을 명확히 밝힌 점을 환영한다. 그러나 그는 2016 회계연도에 대학이 거의 1,200만 스웨덴 크로나(1,277,107달러)에 달하는 순흑자를 기록했다고 주장하며, 이는 대학이 활동하면서 지출한 모든 비용을 충당하는 데 사용될 수 있었을 것이라고 주장한다. 이러한 흑자는 2016년 회계연도의 수입과 비용의 순차액이다.</w:t>
      </w:r>
    </w:p>
    <w:p>
      <w:pPr>
        <w:ind w:left="0" w:firstLine="0" w:hanging="0"/>
        <w:jc w:val="left"/>
      </w:pPr>
      <w:r>
        <w:rPr>
          <w:rFonts w:ascii="Times New Roman" w:hAnsi="굴림체" w:cs="굴림체" w:eastAsia="굴림체"/>
          <w:sz w:val="24"/>
        </w:rPr>
        <w:t>5.4 통보인은 채용절차 종료 결정 이전에 대학이 국가 자금지원 조치가 불충분하다는 점을 그에게 경고하지 않았으며, 이 점은 당사국이 의견에 언급하지 않았음을 상기한다. 통보인은 통역비용이 적게 드는 대안을 논의하기 위해 최종 결정이 나온 뒤 즉시 대학에 연락했지만 대학은 그의 제안을 무시했다고 주장한다. 그런 다음 통보인은 관할 당국에 연락하여 스웨덴 공공고용 서비스의 근로 보조금에 대해 월 18,300스웨덴 크로나(1,948달러)의 비용 상한선을 초과할 수 있는 권한을 부여하도록 조례에서 면제를 승인할 수 있는지 문의했다. 당사국은 통보인을 스웨덴 공공고용서비스에 소개시켰고, 나중에 그 기관에서는 아무것도 할 수 없다고 전했다. 또한 통보인은 스톡홀름 카운티 의회에 연락하여 학생들을 가르칠 수 있도록 대학에 월 최대 20시간의 일일 통역을 지원할 수 있는지 문의했다. 의회는 현재의 관행 때문에 아무것도 할 수 없다고 대답했다.</w:t>
      </w:r>
    </w:p>
    <w:p>
      <w:pPr>
        <w:ind w:left="0" w:firstLine="0" w:hanging="0"/>
        <w:jc w:val="left"/>
      </w:pPr>
      <w:r>
        <w:rPr>
          <w:rFonts w:ascii="Times New Roman" w:hAnsi="굴림체" w:cs="굴림체" w:eastAsia="굴림체"/>
          <w:sz w:val="24"/>
        </w:rPr>
        <w:t>5.5 본 진정의 심리적격과 관련한 당사국의 주장에 대해서, 통보인은 대학의 채용절차 취소 결정을 무효화하기 위해 대학의 결정에 항소하지 않았던 점을 재확인했다. 그러나, 행정법원은 대학이 그를 고용하거나, 불법적인 차별에 대한 보상을 하도록 명령할 권한이 없다. 그러나 당사국이 지적한 것처럼, 행정법원은 채용절차 종료 결정을 취소하도록 할 수 있었다.</w:t>
      </w:r>
    </w:p>
    <w:p>
      <w:pPr>
        <w:ind w:left="0" w:firstLine="0" w:hanging="0"/>
        <w:jc w:val="left"/>
      </w:pPr>
      <w:r>
        <w:rPr>
          <w:rFonts w:ascii="Times New Roman" w:hAnsi="굴림체" w:cs="굴림체" w:eastAsia="굴림체"/>
          <w:sz w:val="24"/>
        </w:rPr>
        <w:t>5.6 이와 관련하여 통보인은 유럽인권재판소의 법리에 따라 여러 가지 병행 구제책 중 하나만 소진하면 된다고 주장한다. *12 ) 그는 구제수단으로 대학을 상대로 민사소송을 제기하기로 결정했다. 통보인은 서로 평행하게 진행되는 서로 다른 구제책을 모두 소진할 것을 기대할 수 없다고 생각한다. 노동법원에서 진행된 소송은 위원회가 그의 개인진정을 심의하도록 하는데 충분한 구제절차였다. 더욱이 통보인은 협약에 따른 구체적인 법적 주장이 아니더라도 실질적인 문제를 제기하기만 하면 된다고 주장한다. *13 ) NJA 1993 s. 13 대법원 판결에 반영된 것처럼 ‘법원이 법을 알고 있다(Jura Novit Curia)’의 원칙은 스웨덴에 적용된다. 대법원은 소송 당사자들이 제시한 사실의 법적 주장에 구속되지 않는다고 판결했다. 통보인은 자신의 사건에서 노동법원의 판결을 통해 스웨덴 법률에 따라 사건의 사실관계를 법적으로 인정했으며 이를 통해 가능한 국내 절차를 모두 동원했다고 생각한다.</w:t>
      </w:r>
    </w:p>
    <w:p>
      <w:pPr>
        <w:ind w:left="0" w:firstLine="0" w:hanging="0"/>
        <w:jc w:val="left"/>
      </w:pPr>
      <w:r>
        <w:rPr>
          <w:rFonts w:ascii="Times New Roman" w:hAnsi="굴림체" w:cs="굴림체" w:eastAsia="굴림체"/>
          <w:sz w:val="24"/>
        </w:rPr>
        <w:t>5.7 적어도 편의제공에 대한 조사 부족과 관련된 진정에 대해서는 심리가 불가능하다고 선언되어야 한다는 당사국의 주장에 대해 통보인은 노동법원의 재판절차가 이 문제에 초점을 맞추지 않았다는 데 동의한다. 노동법원은 소송 당사자의 법적 주장에 관계없이 상황에 대해 독립적인 평가를 내릴 수 있었으며, 특히사 부족 사안은 소송 절차 중에 차별옴부즈만과 노동법원쪽에 서신을 통해 명확하게 알려졌다. 따라서 편의제공 방법에 대한 조사 부족과 관련된 통보인의 주장은 심리적격이 있다고 선언되어야 한다.</w:t>
      </w:r>
    </w:p>
    <w:p>
      <w:pPr>
        <w:ind w:left="0" w:firstLine="0" w:hanging="0"/>
        <w:jc w:val="left"/>
      </w:pPr>
      <w:r>
        <w:rPr>
          <w:rFonts w:ascii="Times New Roman" w:hAnsi="굴림체" w:cs="굴림체" w:eastAsia="굴림체"/>
          <w:sz w:val="24"/>
        </w:rPr>
        <w:t>5.8 또한 통보인은 그가 민사소송절차를 소진했기 때문에 자신의 사례가 D.L. 대 스웨덴(D.L. vs Sweden)의 사례와 다르다고 생각한다. 그는 민사적 구제수단이 없었고 차별옴부즈만이 최고행정법원에 항소하는 것을 막지 않았다면 아마도 그 결정에 항소했을 것이지만, 그러한 항소는 아마도 그의 경우에 효과적이지 않았을 것이라고 주장한다.</w:t>
      </w:r>
    </w:p>
    <w:p>
      <w:pPr>
        <w:ind w:left="0" w:firstLine="0" w:hanging="0"/>
        <w:jc w:val="left"/>
      </w:pPr>
      <w:r>
        <w:rPr>
          <w:rFonts w:ascii="Times New Roman" w:hAnsi="굴림체" w:cs="굴림체" w:eastAsia="굴림체"/>
          <w:sz w:val="24"/>
        </w:rPr>
        <w:t>5.9 폭 넓은 재량권과 관련된 당사국의 주장과 관련하여, 통보인은 이 원칙의 일반적인 의미에 대해 의문을 제기하지 않는다. 그러나 그러한 재량은 협약에 명시된 권리를 체계적으로 침해하는 결과를 가져올 정도로 국가에 부여될 수 없다. 통보인은 위원회의 일반논평 6호(2018)를 언급하는데, 이에 따르면 차별을 근절하려면 점진적인 실현의 대상이 아닌 즉각적인 실현의 교차적 의무가 필요하다. 정당한 편의제공과 고용상 차별금지 보장은 재량의 대상이 될 수 없으며, 통보인의 권리침해를 방지하기 위해 즉각적으로 실현되어야 한다.</w:t>
      </w:r>
    </w:p>
    <w:p>
      <w:pPr>
        <w:ind w:left="0" w:firstLine="0" w:hanging="0"/>
        <w:jc w:val="left"/>
      </w:pPr>
      <w:r>
        <w:rPr>
          <w:rFonts w:ascii="Times New Roman" w:hAnsi="굴림체" w:cs="굴림체" w:eastAsia="굴림체"/>
          <w:sz w:val="24"/>
        </w:rPr>
        <w:t>5.10 위원회의 법리를 언급하면서, 통보인은 자신의 사건에서 이루어진 정당한 편의에 관한 협상이 협약의 기준에 부합하지 않는다고 생각한다. 그는 대안적인 편의제공에 대해 의견을 제기할 수 없었다. 왜냐하면 당시 채용 절차는 수어 통역이 유일하고 적절한 정당한 편의제공이라는 점에 명확하게 초점이 맞춰져 있었고, 그 편의제공에 대한 요청은 나중에 고용주에 의해 거부되었기 때문이다. 통보인은 대학이 그와 협상을 계속해야 했다고 지적한다.</w:t>
      </w:r>
    </w:p>
    <w:p>
      <w:pPr>
        <w:ind w:left="0" w:firstLine="0" w:hanging="0"/>
        <w:jc w:val="left"/>
      </w:pPr>
      <w:r>
        <w:rPr>
          <w:rFonts w:ascii="Times New Roman" w:hAnsi="굴림체" w:cs="굴림체" w:eastAsia="굴림체"/>
          <w:sz w:val="24"/>
        </w:rPr>
        <w:t>5.11 통보인은 노동법원이 청각장애인 강사 채용이 다양성을 촉진하고 사회 구성을 반영함으로써 학생과 동료들의 태도에 미칠 수 있는 긍정적인 영향을 고려하지 않았다고 주장한다. 강사는 청년 장애인에게 역할 모델이 될 수도 있다. 노동법원은 통보인과 다른 청각장애 전문직업인들에게 판결이 미칠 수 있는 잠재적 결과를 분석하지 않았다. 그 결과로, 모든 고용주는 이번 판결을 근거로 청각장애가 있는 구직자들을 실질적인 의사소통이 필요한 직무에서 배제할 수도 있다.</w:t>
      </w:r>
    </w:p>
    <w:p>
      <w:pPr>
        <w:ind w:left="0" w:firstLine="0" w:hanging="0"/>
        <w:jc w:val="left"/>
      </w:pPr>
      <w:r>
        <w:rPr>
          <w:rFonts w:ascii="Times New Roman" w:hAnsi="굴림체" w:cs="굴림체" w:eastAsia="굴림체"/>
          <w:sz w:val="24"/>
        </w:rPr>
        <w:t>5.12 대학이 자금을 제공하지 않은 것은 이 사건의 중요한 쟁점 중 하나이지만, 국가가 국립대학에서 정당한 편의를 제공하도록 하지 않은 것 역시 상당히 부정의한 일이다. 당사국이 주장한 바와 같이 일상적인 통역 및 임금 보조금 등의 편의제공을 위해 상당한 자금을 지원할 수 있다. 그러나 통보인은 그러한 자금 지원은 법적으로 강제할 수 있는 대상이 아니기 때문에, 법원에 청구할 수 없다고 강조한다. 통보인은 대학측에 외부 기부자로부터 자신이 필요로 하는 정당한 편의제공에 소요되는 비용을 지원받을 가능성을 확인해 줄 수 있는지 문의했지만 긍정적인 답변을 얻지 못했다.</w:t>
      </w:r>
    </w:p>
    <w:p>
      <w:pPr>
        <w:ind w:left="0" w:firstLine="0" w:hanging="0"/>
        <w:jc w:val="center"/>
      </w:pPr>
      <w:r>
        <w:rPr>
          <w:rFonts w:ascii="Times New Roman" w:hAnsi="굴림체" w:cs="굴림체" w:eastAsia="굴림체"/>
          <w:sz w:val="24"/>
        </w:rPr>
        <w:t>당사국의 추가 견해</w:t>
      </w:r>
    </w:p>
    <w:p>
      <w:pPr>
        <w:ind w:left="0" w:firstLine="0" w:hanging="0"/>
        <w:jc w:val="left"/>
      </w:pPr>
      <w:r>
        <w:rPr>
          <w:rFonts w:ascii="Times New Roman" w:hAnsi="굴림체" w:cs="굴림체" w:eastAsia="굴림체"/>
          <w:sz w:val="24"/>
        </w:rPr>
        <w:t>6.1 2019년 10월 4일 당사국은 기존의 입장을 유지하고 추가적인 정보를 공유하는 추가적인 견해를 제공하였다.</w:t>
      </w:r>
    </w:p>
    <w:p>
      <w:pPr>
        <w:ind w:left="0" w:firstLine="0" w:hanging="0"/>
        <w:jc w:val="left"/>
      </w:pPr>
      <w:r>
        <w:rPr>
          <w:rFonts w:ascii="Times New Roman" w:hAnsi="굴림체" w:cs="굴림체" w:eastAsia="굴림체"/>
          <w:sz w:val="24"/>
        </w:rPr>
        <w:t>6.2 대학의 순 잉여금인 약 1,200만 스웨덴 크로나를 대학 활동에 소요되는 비용으로 사용할 수 있다는 통보인의 주장과 관련하여, 당사국은 특정 목적으로 배정된 자금을 다른 용도로 사용할 수 없다는 점을 다시 한번 강조한다. 대학은 자금이 재분배될 수 있는 민간 기업과 동일시될 수 없다.</w:t>
      </w:r>
    </w:p>
    <w:p>
      <w:pPr>
        <w:ind w:left="0" w:firstLine="0" w:hanging="0"/>
        <w:jc w:val="left"/>
      </w:pPr>
      <w:r>
        <w:rPr>
          <w:rFonts w:ascii="Times New Roman" w:hAnsi="굴림체" w:cs="굴림체" w:eastAsia="굴림체"/>
          <w:sz w:val="24"/>
        </w:rPr>
        <w:t>6.3 모든 국내 구제수단을 소진하기 위해 행정항소법원의 결정에 대해 항소할 필요가 없다는 통보인의 주장에 대해, 당사국은 통보인이 합리적인 구제책으로 그에게 제안된 모든 사법적, 행정적 수단을 활용했어야 했다는 입장을 유지한다. *14 ) 차별옴부즈만이 그에게 항소하지 말라고 권유했기 때문에 구제책을 다 사용하지 않은 것에 대해 비난받을 수 없다는 통보인의 주장과 관련하여, 당사국은 통보인이 이와 관련하여 어떤 증거도 제공하지 않았다고 주장한다. 또한 차별금지법 제6장 제9절에 따라, 공공부문의 고용주가 발표한 고용 결정에 근거한 배상청구소송은 고용 결정이 최종 확정되기 전에는 검토될 수 없다. 입법 연혁에 따르면, 이 조항은 고용 결정이 최종 확정되기 전에 그러한 소송이 제기되는 것을 막지 못한다. 즉, 이 조항에도 불구하고 차별옴부즈만은 고용 결정이 최종 확정되기 전에도 노동법원에 차별에 대한 배상청구소송을 제기할 수 있었다. 유일한 제한은 고용 결정이 최종 확정되기 전에 노동법원이 해당 사건에 대한 판결을 내릴 수 없다는 것이다. 따라서 당사국은 통보인이 가능한 모든 국내적 절차를 모두 완료하지는 않았다고 판단한다.</w:t>
      </w:r>
    </w:p>
    <w:p>
      <w:pPr>
        <w:ind w:left="0" w:firstLine="0" w:hanging="0"/>
        <w:jc w:val="left"/>
      </w:pPr>
      <w:r>
        <w:rPr>
          <w:rFonts w:ascii="Times New Roman" w:hAnsi="굴림체" w:cs="굴림체" w:eastAsia="굴림체"/>
          <w:sz w:val="24"/>
        </w:rPr>
        <w:t>6.4 당사국은 편의제공에 대한 조사가 부족하다는 통보인의 주장은 심리불가능하다고 선언해야 한다는 입장을 유지한다. 제기된 조사부족 문제는 절차를 통해 노동법원의 주목을 받았고, 노동법원이 이 문제에 대해 ‘법원이 법을 알고 있다(Jura novit Curia)’의 원칙에 따라 판결을 내릴 수 있었다는 통보인의 주장에 주목하여, 당사국은 노동법원에 어떤 문제나 사실을 단지 알리고 관심을 받았다고 해서, 법원이 해당 문제나 사실을 근거로 꼭 판단하도록 할 수 있는 것은 아니라고 주장한다. 스웨덴 사법소송법 제17장 제3절에 따르면, 판결은 당사자가 행위의 근거로 주장한 것 이외의 상황에 근거할 수 없다. "상황"이란 법적 사실, 즉 당사자가 소송 절차에서 달성하고자 하는 법적 구제 수단으로 이어진다고 주장하는 사실만을 의미한다. 법원은 법적 사실을 인용하는 데 있어 어떠한 결점도 상세히 설명하거나 보완할 수 없다. 절차의 틀을 설정하는 것은 당사자이다. 절차 자료의 어느 부분이 소송의 기초를 형성하는지, 법원이 심리를 어디까지 해야 하는지를 명시하는 것은 각 당사자에게 달려 있다. 당사자들은 절차 자료를 사실로 분류해야 하며, 당사자들이 자신의 행위의 근거로 인용하지 않은 경우 법원이 특정 법적 구제와 관련하여 인용되지 않은 상황을 고려할지의 여부는 중요하지 않다. 이 사건에서 통보인은 노동법원에 편의제공 방법에 대한 조사부족과 관련된 문제를 제기하지 않았기 때문에 법원은 대학이 그러한 조사를 했어야 했는지 여부를 평가할 수 없었다. 당사국은 또한 통보인이 그의 대리인을 언급함으로써 국내적 구제수단을 모두 동원할 의무가 면제된 것으로 간주할 수 있는지 여부에 대해 의문을 제기한다. 통보인이 옴부즈만에 만족하지 못했다면 동의를 철회하고 스스로 또는 변호사를 통해 법적 조치를 취할 수도 있었다.</w:t>
      </w:r>
    </w:p>
    <w:p>
      <w:pPr>
        <w:ind w:left="0" w:firstLine="0" w:hanging="0"/>
        <w:jc w:val="left"/>
      </w:pPr>
      <w:r>
        <w:rPr>
          <w:rFonts w:ascii="Times New Roman" w:hAnsi="굴림체" w:cs="굴림체" w:eastAsia="굴림체"/>
          <w:sz w:val="24"/>
        </w:rPr>
        <w:t>6.5 당사국은 또한 온라인 교육, 역진행 수업, 직무 재분배에 관한 통보인의 진술이 다른 편의제공에 대한 조사와 동일한 문제에 관한 것이며 이미 답변을 한 것으로 생각한다고 언급한다. 노동법원에 대한 차별옴부즈만의 입장은 연간 수어 통역 비용이 520,000 스웨덴 크로나라는 것이었다. 통보인은 장기적인 비용 절감을 위해 주장한 법적 사실들을 모두 언급하지 않았다. 따라서 당사국은 진정의 이 부분도 국내 절차를 소진하지 않았기 때문에 심리 불가능한 것으로 선언되어야 한다고 판단한다.</w:t>
      </w:r>
    </w:p>
    <w:p>
      <w:pPr>
        <w:ind w:left="0" w:firstLine="0" w:hanging="0"/>
        <w:jc w:val="left"/>
      </w:pPr>
      <w:r>
        <w:rPr>
          <w:rFonts w:ascii="Times New Roman" w:hAnsi="굴림체" w:cs="굴림체" w:eastAsia="굴림체"/>
          <w:sz w:val="24"/>
        </w:rPr>
        <w:t>6.6 당사국은 통보인이 "부적절한 이행"과 관련된 새로운 주장을 제기한 것으로 보인다고 지적한다. 그러한 점에서 차별금지법과 그 안에 포함된 다양한 형태의 차별금지는 유럽 연합 법률을 기반으로 한다. 특히 중요한 것은 고용과 직업에서 평등한 대우를 위한 일반적인 틀을 확립한 2000년 11월 27일자 위원회 지침 2000/78/EC이다. 지침의 설명문서 제20항에는 적절한 조치, 즉 직장을 장애에 맞게 조정 개선하기 위한 효과적이고 실용적인 조치가 제공되어야 한다고 명시되어 있다.</w:t>
      </w:r>
    </w:p>
    <w:p>
      <w:pPr>
        <w:ind w:left="0" w:firstLine="0" w:hanging="0"/>
        <w:jc w:val="left"/>
      </w:pPr>
      <w:r>
        <w:rPr>
          <w:rFonts w:ascii="Times New Roman" w:hAnsi="굴림체" w:cs="굴림체" w:eastAsia="굴림체"/>
          <w:sz w:val="24"/>
        </w:rPr>
        <w:t>6.7 채용공고에 지원하는 강사는 2년 후에 연구 기회를 누리고 모든 대학은 교수직에 지원할 수 있는 경력 프로그램을 강사에게 제공할 법적 의무가 있다는 통보인의 주장에 대해, 당사국은 그것이 틀렸다고 주장한다. 첫째, 채용 공고에는 필요한 자금이 확보된다면 해당 직위에 연구가 포함될 수도 있다고 명시되어 있었다. 둘째, 스웨덴 대학은 강사 커리어프로그램을 제공할 의무가 없다. 따라서 통역을 포함하여 해당 직위에 향후에 필요한 사항을 결정하는 것은 본질적으로 추측에 기반해야 한다. 고용의 모든 측면에 수어 통역이 필요한 것은 아니라는 통보인의 주장과 관련하여, 당사국은 이 주장이 노동법원 분쟁당사자들 사이의 공통의 의견이었으며, 두 당사자는 해당 직위에 필요한 수어 통역의 범위에 동의했다고 주장한다. 노동법원은 차별옴부즈만이 주장한 수어 통역 비용을 근거로 판결을 내렸다. 그 비용은 노동 능력이 저하되는 장애를 가진 사람을 위한 특별 조치에 관한 조례에 포함된 연간 자금 한도인 약 220,000 스웨덴 크로나의 임금 보조금을 연간 통역비용에서 차감하여 계산되었다. 보조금에 관한 스웨덴 규정의 자금 한도는 정부의 재정적 고려 사항과 정치적 우선순위의 결과이다. 또한, 예외사항이 승인될 수 있지만 이 권한은 예외 조치로서 제한적으로만 사용된다. 예를 들어 정부 기관이 어떤 이유로 특정 연도 동안 조례에 규정된 보고 의무를 이행할 수 없는 경우에 적용된다. 따라서 당사국은 이 개인진정이 협약 위반을 입증하지 않는다고 주장한다.</w:t>
      </w:r>
    </w:p>
    <w:p>
      <w:pPr>
        <w:ind w:left="0" w:firstLine="0" w:hanging="0"/>
        <w:jc w:val="center"/>
      </w:pPr>
      <w:r>
        <w:rPr>
          <w:rFonts w:ascii="Times New Roman" w:hAnsi="굴림체" w:cs="굴림체" w:eastAsia="굴림체"/>
          <w:sz w:val="24"/>
        </w:rPr>
        <w:t>B. 심리적격과 본안에 대한 위원회 심사</w:t>
      </w:r>
    </w:p>
    <w:p>
      <w:pPr>
        <w:ind w:left="0" w:firstLine="0" w:hanging="0"/>
        <w:jc w:val="center"/>
      </w:pPr>
      <w:r>
        <w:rPr>
          <w:rFonts w:ascii="Times New Roman" w:hAnsi="굴림체" w:cs="굴림체" w:eastAsia="굴림체"/>
          <w:sz w:val="24"/>
        </w:rPr>
        <w:t>심리적격 심사</w:t>
      </w:r>
    </w:p>
    <w:p>
      <w:pPr>
        <w:ind w:left="0" w:firstLine="0" w:hanging="0"/>
        <w:jc w:val="left"/>
      </w:pPr>
      <w:r>
        <w:rPr>
          <w:rFonts w:ascii="Times New Roman" w:hAnsi="굴림체" w:cs="굴림체" w:eastAsia="굴림체"/>
          <w:sz w:val="24"/>
        </w:rPr>
        <w:t>7.1 진정에 포함된 주장을 심사하기 전에 위원회는 선택의정서 제2조와 절차규칙 제65조에 따라 선택의정서에 따른 해당 주장의 심리가능 여부를 결정해야 한다.</w:t>
      </w:r>
    </w:p>
    <w:p>
      <w:pPr>
        <w:ind w:left="0" w:firstLine="0" w:hanging="0"/>
        <w:jc w:val="left"/>
      </w:pPr>
      <w:r>
        <w:rPr>
          <w:rFonts w:ascii="Times New Roman" w:hAnsi="굴림체" w:cs="굴림체" w:eastAsia="굴림체"/>
          <w:sz w:val="24"/>
        </w:rPr>
        <w:t>7.2 위원회는 선택의정서 제2조제c호에 따라 동일한 문제가 아직 위원회에서 검토되지 않았으며, 다른 국제 조사 또는 조정 절차에 따라 심의되었거나 심의 중이지도 않음을 확인하였다.</w:t>
      </w:r>
    </w:p>
    <w:p>
      <w:pPr>
        <w:ind w:left="0" w:firstLine="0" w:hanging="0"/>
        <w:jc w:val="left"/>
      </w:pPr>
      <w:r>
        <w:rPr>
          <w:rFonts w:ascii="Times New Roman" w:hAnsi="굴림체" w:cs="굴림체" w:eastAsia="굴림체"/>
          <w:sz w:val="24"/>
        </w:rPr>
        <w:t>7.3 위원회는 통보인이 행정항소법원의 2017년 4월 7일 판결에 대해 최고행정법원에 항소하지 않았기 때문에, 가능한 모든 국내 절차를 다 완료한 것은 아니라는 당사국의 주장에 주목한다. 항소했다면, 통보인은 대학의 결정에 대해 항소할 자격이 있다는 결론을 얻고, 궁극적으로는 대학의 결정이 취소되어야 한다는 그의 주장이 심리를 받게 되었을 수도 있다. 위원회는 또한 당사국에 따르면 그러한 항소가 성공할 가능성이 없거나 불합리하게 지연되었을 것이라는 정황이 전혀 없다고 지적한다. 그러나 위원회는 또한 당사국이 기술한 바와 같이 차별금지법 제6장에 분쟁에 적용될 절차에 관한 조항이 포함되어 있다는 점을 주목한다. 분쟁은 노동분쟁법(사법절차)에 따라 처리된다. 이 사건과 같이 단심 사건으로 노동법원에 직접 제기되거나, 노동법원에 항소할 가능성이 있는 1심 사건으로 지방 법원에 제기된다. 또한, 행정절차법 제22절에 따라, 노동법원이 채택한 결정이 자신에게 불리한 영향을 미치고 관련 문제가 항소 대상인 경우 개인은 노동법원이 채택한 결정에 대해 항소할 수 있다. 동법 제22a절에 따라 일반행정법원에 항소할 수 있지만 이는 고용문제에 관한 결정에는 적용되지 않는다(위의 단락 4.11 참조). 이 사건에서 행정법원의 결론에 따르면 통보인의 청구는 명백히 고용문제와 관련이 있으며 일반 청구로 간주될 수 없다. 그러므로, 차별 문제를 전문으로 하는 공공기관인 차별옴부즈만이 통보인에게 보고한 바와 같이(위의 단락 4.20 참조), 최고행정법원에 항소하는 것이 효과적인 구제를 가져올 가능성은 거의 없다.</w:t>
      </w:r>
    </w:p>
    <w:p>
      <w:pPr>
        <w:ind w:left="0" w:firstLine="0" w:hanging="0"/>
        <w:jc w:val="left"/>
      </w:pPr>
      <w:r>
        <w:rPr>
          <w:rFonts w:ascii="Times New Roman" w:hAnsi="굴림체" w:cs="굴림체" w:eastAsia="굴림체"/>
          <w:sz w:val="24"/>
        </w:rPr>
        <w:t>7.4 위원회는 통보인이 편의제공에 대한 조사 부족 문제를 노동법원에 제대로 제기하지 않았기 때문에 대학이 그런 조사를 했어야 했는지에 대한 평가가 배제되었다는 점을 고려할 때, 통보인의 진정이 부분적으로 심리가능하지 않다는 당사국의 주장에 주목한다. 이와 관련하여 위원회는 또한 노동법원의 절차가 주로 조사 부족에 초점을 두지 않았다는 당사국의 입장에 통보인이 동의한다는 점에 주목한다. 그러나 조사 부족 문제가 옴부즈만의 관심을 끌었음이 분명하고 통보인이 제기한 핵심 쟁점은 정당한 편의제공이었다는 점을 주목한다. 정당한 편의제공이 쟁점이 된 이상 이는 그 자체로 고용주가 대체 조치를 고려하였는지 여부까지 분석하여야 한다는 것을 암시한다. 따라서 ‘법원이 법을 알고 있다(Jura novit Curia)’의 원칙에 따라, 진정에서 제기된 주장과 이전의 주장이 서로 크게 벗어나지 않는 이상, 제대로 법률적 주장을 제기하지 못한 것 자체만으로 명백한 소송의 주제에 대한 법적 판단이 이루어지지 않았다고 간주할 수 없다. 위의 내용을 고려하여 위원회는 통보인이 선택의정서 제2조제d항에 따라 가능한 모든 국내적 절차를 소진하였다고 판단한다.</w:t>
      </w:r>
    </w:p>
    <w:p>
      <w:pPr>
        <w:ind w:left="0" w:firstLine="0" w:hanging="0"/>
        <w:jc w:val="left"/>
      </w:pPr>
      <w:r>
        <w:rPr>
          <w:rFonts w:ascii="Times New Roman" w:hAnsi="굴림체" w:cs="굴림체" w:eastAsia="굴림체"/>
          <w:sz w:val="24"/>
        </w:rPr>
        <w:t>7.5 위원회는 “국내 노동법원의 절차와 평가가 높은 기준을 유지했으며, 자의적이거나 결함이 있거나 재판을 거부했다는 증거가 없으며, 차별로부터 통보인을 보호하지 못했다는 증거도 없기 때문에” 선택의정서 제2조제e항에 따른 입증부족으로 심리에 부적격하다는 당사국의 주장을 언급한다. 그럼에도 불구하고, 위원회는 통보인이 지원한 직책의 채용 과정 중에 통보인이 지원한 직책의 업무를 수행하기 위해 필요한 수어 통역 비용 때문에 이 과정이 취소됐다는 통보인의 주장을 언급한다. 수어 통역이 아닌 대체적인 조치로서 업무 재분배나 정당한 편의제공, 즉 점점 더 많은 대학에서 사용하는 있는 온라인 수업 등의 방법이 채용과정에서 전혀 고려되지 않았다. 노동법원은 통보인이 대학에 제시한 정당한 편의제공 조치들을 제대로 평가하지 않았다. 이를 고려하여, 위원회는 통보인이 진정의 심리적격을 충분히 입증했다고 판단하고, 본안 심사를 진행한다.</w:t>
      </w:r>
    </w:p>
    <w:p>
      <w:pPr>
        <w:ind w:left="0" w:firstLine="0" w:hanging="0"/>
        <w:jc w:val="center"/>
      </w:pPr>
      <w:r>
        <w:rPr>
          <w:rFonts w:ascii="Times New Roman" w:hAnsi="굴림체" w:cs="굴림체" w:eastAsia="굴림체"/>
          <w:sz w:val="24"/>
        </w:rPr>
        <w:t>본안 판단</w:t>
      </w:r>
    </w:p>
    <w:p>
      <w:pPr>
        <w:ind w:left="0" w:firstLine="0" w:hanging="0"/>
        <w:jc w:val="left"/>
      </w:pPr>
      <w:r>
        <w:rPr>
          <w:rFonts w:ascii="Times New Roman" w:hAnsi="굴림체" w:cs="굴림체" w:eastAsia="굴림체"/>
          <w:sz w:val="24"/>
        </w:rPr>
        <w:t>8.1 위원회는 선택의정서 제5조와 절차규칙 제73조제1항에 따라 접수된 모든 정보를 고려하여 진정을 검토했다.</w:t>
      </w:r>
    </w:p>
    <w:p>
      <w:pPr>
        <w:ind w:left="0" w:firstLine="0" w:hanging="0"/>
        <w:jc w:val="left"/>
      </w:pPr>
      <w:r>
        <w:rPr>
          <w:rFonts w:ascii="Times New Roman" w:hAnsi="굴림체" w:cs="굴림체" w:eastAsia="굴림체"/>
          <w:sz w:val="24"/>
        </w:rPr>
        <w:t>8.2 본 진정의 쟁점은 통보인이 참여한 채용 절차와 관련하여 채택된 당사국의 결정이 협약 제5조 및 제27조에 따른 그의 권리를 침해하는 것인지 여부이다. 위원회는 통보인이 지원한 국립대학에서 해당 직책에 가장 적합한 후보자로 간주되었지만, 해당 대학은 다른 사람과 동등하게 통보인의 고용 권리를 보장하기 위한 수어통역의 비용이 많이 들기 때문에, 2016년 5월 17일 채용 절차를 취소했다는 통보인의 주장에 주목한다. 또한 위원회는 당사국이 이 주장에 이의를 제기하지 않았다는 점을 지적한다.</w:t>
      </w:r>
    </w:p>
    <w:p>
      <w:pPr>
        <w:ind w:left="0" w:firstLine="0" w:hanging="0"/>
        <w:jc w:val="left"/>
      </w:pPr>
      <w:r>
        <w:rPr>
          <w:rFonts w:ascii="Times New Roman" w:hAnsi="굴림체" w:cs="굴림체" w:eastAsia="굴림체"/>
          <w:sz w:val="24"/>
        </w:rPr>
        <w:t>8.3 위원회는 또한 대학과 노동법원이 수어 통역 비용에 대해 잘못된 비례성 심사를 하고 가능한 다른 편의제공 방안을 조사하지 않았기 때문에 자신의 권리가 침해되었다는 통보인의 주장에 주목한다. 또한 위원회는 대학이 채용 절차 종료를 결정하기 전에 국가의 재정 지원 조치가 불충분하다는 점을 그에게 경고하지 않았다는 통보인의 주장에 주목한다.</w:t>
      </w:r>
    </w:p>
    <w:p>
      <w:pPr>
        <w:ind w:left="0" w:firstLine="0" w:hanging="0"/>
        <w:jc w:val="left"/>
      </w:pPr>
      <w:r>
        <w:rPr>
          <w:rFonts w:ascii="Times New Roman" w:hAnsi="굴림체" w:cs="굴림체" w:eastAsia="굴림체"/>
          <w:sz w:val="24"/>
        </w:rPr>
        <w:t>8.4 위원회는 협약 제27조제a호, 제e호, 제g호, 제i항에 따라 당사국이 고용과 관련한 모든 분야에서 장애를 이유로 한 차별을 금지할 책임이 있음을 상기한다. 이는 노동 시장에서 장애인의 고용 기회 및 경력 발전을 촉진하고 직장을 찾고, 확보하고, 유지하고, 복귀하는 데 도움을 주며, 공공 부문에서 장애인을 고용하도록 하고, 직장에서 장애인에게 정당한 편의가 제공되도록 보장하기 위하여, 구인, 고용 및 고용 조건, 고용 지속, 경력 발전 및 안전하고 건강한 근무 조건을 포함한 모든 형태의 고용에 관한 문제에서 차별을 금지한 조항들이다. 위원회는 또한 협약 제2조에 따라 “정당한 편의제공”이란 특정 경우에 필요한 경우 불균형적이거나 부당한 부담을 부과하지 않으면서, 모든 인권 및 기본적 자유를 다른 사람과 동등하게 향유하고 행사할 수 있도록 하기 위해 필요하고 적절한 수정 및 조정 조치를 의미함을 상기한다. *15 )</w:t>
      </w:r>
    </w:p>
    <w:p>
      <w:pPr>
        <w:ind w:left="0" w:firstLine="0" w:hanging="0"/>
        <w:jc w:val="left"/>
      </w:pPr>
      <w:r>
        <w:rPr>
          <w:rFonts w:ascii="Times New Roman" w:hAnsi="굴림체" w:cs="굴림체" w:eastAsia="굴림체"/>
          <w:sz w:val="24"/>
        </w:rPr>
        <w:t>8.5 위원회는 또한 협약 제5조가 장애인에 대한 모든 유형의 차별을 금지하고 있으며, 정당한 편의제공의 거부는 협약이 금지하는 차별의 유형으로 포함되는 것이고 점진적 실현 대상이 아니라는 점을 상기한다. *16 ) 이는 모든 형태의 차별이 동등하게 협약에 위배된다는 것을 의미하며, 소위 심각성의 정도에 따라 평등권 침해와 차별금지 위반을 구별하는 것은 부적절하다는 것을 의미한다. 위원회는 또한 정당한 편의제공이 즉각적인(ex nunc) 의무라는 점을 상기한다. 즉, 장애인이 접근할 수 없는 상황이나 환경에 접근해야 하거나 자신의 권리를 행사하기를 원하는 순간부터 편의가 제공되어야 함을 의미한다. *17 ) 결국, 의무 부담자는 장애인이 자신의 권리를 더 잘 실현하고 역량을 구축하기 위한 해결책을 찾는 과정에 장애인을 포용하기 위하여 그와 대화를 시작해야 한다. *18 )</w:t>
      </w:r>
    </w:p>
    <w:p>
      <w:pPr>
        <w:ind w:left="0" w:firstLine="0" w:hanging="0"/>
        <w:jc w:val="left"/>
      </w:pPr>
      <w:r>
        <w:rPr>
          <w:rFonts w:ascii="Times New Roman" w:hAnsi="굴림체" w:cs="굴림체" w:eastAsia="굴림체"/>
          <w:sz w:val="24"/>
        </w:rPr>
        <w:t>8.6 위원회는 또한 편의제공의 합리성과 비례성을 평가할 때 당사국이 어느 정도 판단의 재량을 가진다는 점을 상기한다. 또한 평가가 명백히 자의적이거나 정의를 거부하는 것으로 확인되지 않는 한 특정 사건의 사실과 증거를 평가하는 것은 일반적으로 당사국 법원의 몫이라고 판단한다. *19 )</w:t>
      </w:r>
    </w:p>
    <w:p>
      <w:pPr>
        <w:ind w:left="0" w:firstLine="0" w:hanging="0"/>
        <w:jc w:val="left"/>
      </w:pPr>
      <w:r>
        <w:rPr>
          <w:rFonts w:ascii="Times New Roman" w:hAnsi="굴림체" w:cs="굴림체" w:eastAsia="굴림체"/>
          <w:sz w:val="24"/>
        </w:rPr>
        <w:t>8.7 본 사건에서 위원회는 다양한 관계 기관들이 각자의 임무와 책임을 갖고 관련되어 있음을 지적한다. 채용 공고를 하고 채용 절차를 취소한 국립대학, 국가 관할권에서 통보인을 대리한 차별옴부즈만, 고등교육심의위원회, 노동법원, 행정법원, 그리고 행정항소법원이다. 대학과 관련하여 위원회는 통보인이 지원한 직위의 기능을 수행하는 데 필요한 직무 조정을 위한 자금을 조달하기에 국가 자금지원 조치가 불충분하다는 사실을 통보인에게 알리지 않아 대안적인 편의제공 방법을 고려할 협의과정이 진행되지 못했다고 판단한다. 즉, 직무 조정을 위한 대안에 대한 협의와 분석이 이루어지기 전에 채용절차가 취소되었기 때문에 통보인의 선임 강사로서의 역량을 평가하고 구축하기 위한 대화를 열 가능성이 배제되었다.</w:t>
      </w:r>
    </w:p>
    <w:p>
      <w:pPr>
        <w:ind w:left="0" w:firstLine="0" w:hanging="0"/>
        <w:jc w:val="left"/>
      </w:pPr>
      <w:r>
        <w:rPr>
          <w:rFonts w:ascii="Times New Roman" w:hAnsi="굴림체" w:cs="굴림체" w:eastAsia="굴림체"/>
          <w:sz w:val="24"/>
        </w:rPr>
        <w:t>8.8 이러한 대화의 부재는 사법 절차에서 관계 기관들이 다른 가능한 조정 조치를 고려하지 않고 수어통역 비용에 대한 추론에 집중하도록 하는 데 영향을 미쳤다. 노동법원은 다음의 요소를 분석했다. 고용주의 지불 능력과 관련된 수어통역 비용; 해당 직위를 수행하는 통보인의 능력에 대해 취해진 조치의 효과; 고용 기간; 통보인에게 유리하게 채택된 조치가 다른 장애인에게 미치는 영향, 고용주와 직원이 혜택을 받을 수 있는 국가지원 조치. 이러한 이슈를 검토한 후 노동법원은 직무 관련 조정 비용이 너무 많이 든다는 결론을 내렸다.</w:t>
      </w:r>
    </w:p>
    <w:p>
      <w:pPr>
        <w:ind w:left="0" w:firstLine="0" w:hanging="0"/>
        <w:jc w:val="left"/>
      </w:pPr>
      <w:r>
        <w:rPr>
          <w:rFonts w:ascii="Times New Roman" w:hAnsi="굴림체" w:cs="굴림체" w:eastAsia="굴림체"/>
          <w:sz w:val="24"/>
        </w:rPr>
        <w:t>8.9 위원회는 정당한 편의제공을 위한 과정이 협력적이고 상호작용적이어야 하며 직원과 고용주의 요구 사이에 가능한 최상의 균형을 맞추는 것을 목표로 해야 한다는 점을 상기한다. *20 ) 정당한 편의제공을 결정할 때 당사국은 공공당국이 효과적인 직무조정을 파악하여, 직원이 자신의 주요 임무를 수행할 수 있도록 해야 한다. 본 사건에서 위원회는 통보인이 대학과 차별옴부즈만에게 대안적인 편의제공 방법을 여러 차례 제안하려고 했다는 점과 차별옴부즈만이 이 문제를 법원에 제기하기를 희망한 것이라는 점을 주목한다. 이러한 맥락에서 위원회는 일상적인 통역과 연간 임금 보조금을 통해 통보인의 고용을 촉진하기 위한 상당한 자금지원 조치가 가능했다는 당사국의 진술에도 주목한다. 위원회는 또한 당사국에 따르면 위에서 언급한 국가자금지원 조치가 노동법원의 판결과 관련된 유일한 조치였지만 다른 자금지원 조치가 없다는 것을 의미하지는 않았는데도 차별옴부즈만은 이러한 이슈를 제기하지 못했고, 이로 인해 노동법원이 다른 자금조치의 가능성을 고려하지 못하게 했다는 점을 주목한다(단락 4.26 및 4.27 참조). 이러한 진술을 통해 당사국은 통보인의 고용을 지원하기 위해 제공될 수 있었던 자금조달방법에 관해 사법절차에 관련해 당사자들에게 적절하게 알리는 공공당국의 책임을 인정한다. 위원회는 대체 편의 조치 및 "기타 자금 조달 조치"에 대한 적절한 조사의 결과에 대한 견해를 표명하지 않는다. 그러나 관련 당국은 장애인의 노동권 실현을 촉진하기 위해 가능한 모든 조치를 취하지 못했다고 판단한다.</w:t>
      </w:r>
    </w:p>
    <w:p>
      <w:pPr>
        <w:ind w:left="0" w:firstLine="0" w:hanging="0"/>
        <w:jc w:val="left"/>
      </w:pPr>
      <w:r>
        <w:rPr>
          <w:rFonts w:ascii="Times New Roman" w:hAnsi="굴림체" w:cs="굴림체" w:eastAsia="굴림체"/>
          <w:sz w:val="24"/>
        </w:rPr>
        <w:t>8.10 위원회는 통보인에 따르면 국가 당국이 청각 장애인 강사를 고용하는 것이 다양성을 촉진하고 사회 구성을 반영하여 학생과 동료의 태도와 미래의 청각장애 후보자에게 미칠 수 있는 긍정적인 영향을 고려하지 않았다는 사실을 최종적으로 주목한다. 그런 점에서 위원회는 노동법원이 통보인의 고용이 다른 장애가 있는 직원들에게 미칠 수 있는 이익에 대한 문제를 다룬 것을 환영한다. 그러나 통보인에게 수어 통역을 제공하는 것이 청각장애가 있는 다른 잠재적 고용인에게 도움이 되지 않았을 것이라는 법원의 결론도 주목한다. 위원회는 이 추론은 통보인에게 적용된 특정 조치에 초점을 맞추었지만, 보다 일반적인 의미에서 법원의 평가가 초래할 부정적인 영향(즉, 향후 잠재적 고용주들이 청각장애인을 통보인이 지원한 것과 유사한 직책으로 고용할 가능성을 배제하게 하는 것)을 고려하지않았다고 판단한다.</w:t>
      </w:r>
    </w:p>
    <w:p>
      <w:pPr>
        <w:ind w:left="0" w:firstLine="0" w:hanging="0"/>
        <w:jc w:val="left"/>
      </w:pPr>
      <w:r>
        <w:rPr>
          <w:rFonts w:ascii="Times New Roman" w:hAnsi="굴림체" w:cs="굴림체" w:eastAsia="굴림체"/>
          <w:sz w:val="24"/>
        </w:rPr>
        <w:t>8.11 이런 관점에서, 위원회는 스웨덴 당사국 당국의 결정과 개입이 장애인들이 작업 환경을 자신들의 요구에 맞게 조정해야 하는 직책에 선발될 가능성을 제한했다고 판단한다. 특히, 노동법원의 지원 및 조정 조치에 대한 판단은 정당한 편의제공을 거부하여 통보인이 지원한 직책에서 사실상 차별적으로 배제되는 결과를 초래하여 협약 제5조와 제27조에 따른 통보인의 권리를 위반하였다고 판단한다.</w:t>
      </w:r>
    </w:p>
    <w:p>
      <w:pPr>
        <w:ind w:left="0" w:firstLine="0" w:hanging="0"/>
        <w:jc w:val="center"/>
      </w:pPr>
      <w:r>
        <w:rPr>
          <w:rFonts w:ascii="Times New Roman" w:hAnsi="굴림체" w:cs="굴림체" w:eastAsia="굴림체"/>
          <w:sz w:val="24"/>
        </w:rPr>
        <w:t>C. 결론 및 권고</w:t>
      </w:r>
    </w:p>
    <w:p>
      <w:pPr>
        <w:ind w:left="0" w:firstLine="0" w:hanging="0"/>
        <w:jc w:val="left"/>
      </w:pPr>
      <w:r>
        <w:rPr>
          <w:rFonts w:ascii="Times New Roman" w:hAnsi="굴림체" w:cs="굴림체" w:eastAsia="굴림체"/>
          <w:sz w:val="24"/>
        </w:rPr>
        <w:t>9. 위원회는 선택의정서 제5조에 따라, 당사국이 협약의 제5조 및 제27조의 의무를 수행하지 못했다고 판단한다. 따라서, 위원회는 당사국에 다음과 같이 권고한다.</w:t>
      </w:r>
    </w:p>
    <w:p>
      <w:pPr>
        <w:ind w:left="0" w:firstLine="0" w:hanging="0"/>
        <w:jc w:val="left"/>
      </w:pPr>
      <w:r>
        <w:rPr>
          <w:rFonts w:ascii="Times New Roman" w:hAnsi="굴림체" w:cs="굴림체" w:eastAsia="굴림체"/>
          <w:sz w:val="24"/>
        </w:rPr>
        <w:t xml:space="preserve">  (a) 통보인에 대해서, 당사국은 다음의 의무를 이행한다.</w:t>
      </w:r>
    </w:p>
    <w:p>
      <w:pPr>
        <w:ind w:left="0" w:firstLine="0" w:hanging="0"/>
        <w:jc w:val="left"/>
      </w:pPr>
      <w:r>
        <w:rPr>
          <w:rFonts w:ascii="Times New Roman" w:hAnsi="굴림체" w:cs="굴림체" w:eastAsia="굴림체"/>
          <w:sz w:val="24"/>
        </w:rPr>
        <w:t xml:space="preserve">	(i) 통보인에게 효과적인 구제책을 제공하고 소송비용의 상환과 보상을 제공한다.</w:t>
      </w:r>
    </w:p>
    <w:p>
      <w:pPr>
        <w:ind w:left="0" w:firstLine="0" w:hanging="0"/>
        <w:jc w:val="left"/>
      </w:pPr>
      <w:r>
        <w:rPr>
          <w:rFonts w:ascii="Times New Roman" w:hAnsi="굴림체" w:cs="굴림체" w:eastAsia="굴림체"/>
          <w:sz w:val="24"/>
        </w:rPr>
        <w:t xml:space="preserve">	(ii) 본 판결을 발표하고, 접근가능한 형식으로 광범위하게 배포하여 모든 분야에서 활동하는 국민이 이용 가능하도록 한다.</w:t>
      </w:r>
    </w:p>
    <w:p>
      <w:pPr>
        <w:ind w:left="0" w:firstLine="0" w:hanging="0"/>
        <w:jc w:val="left"/>
      </w:pPr>
      <w:r>
        <w:rPr>
          <w:rFonts w:ascii="Times New Roman" w:hAnsi="굴림체" w:cs="굴림체" w:eastAsia="굴림체"/>
          <w:sz w:val="24"/>
        </w:rPr>
        <w:t xml:space="preserve">  (b) 일반적으로 당사국은 미래에 유사한 위반을 예방하기 위해 다음과 같은 조치를 취해야 한다.</w:t>
      </w:r>
    </w:p>
    <w:p>
      <w:pPr>
        <w:ind w:left="0" w:firstLine="0" w:hanging="0"/>
        <w:jc w:val="left"/>
      </w:pPr>
      <w:r>
        <w:rPr>
          <w:rFonts w:ascii="Times New Roman" w:hAnsi="굴림체" w:cs="굴림체" w:eastAsia="굴림체"/>
          <w:sz w:val="24"/>
        </w:rPr>
        <w:t xml:space="preserve">	(i) 다음과 같은 내용을 포함하여 장애인의 고용이 실제로 촉진될 수 있도록 하는 구체적인 조치를 취한다. 정당한 편의제공 조치의 적정성과 비례성에 대한 평가 기준이 협약에 명시된 원칙과 본 견해에 포함된 권고사항에 합치되도록 하고, 장애인이 다른 사람들과 동등하게 권리를 실현할 수 있도록 그들과의 대화가 체계적으로 이루어지도록 할 것.</w:t>
      </w:r>
    </w:p>
    <w:p>
      <w:pPr>
        <w:ind w:left="0" w:firstLine="0" w:hanging="0"/>
        <w:jc w:val="left"/>
      </w:pPr>
      <w:r>
        <w:rPr>
          <w:rFonts w:ascii="Times New Roman" w:hAnsi="굴림체" w:cs="굴림체" w:eastAsia="굴림체"/>
          <w:sz w:val="24"/>
        </w:rPr>
        <w:t xml:space="preserve">	(ii) 채용 절차에 관여하는 국가기관 및 노동법원을 포함한 관련된 법률 공무원에게 협약 및 선택의정서, 특히 제9조 및 제27조를 준수하여 장애인의 고용 촉진에 대한 교육을 적절하고 정기적으로 제공하도록 보장한다.</w:t>
      </w:r>
    </w:p>
    <w:p>
      <w:pPr>
        <w:ind w:left="0" w:firstLine="0" w:hanging="0"/>
        <w:jc w:val="left"/>
      </w:pPr>
      <w:r>
        <w:rPr>
          <w:rFonts w:ascii="Times New Roman" w:hAnsi="굴림체" w:cs="굴림체" w:eastAsia="굴림체"/>
          <w:sz w:val="24"/>
        </w:rPr>
        <w:t>10. 선택의정서 제5조와 위원회 절차규칙 제75조에 따라 당사국은 위원회의 견해 및 권고 사항을 고려하여 취한 조치에 관한 정보를 서면응답으로 6개월 이내에 위원회에 제출해야 한다.</w:t>
      </w:r>
    </w:p>
    <w:p>
      <w:pPr>
        <w:ind w:left="0" w:firstLine="0" w:hanging="0"/>
        <w:jc w:val="left"/>
      </w:pPr>
      <w:r>
        <w:rPr>
          <w:rFonts w:ascii="Times New Roman" w:hAnsi="굴림체" w:cs="굴림체" w:eastAsia="굴림체"/>
          <w:sz w:val="24"/>
        </w:rPr>
        <w:t/>
      </w:r>
    </w:p>
    <w:p>
      <w:pPr>
        <w:ind w:left="0" w:firstLine="0" w:hanging="0"/>
        <w:jc w:val="left"/>
      </w:pPr>
      <w:r>
        <w:rPr>
          <w:rFonts w:ascii="Times New Roman" w:hAnsi="굴림체" w:cs="굴림체" w:eastAsia="굴림체"/>
          <w:sz w:val="24"/>
        </w:rPr>
        <w:t>[ 각주 ]</w:t>
      </w:r>
    </w:p>
    <w:p>
      <w:pPr>
        <w:ind w:left="0" w:firstLine="0" w:hanging="0"/>
        <w:jc w:val="left"/>
      </w:pPr>
      <w:r>
        <w:rPr>
          <w:rFonts w:ascii="Times New Roman" w:hAnsi="굴림체" w:cs="굴림체" w:eastAsia="굴림체"/>
          <w:sz w:val="24"/>
        </w:rPr>
        <w:t>1. www.regeringen.se/sveriges-regering/finansdepartementet/statens-budget/statens-budget- i-siffror/.</w:t>
      </w:r>
    </w:p>
    <w:p>
      <w:pPr>
        <w:ind w:left="0" w:firstLine="0" w:hanging="0"/>
        <w:jc w:val="left"/>
      </w:pPr>
      <w:r>
        <w:rPr>
          <w:rFonts w:ascii="Times New Roman" w:hAnsi="굴림체" w:cs="굴림체" w:eastAsia="굴림체"/>
          <w:sz w:val="24"/>
        </w:rPr>
        <w:t>2. 당사국은 판결문 중 다음과 같은 제목 아래에 포함된 정보를 참조하였다: "공공 조달 계약의 틀에 따른 비용"</w:t>
      </w:r>
    </w:p>
    <w:p>
      <w:pPr>
        <w:ind w:left="0" w:firstLine="0" w:hanging="0"/>
        <w:jc w:val="left"/>
      </w:pPr>
      <w:r>
        <w:rPr>
          <w:rFonts w:ascii="Times New Roman" w:hAnsi="굴림체" w:cs="굴림체" w:eastAsia="굴림체"/>
          <w:sz w:val="24"/>
        </w:rPr>
        <w:t>3. 정부법안 2017/18:1.</w:t>
      </w:r>
    </w:p>
    <w:p>
      <w:pPr>
        <w:ind w:left="0" w:firstLine="0" w:hanging="0"/>
        <w:jc w:val="left"/>
      </w:pPr>
      <w:r>
        <w:rPr>
          <w:rFonts w:ascii="Times New Roman" w:hAnsi="굴림체" w:cs="굴림체" w:eastAsia="굴림체"/>
          <w:sz w:val="24"/>
        </w:rPr>
        <w:t>4. 드페라즈 및 델리우트라즈 대 프랑스(CCPR/C/83/D/1118/2002), 단락 6.4; 반 마르케 대 벨기에(CCPR/C/81/D/904/2000), 단락 6.3.</w:t>
      </w:r>
    </w:p>
    <w:p>
      <w:pPr>
        <w:ind w:left="0" w:firstLine="0" w:hanging="0"/>
        <w:jc w:val="left"/>
      </w:pPr>
      <w:r>
        <w:rPr>
          <w:rFonts w:ascii="Times New Roman" w:hAnsi="굴림체" w:cs="굴림체" w:eastAsia="굴림체"/>
          <w:sz w:val="24"/>
        </w:rPr>
        <w:t>5. 일반논평 6호(2018), 단락 25(가) 및 (나).</w:t>
      </w:r>
    </w:p>
    <w:p>
      <w:pPr>
        <w:ind w:left="0" w:firstLine="0" w:hanging="0"/>
        <w:jc w:val="left"/>
      </w:pPr>
      <w:r>
        <w:rPr>
          <w:rFonts w:ascii="Times New Roman" w:hAnsi="굴림체" w:cs="굴림체" w:eastAsia="굴림체"/>
          <w:sz w:val="24"/>
        </w:rPr>
        <w:t>6. 노동분쟁법(사법절차) 제5장 제3절 및 스웨덴사법절차법 제17장 제3절을 참조.</w:t>
      </w:r>
    </w:p>
    <w:p>
      <w:pPr>
        <w:ind w:left="0" w:firstLine="0" w:hanging="0"/>
        <w:jc w:val="left"/>
      </w:pPr>
      <w:r>
        <w:rPr>
          <w:rFonts w:ascii="Times New Roman" w:hAnsi="굴림체" w:cs="굴림체" w:eastAsia="굴림체"/>
          <w:sz w:val="24"/>
        </w:rPr>
        <w:t>7. 일반논평 제6호, 단락 25(a) 및 (b)</w:t>
      </w:r>
    </w:p>
    <w:p>
      <w:pPr>
        <w:ind w:left="0" w:firstLine="0" w:hanging="0"/>
        <w:jc w:val="left"/>
      </w:pPr>
      <w:r>
        <w:rPr>
          <w:rFonts w:ascii="Times New Roman" w:hAnsi="굴림체" w:cs="굴림체" w:eastAsia="굴림체"/>
          <w:sz w:val="24"/>
        </w:rPr>
        <w:t>8. 위 문서, 단락 26(e)</w:t>
      </w:r>
    </w:p>
    <w:p>
      <w:pPr>
        <w:ind w:left="0" w:firstLine="0" w:hanging="0"/>
        <w:jc w:val="left"/>
      </w:pPr>
      <w:r>
        <w:rPr>
          <w:rFonts w:ascii="Times New Roman" w:hAnsi="굴림체" w:cs="굴림체" w:eastAsia="굴림체"/>
          <w:sz w:val="24"/>
        </w:rPr>
        <w:t>9. 융겔린 대 스웨덴 (CRPD/C/12/D/5/2011), 단락 10.5.</w:t>
      </w:r>
    </w:p>
    <w:p>
      <w:pPr>
        <w:ind w:left="0" w:firstLine="0" w:hanging="0"/>
        <w:jc w:val="left"/>
      </w:pPr>
      <w:r>
        <w:rPr>
          <w:rFonts w:ascii="Times New Roman" w:hAnsi="굴림체" w:cs="굴림체" w:eastAsia="굴림체"/>
          <w:sz w:val="24"/>
        </w:rPr>
        <w:t>10. 재판소는 융겔린 대 스웨덴(CRPD/C/12/D/5/2011) 사건의 반대의견(부록, 단락 5)을 언급하며 다른 장애인 근로자의 이익도 고려해야 한다고 밝혔다.</w:t>
      </w:r>
    </w:p>
    <w:p>
      <w:pPr>
        <w:ind w:left="0" w:firstLine="0" w:hanging="0"/>
        <w:jc w:val="left"/>
      </w:pPr>
      <w:r>
        <w:rPr>
          <w:rFonts w:ascii="Times New Roman" w:hAnsi="굴림체" w:cs="굴림체" w:eastAsia="굴림체"/>
          <w:sz w:val="24"/>
        </w:rPr>
        <w:t>11. 유럽인권재판소, 제임스 등 대 영국 사건, 사건번호 8793/79, 1986년 2월 21일, 단락 46; 해튼 및 기타 대 영국 사건, 사건번호 36022/97, 판결, 2003년 7월 8일, 단락. 97. 또한 자유권위원회, 키톡 대 스웨덴, 개인통보결정 사건번호 197/1985, 단락 9.2항 참조. 9.2; 러브 등 대 호주 (CCPR/C/77/D/983/2001), 단락 8.2 참조.</w:t>
      </w:r>
    </w:p>
    <w:p>
      <w:pPr>
        <w:ind w:left="0" w:firstLine="0" w:hanging="0"/>
        <w:jc w:val="left"/>
      </w:pPr>
      <w:r>
        <w:rPr>
          <w:rFonts w:ascii="Times New Roman" w:hAnsi="굴림체" w:cs="굴림체" w:eastAsia="굴림체"/>
          <w:sz w:val="24"/>
        </w:rPr>
        <w:t>12. 유럽인권재판소, 카라코 대 헝가리, 사건번호 39311/05 및 마린코비치 대 스웨덴, 사건번호 43570/10.</w:t>
      </w:r>
    </w:p>
    <w:p>
      <w:pPr>
        <w:ind w:left="0" w:firstLine="0" w:hanging="0"/>
        <w:jc w:val="left"/>
      </w:pPr>
      <w:r>
        <w:rPr>
          <w:rFonts w:ascii="Times New Roman" w:hAnsi="굴림체" w:cs="굴림체" w:eastAsia="굴림체"/>
          <w:sz w:val="24"/>
        </w:rPr>
        <w:t>13. 유럽인권재판소, 카스텔스 대 스페인 사건, 사건번호 11798/85, 1992년 4월 23일 판결, 단락 32; 프레소즈와 루아르 대 프랑스 사건, 사건번호 29183/95, 1999년 1월 21일 판결, 단락 37; 부치코비치 등 대 세르비아(대심판소) 사건, 2014년 3월 25일 판결문, 단락 72, 79 및 81-82.</w:t>
      </w:r>
    </w:p>
    <w:p>
      <w:pPr>
        <w:ind w:left="0" w:firstLine="0" w:hanging="0"/>
        <w:jc w:val="left"/>
      </w:pPr>
      <w:r>
        <w:rPr>
          <w:rFonts w:ascii="Times New Roman" w:hAnsi="굴림체" w:cs="굴림체" w:eastAsia="굴림체"/>
          <w:sz w:val="24"/>
        </w:rPr>
        <w:t>14. 크로셰 대 프랑스(CCPR/C/100/D/1777/2008), 단락. 6.4.</w:t>
      </w:r>
    </w:p>
    <w:p>
      <w:pPr>
        <w:ind w:left="0" w:firstLine="0" w:hanging="0"/>
        <w:jc w:val="left"/>
      </w:pPr>
      <w:r>
        <w:rPr>
          <w:rFonts w:ascii="Times New Roman" w:hAnsi="굴림체" w:cs="굴림체" w:eastAsia="굴림체"/>
          <w:sz w:val="24"/>
        </w:rPr>
        <w:t>15. Jungelin v. 스웨덴 (CRPD/C/12/D/5/2011), 단락 10.4.</w:t>
      </w:r>
    </w:p>
    <w:p>
      <w:pPr>
        <w:ind w:left="0" w:firstLine="0" w:hanging="0"/>
        <w:jc w:val="left"/>
      </w:pPr>
      <w:r>
        <w:rPr>
          <w:rFonts w:ascii="Times New Roman" w:hAnsi="굴림체" w:cs="굴림체" w:eastAsia="굴림체"/>
          <w:sz w:val="24"/>
        </w:rPr>
        <w:t>16. 일반논평 제6호(2018), 단락 12.</w:t>
      </w:r>
    </w:p>
    <w:p>
      <w:pPr>
        <w:ind w:left="0" w:firstLine="0" w:hanging="0"/>
        <w:jc w:val="left"/>
      </w:pPr>
      <w:r>
        <w:rPr>
          <w:rFonts w:ascii="Times New Roman" w:hAnsi="굴림체" w:cs="굴림체" w:eastAsia="굴림체"/>
          <w:sz w:val="24"/>
        </w:rPr>
        <w:t>17. V.F.C. v. Spain (CRPD/C/21/D/34/2015), 단락 8.4.</w:t>
      </w:r>
    </w:p>
    <w:p>
      <w:pPr>
        <w:ind w:left="0" w:firstLine="0" w:hanging="0"/>
        <w:jc w:val="left"/>
      </w:pPr>
      <w:r>
        <w:rPr>
          <w:rFonts w:ascii="Times New Roman" w:hAnsi="굴림체" w:cs="굴림체" w:eastAsia="굴림체"/>
          <w:sz w:val="24"/>
        </w:rPr>
        <w:t>18. 일반논평 제6호(2018), 단락 26(a), 67(h).</w:t>
      </w:r>
    </w:p>
    <w:p>
      <w:pPr>
        <w:ind w:left="0" w:firstLine="0" w:hanging="0"/>
        <w:jc w:val="left"/>
      </w:pPr>
      <w:r>
        <w:rPr>
          <w:rFonts w:ascii="Times New Roman" w:hAnsi="굴림체" w:cs="굴림체" w:eastAsia="굴림체"/>
          <w:sz w:val="24"/>
        </w:rPr>
        <w:t>19. Jungelin v. 스웨덴 (CRPD/C/12/D/5/2011), 단락 10.5.</w:t>
      </w:r>
    </w:p>
    <w:p>
      <w:pPr>
        <w:ind w:left="0" w:firstLine="0" w:hanging="0"/>
        <w:jc w:val="left"/>
      </w:pPr>
      <w:r>
        <w:rPr>
          <w:rFonts w:ascii="Times New Roman" w:hAnsi="굴림체" w:cs="굴림체" w:eastAsia="굴림체"/>
          <w:sz w:val="24"/>
        </w:rPr>
        <w:t>20. V.F.C. v. 스페인 (CRPD/C/21/D/34/2015), 단락 8.7.</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