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개인통보(2018): 피오나 기븐 vs 호주</w:t>
      </w:r>
    </w:p>
    <w:p>
      <w:pPr>
        <w:ind w:left="0" w:firstLine="0" w:hanging="0"/>
        <w:jc w:val="center"/>
      </w:pPr>
      <w:r>
        <w:rPr>
          <w:rFonts w:ascii="Times New Roman" w:hAnsi="굴림체" w:cs="굴림체" w:eastAsia="굴림체"/>
          <w:sz w:val="24"/>
        </w:rPr>
        <w:t>CRPD Individual Communication(2018): Fiona Given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개인통보(19/2014)</w:t>
      </w:r>
    </w:p>
    <w:p>
      <w:pPr>
        <w:ind w:left="0" w:firstLine="0" w:hanging="0"/>
        <w:jc w:val="right"/>
      </w:pPr>
      <w:r>
        <w:rPr>
          <w:rFonts w:ascii="Times New Roman" w:hAnsi="굴림체" w:cs="굴림체" w:eastAsia="굴림체"/>
          <w:sz w:val="24"/>
        </w:rPr>
        <w:t>CRPD/C/19/D/19/2014</w:t>
      </w:r>
    </w:p>
    <w:p>
      <w:pPr>
        <w:ind w:left="0" w:firstLine="0" w:hanging="0"/>
        <w:jc w:val="right"/>
      </w:pPr>
      <w:r>
        <w:rPr>
          <w:rFonts w:ascii="Times New Roman" w:hAnsi="굴림체" w:cs="굴림체" w:eastAsia="굴림체"/>
          <w:sz w:val="24"/>
        </w:rPr>
        <w:t>위반 - 제29조 단독 및 제5조, 제4조 등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2018. 3. 29.</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피오나 기븐(Fiona Given)(변호인 필립 프렌치(Phillip French, 호주 장애법률센터)가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2013-11-27</w:t>
      </w:r>
    </w:p>
    <w:p>
      <w:pPr>
        <w:ind w:left="0" w:firstLine="0" w:hanging="0"/>
        <w:jc w:val="left"/>
      </w:pPr>
      <w:r>
        <w:rPr>
          <w:rFonts w:ascii="Times New Roman" w:hAnsi="굴림체" w:cs="굴림체" w:eastAsia="굴림체"/>
          <w:sz w:val="24"/>
        </w:rPr>
        <w:t>참고문서: 위원회 절차규칙 제70조에 따라 취한 결정(2014년 2월 10일 당사국 송부, 문서 형태로 발행되지 않음)</w:t>
      </w:r>
    </w:p>
    <w:p>
      <w:pPr>
        <w:ind w:left="0" w:firstLine="0" w:hanging="0"/>
        <w:jc w:val="left"/>
      </w:pPr>
      <w:r>
        <w:rPr>
          <w:rFonts w:ascii="Times New Roman" w:hAnsi="굴림체" w:cs="굴림체" w:eastAsia="굴림체"/>
          <w:sz w:val="24"/>
        </w:rPr>
        <w:t>채택일: 2018. 2. 16.</w:t>
      </w:r>
    </w:p>
    <w:p>
      <w:pPr>
        <w:ind w:left="0" w:firstLine="0" w:hanging="0"/>
        <w:jc w:val="left"/>
      </w:pPr>
      <w:r>
        <w:rPr>
          <w:rFonts w:ascii="Times New Roman" w:hAnsi="굴림체" w:cs="굴림체" w:eastAsia="굴림체"/>
          <w:sz w:val="24"/>
        </w:rPr>
        <w:t>주제: 비밀투표권</w:t>
      </w:r>
    </w:p>
    <w:p>
      <w:pPr>
        <w:ind w:left="0" w:firstLine="0" w:hanging="0"/>
        <w:jc w:val="left"/>
      </w:pPr>
      <w:r>
        <w:rPr>
          <w:rFonts w:ascii="Times New Roman" w:hAnsi="굴림체" w:cs="굴림체" w:eastAsia="굴림체"/>
          <w:sz w:val="24"/>
        </w:rPr>
        <w:t>절차쟁점: 국내 구제절차 완료, 주장의 소명</w:t>
      </w:r>
    </w:p>
    <w:p>
      <w:pPr>
        <w:ind w:left="0" w:firstLine="0" w:hanging="0"/>
        <w:jc w:val="left"/>
      </w:pPr>
      <w:r>
        <w:rPr>
          <w:rFonts w:ascii="Times New Roman" w:hAnsi="굴림체" w:cs="굴림체" w:eastAsia="굴림체"/>
          <w:sz w:val="24"/>
        </w:rPr>
        <w:t>본안쟁점: 협약에 따른 일반적 의무, 평등과 차별금지, 정치·공공 생활 접근성 및 참여</w:t>
      </w:r>
    </w:p>
    <w:p>
      <w:pPr>
        <w:ind w:left="0" w:firstLine="0" w:hanging="0"/>
        <w:jc w:val="left"/>
      </w:pPr>
      <w:r>
        <w:rPr>
          <w:rFonts w:ascii="Times New Roman" w:hAnsi="굴림체" w:cs="굴림체" w:eastAsia="굴림체"/>
          <w:sz w:val="24"/>
        </w:rPr>
        <w:t>관련조항: 제4조제1항제a호, 제b호, 제c호, 제d호, 제e호, 제g호, 제5조제2항 및 제3항, 제9조, 제29조제a호제i목, 제ii목, 제iii목</w:t>
      </w:r>
    </w:p>
    <w:p>
      <w:pPr>
        <w:ind w:left="0" w:firstLine="0" w:hanging="0"/>
        <w:jc w:val="left"/>
      </w:pPr>
      <w:r>
        <w:rPr>
          <w:rFonts w:ascii="Times New Roman" w:hAnsi="굴림체" w:cs="굴림체" w:eastAsia="굴림체"/>
          <w:sz w:val="24"/>
        </w:rPr>
        <w:t>선택의정서 관련조항: 제2조제d호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19/2014</w:t>
      </w:r>
    </w:p>
    <w:p>
      <w:pPr>
        <w:ind w:left="0" w:firstLine="0" w:hanging="0"/>
        <w:jc w:val="left"/>
      </w:pPr>
      <w:r>
        <w:rPr>
          <w:rFonts w:ascii="Times New Roman" w:hAnsi="굴림체" w:cs="굴림체" w:eastAsia="굴림체"/>
          <w:sz w:val="24"/>
        </w:rPr>
        <w:t>1. 통보인은 피오나 기븐(Fiona Given)으로 1978년생 호주 국민이다. 통보인은 당사국이 협약 제29조제a호제i목, 제ii목, 제iii목을 단독으로, 또한 협약 제4조제1항제a호, 제b호, 제d호, 제e호, 제g호, 제5조제2항, 제3항, 제9조와 연계하여 위반함으로써 피해를 겪었다고 주장한다. 협약 선택의정서는 2009년 9월 19일부로 당사국에서 발효되었다. 변호인 필립 프렌치가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뇌성마비가 있으며, 그 결과 근육 조절과 손동작 능력이 제한적이며 말을 하지 못한다. 통보인은 이동을 위해 전동 휠체어를, 의사소통을 위해 전자 합성 음성 생성 장치를 사용한다.</w:t>
      </w:r>
    </w:p>
    <w:p>
      <w:pPr>
        <w:ind w:left="0" w:firstLine="0" w:hanging="0"/>
        <w:jc w:val="left"/>
      </w:pPr>
      <w:r>
        <w:rPr>
          <w:rFonts w:ascii="Times New Roman" w:hAnsi="굴림체" w:cs="굴림체" w:eastAsia="굴림체"/>
          <w:sz w:val="24"/>
        </w:rPr>
        <w:t>2.2 2013년 9월 7일 하원과 상원 의원을 선출하는 연방 선거가 각 주와 준주에서 실시되었다. 연방선거법(Commonwealth Electoral Act 1918)에 따라 호주 선거관리위원회(이하 선거관리위원회)가 당사국의 선거 및 국민투표 실시를 담당한다. 선거관리위원회는 선거법에 따라 우편투표, 투표소, 시각장애인용 전자보조투표 등의 방법으로 2013년 연방 선거를 실시했다.</w:t>
      </w:r>
    </w:p>
    <w:p>
      <w:pPr>
        <w:ind w:left="0" w:firstLine="0" w:hanging="0"/>
        <w:jc w:val="left"/>
      </w:pPr>
      <w:r>
        <w:rPr>
          <w:rFonts w:ascii="Times New Roman" w:hAnsi="굴림체" w:cs="굴림체" w:eastAsia="굴림체"/>
          <w:sz w:val="24"/>
        </w:rPr>
        <w:t>2.3 선거 당시 통보인은 다른 유권자들과 동등하게 비밀투표를 하길 원했다. 하지만 제한적인 손동작으로 인해 실시간 지원 없이는 투표용지에 기표하고 이를 접어 투표함에 넣을 수 없으며, 이는 투표의 비밀성을 침해할 것이다. 통보인은 독자적인 비밀투표 행사를 위해서는 컴퓨터 생성 인터페이스와 같은 전자투표 시스템에 접근할 수 있어야 한다고 주장한다. 통보인은 본인 스스로 컴퓨터 키보드와 화면을 사용할 수 있는 적응형 기술을 일상적으로 사용하고 있다고 언급한다. 투표일 전 통보인은 투표 방법에 관한 선거관리위원회의 자료를 읽었다. 통보인은 선거법에 따라 등록된 시각장애인만이 전자 보조 투표를 이용할 수 있다고 판단했다.</w:t>
      </w:r>
    </w:p>
    <w:p>
      <w:pPr>
        <w:ind w:left="0" w:firstLine="0" w:hanging="0"/>
        <w:jc w:val="left"/>
      </w:pPr>
      <w:r>
        <w:rPr>
          <w:rFonts w:ascii="Times New Roman" w:hAnsi="굴림체" w:cs="굴림체" w:eastAsia="굴림체"/>
          <w:sz w:val="24"/>
        </w:rPr>
        <w:t>2.4 2013년 9월 7일 통보인은 노스시드니 선거구의 선거관리위원회 투표소에 출석했다. 통보인은 활동보조인과 동행했다. 전자투표 시설이 부재한 상황에서 통보인은 선거법 제234조에 따른 지체장애인의 권리를 행사하기로 하고 자신의 지시에 따라 투표용지에 기표하고 이를 접어 투표함에 넣을 투표소 감독관의 지원을 요청했다. 그러나 감독관은 “너무 바쁘다”라는 이유로 통보인의 지원 요청을 거절하고 활동보조인의 도움을 받을 것을 지시했다. 통보인은 활동보조인과는 밀접하고 지속적인 관계를 유지해야 하므로 자신의 투표 의사를 활동보조인에게 공개하고 싶지 않다는 답변을 전자통신장치를 통해 전달하고자 했다. 감독관은 투표를 위해 활동보조인의 도움을 받을 것을 계속해서 고집했고, 결국 통보인은 마지못해 이를 따랐다. 전자투표 시스템에 접근할 수 없는 상황에서 통보인은 자신과 면식이 없는 선거 감독관의 지원을 선호했다. 하지만 이러한 방법으로 비밀투표 행사가 가능한 것은 아니기 때문에 이 역시 만족스러운 해결책은 아니었을 것이다.</w:t>
      </w:r>
    </w:p>
    <w:p>
      <w:pPr>
        <w:ind w:left="0" w:firstLine="0" w:hanging="0"/>
        <w:jc w:val="left"/>
      </w:pPr>
      <w:r>
        <w:rPr>
          <w:rFonts w:ascii="Times New Roman" w:hAnsi="굴림체" w:cs="굴림체" w:eastAsia="굴림체"/>
          <w:sz w:val="24"/>
        </w:rPr>
        <w:t>2.5 통보인은 당사국의 권리 침해를 해결하기 위한 실효적인 국내 구제절차에 접근할 수 없다고 주장한다. 뉴사우스웨일스주의 장애차별금지법(Disability Discrimination Act of 1992)과 차별금지법(Anti-Discrimination Act of 1977)은 일부 예외를 제외하고 공공 생활의 특정 영역에서 장애를 이유로 한 차별을 금지한다. 그러나 통보인은 선거관리위원회가 시각장애인에게만 전자투표를 허용할 수 있다고 선거법에 명시적으로 규정되어 있다는 점에서 선거법에 따라 전자투표 플랫폼에 접근할 수 없다는 사실에 이의를 제기했더라도 성공할 전망은 없었을 것이라고 주장한다. 또 통보인은 선거법 제234조가 단지 적격 투표자의 요청이 있을 때가 아니라 적격 투표자가 다른 사람을 지명하지 “못하는” 경우에 감독관이 지원을 제공해야 한다고 규정하고 있다는 점에서 장애차별금지법 또는 차별금지법에 따라 장애를 이유로 한 차별이 있었다는 청구를 제기하더라도 성공할 가능성은 없었을 것이라고 주장한다.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장애인인 자신이 다른 사람들과 동등하게 정치·공공 생활에 효과적이고 완전하게 참여할 수 있도록 당사국이 보장하지 않았다는 점에서 제29조제a호제i목, 제ii목, 제iii목에 따른 권리가 단독으로, 또한 협약 제4조제1항제a호, 제b호, 제d호, 제e호, 제g호, 제5조제2항, 제3항, 제9조와 연계하여 침해되었다고 주장한다. 구체적으로, 통보인은 당사국이 접근 가능한 투표 절차와 시설에 대한 권리, 보조 기술을 활용한 비밀투표에 대한 권리, 자신이 직접 선택한 사람으로부터 투표 지원을 받을 권리를 거부함으로써 자신의 권리를 침해했다고 주장한다.</w:t>
      </w:r>
    </w:p>
    <w:p>
      <w:pPr>
        <w:ind w:left="0" w:firstLine="0" w:hanging="0"/>
        <w:jc w:val="left"/>
      </w:pPr>
      <w:r>
        <w:rPr>
          <w:rFonts w:ascii="Times New Roman" w:hAnsi="굴림체" w:cs="굴림체" w:eastAsia="굴림체"/>
          <w:sz w:val="24"/>
        </w:rPr>
        <w:t>3.2 또 통보인은 협약 제29조에서 인정되는 권리가 무엇보다 시민적·정치적 권리에 관한 국제규약 제25조에서 파생된 것이며, 당사국 내 규약 발효 시점 및 그 이후에 이러한 권리가 즉각 실현될 수 있었다고 주장한다.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2014년 12월 17일 당사국은 통보의 심리적격과 본안에 관한 견해를 제출했다. 당사국은 선택의정서 제2조제d호에 명시된 바와 같이 국내 구제절차가 소진되지 않았거나 선택의정서 제2조제e호에 명시된 바와 같이 주장이 충분히 소명되지 않았으므로 진정은 제29조제a호제ii목에 따른 주장을 제외하고 통보는 심리부적격으로 선언되어야 한다고 진술한다. 당사국은 위원회가 통보인의 주장을 심리적격이라고 판단한다면, 이들 주장은 이유가 없으며 협약에 따른 통보인의 권리는 존중되었다고 진술한다.</w:t>
      </w:r>
    </w:p>
    <w:p>
      <w:pPr>
        <w:ind w:left="0" w:firstLine="0" w:hanging="0"/>
        <w:jc w:val="left"/>
      </w:pPr>
      <w:r>
        <w:rPr>
          <w:rFonts w:ascii="Times New Roman" w:hAnsi="굴림체" w:cs="굴림체" w:eastAsia="굴림체"/>
          <w:sz w:val="24"/>
        </w:rPr>
        <w:t>4.2 당사국은 통보인이 협약에 따른 장애인이며 당사국의 관할권에 속함을 인정한다. 또 당사국은 통보인이 제기한 행위가 당사국 내 선택의정서 발효 이후에 발생했음을 인정한다.</w:t>
      </w:r>
    </w:p>
    <w:p>
      <w:pPr>
        <w:ind w:left="0" w:firstLine="0" w:hanging="0"/>
        <w:jc w:val="left"/>
      </w:pPr>
      <w:r>
        <w:rPr>
          <w:rFonts w:ascii="Times New Roman" w:hAnsi="굴림체" w:cs="굴림체" w:eastAsia="굴림체"/>
          <w:sz w:val="24"/>
        </w:rPr>
        <w:t>4.3 당사국은 가용한 국내 구제절차를 모두 소진해야 한다는 요건이 통보인에게 합리적 구제 가능성을 제공하는 모든 사법적·행정적 수단을 사용해야 함을 의미한다고 언급한다. *1 ) 당사국은 차별 주장을 해결할 수 있는 유일한 국내법이 장애차별금지법과 차별금지법뿐이며, 당사국의 이러한 법률에 따라 청구를 제기하더라도 성공할 가능성이 전혀 없었을 것이라는 통보인의 진술을 지적한다. 당사국은 통보인이 주장하는 위반에 대한 구제 방법이 특정되지 않았다고 주장하며, 투표 마감 이후에는 통보인의 투표 시간이 지났다는 점에서 어떠한 구제도, 심지어 위원회의 구제도 통보인이 주장하는 위반을 완전히 시정할 수 없을 것이라고 진술한다. 당사국은 자유권위원회의 법리를 언급하는 한편 가용한 구제절차를 밟는 것이 통보인의 의무라는 견해를 위원회가 표명한 점에 주목하면서 그러한 구제절차의 실효성이 의심된다고 해서 이러한 절차를 진행해야 할 통보인의 의무가 면제되는 것은 아니라고 언급한다. 또 당사국은 통보인이 국내 구제절차를 밟을 재정적 수단이 부족함을 시사하지 않았다고 언급한다. 하지만 당사국은 설령 재정적 수단이 부족하다고 하더라도 그렇다고 해서 가용한 국내 구제절차를 모두 소진해야 한다는 선택의정서 제2조제d호의 요건이 면제되는 것은 아니라고 언급한다. *2 )</w:t>
      </w:r>
    </w:p>
    <w:p>
      <w:pPr>
        <w:ind w:left="0" w:firstLine="0" w:hanging="0"/>
        <w:jc w:val="left"/>
      </w:pPr>
      <w:r>
        <w:rPr>
          <w:rFonts w:ascii="Times New Roman" w:hAnsi="굴림체" w:cs="굴림체" w:eastAsia="굴림체"/>
          <w:sz w:val="24"/>
        </w:rPr>
        <w:t>4.4 제29조제a호제i목에 따라 당사국이 사용자 친화적이고 접근 가능한 투표 시설을 제공하지 않았다는 통보인의 구체적 주장, 또는 제29조제a호제ii목에 따라 국가가 장애인의 비밀투표 권리를 보호해야 한다는 주장과 관련해 당사국은 선거법의 규정을 장애차별금지법 또는 다른 법률로 직접 반박할 수 없었다는 통보인의 주장에 이의를 제기하지 않는다. 그러나 협약 제29조제a호제iii목에 따른 주장과 관련해 당사국은 통보인이 국내 구제절차를 소진하지 않았다고 진술한다.</w:t>
      </w:r>
    </w:p>
    <w:p>
      <w:pPr>
        <w:ind w:left="0" w:firstLine="0" w:hanging="0"/>
        <w:jc w:val="left"/>
      </w:pPr>
      <w:r>
        <w:rPr>
          <w:rFonts w:ascii="Times New Roman" w:hAnsi="굴림체" w:cs="굴림체" w:eastAsia="굴림체"/>
          <w:sz w:val="24"/>
        </w:rPr>
        <w:t>4.5 협약 제29조제a호제iii목에 따른 것으로서 감독관의 행위에 대한 진정과 관련해 당사국은 행정결정법(사법심사)(Administrative Decisions (Judicial Review) Act 1977)에 따라 통보인이 국내 관할기관에 진정을 제기했어야 한다고 주장한다. 이 연방 법률은 호주 관습법을 성문화한 것으로 행정 결정으로 피해를 겪은 자는 같은 법 제5조에 명시된 사유 중 하나를 근거로 호주 연방순회법원 또는 호주 연방법원에 심사명령을 신청할 수 있다. 이후 관련 법원은 같은 법 제16조제1항제c호에 따라 해당 사안과 관련해 당사자의 권리를 선언하는 명령을 발부할 수 있다. 또 당사국은 선거법 제234조의 규정에 따라 투표자가 “신체적으로 무능력하여” 보조 없이는 투표할 수 없다고 인정되는 경우 감독관은 투표자에 의해 지정된 자가 투표자의 투표 행사를 지원할 수 있도록 허용해야 한다고 언급한다. 나아가 투표자가 자신의 투표 행사를 보조할 자를 지정하지 못하는 경우 감독관은 해당 투표자를 보조할 의무가 있다.</w:t>
      </w:r>
    </w:p>
    <w:p>
      <w:pPr>
        <w:ind w:left="0" w:firstLine="0" w:hanging="0"/>
        <w:jc w:val="left"/>
      </w:pPr>
      <w:r>
        <w:rPr>
          <w:rFonts w:ascii="Times New Roman" w:hAnsi="굴림체" w:cs="굴림체" w:eastAsia="굴림체"/>
          <w:sz w:val="24"/>
        </w:rPr>
        <w:t>4.6 당사국은 투표 당일 감독관의 행동에 관한 통보인의 사건 진술이 소명되지 않았다고 진술한다. 당사국은 통보인의 사건 진술이 정확하다면 감독관은 선거법 제234조에 따른 자신의 직무를 제대로 수행하지 않았을 가능성이 있다고 주장한다. 당사국은 투표자의 신체적 장애가 인정되는 경우 감독관은 법에 따라 통보인이 지정한 자가 투표를 보조하도록 허용하거나 자신이 직접 통보인의 투표 행사를 보조해야 한다고 언급한다. 당사국은 제234조에 따라 투표자는 자신을 보조할 자를 지명할 의무가 없다고 주장한다. 투표자가 해당 인물을 지명하지 않을 경우는 반드시 감독관이 보조해야 한다. 당사국은 통보인이 묘사한 사실관계에 근거할 때 감독관이 통보인의 투표를 보조했어야 한다고 진술한다. 당사국은 통보인이 연방순회법원 또는 호주 연방법원에 감독관의 행위에 대한 심사명령을 신청하지 않음으로써 이와 관련한 국내 구제절차를 소진하지 않았다고 진술한다.</w:t>
      </w:r>
    </w:p>
    <w:p>
      <w:pPr>
        <w:ind w:left="0" w:firstLine="0" w:hanging="0"/>
        <w:jc w:val="left"/>
      </w:pPr>
      <w:r>
        <w:rPr>
          <w:rFonts w:ascii="Times New Roman" w:hAnsi="굴림체" w:cs="굴림체" w:eastAsia="굴림체"/>
          <w:sz w:val="24"/>
        </w:rPr>
        <w:t>4.7 또 당사국은 협약 제29조제a호제iii목의 위반 혐의와 관련해 통보인이 (a) 선거관리위원회(감독관의 행위 관련), (b) 지역구 선거관리관, (c) 투표소 담당관에 진정을 제기하는 등 실효적인 비법률적 구제절차 역시 이용할 수 있었다고 주장한다. 통보인은 위원회에 진정을 제기하기 전 이러한 구제절차를 이용했어야 한다. 당사국은 지역구 선거관리관과 투표소 담당관 모두 이들에게 제기된 민원 등 투표 당일 일어날 수 있는 모든 문제를 의무적으로 기록해야 한다고 언급한다. 또 당사국은 선거관리위원회가 지역구 선거관리관 및 2013년 9월 7일 통보인의 투표소에 있었던 담당관과 부담당관에게 문의했으나 이들 세 사람 중 누구도 투표 당일 통보인의 지원 요청 사실을 기억하지 못했다고 언급한다. 당사국은 통보인이 보조 기술을 사용하거나 활동보조인을 통해 투표 당일 민원을 제기했다면 협약 제29조제a호제iii목에 따라 실효적인 구제를 제공할 수 있었을 것이라고 주장한다. 여기에 더해 당사국은 통보인이 장애를 이유로 한 차별과 관련해 호주인권위원회에 진정을 제기할 수도 있었다고 진술한다. 위원회는 장애차별금지법을 비롯해 다양한 법률에 따른 차별 진정을 조사하고 가능한 경우 조정을 시도할 수 있는 권한이 있다. 진정을 조정할 수 없는 경우 위원회는 해당 진정을 종료할 수 있다. 이 경우 통보인은 연방순회법원이나 연방법원에 법적 소송을 제기할 수 있다. 연방법원은 사과 명령, 피통보인이 불법적인 차별에 관여했음을 선언하고 피통보인에게 이러한 불법적인 차별을 반복하거나 지속하지 말 것을 지시하는 명령 등 다양한 명령을 내릴 수 있다. 따라서 당사국은 제29조제a호제iii목에 따른 진정과 관련해 통보인이 가용한 법적·비법적인 구제절차를 모두 소진하지 않았으며, 이러한 점에서 통보인의 주장은 심리부적격이라고 진술한다.</w:t>
      </w:r>
    </w:p>
    <w:p>
      <w:pPr>
        <w:ind w:left="0" w:firstLine="0" w:hanging="0"/>
        <w:jc w:val="left"/>
      </w:pPr>
      <w:r>
        <w:rPr>
          <w:rFonts w:ascii="Times New Roman" w:hAnsi="굴림체" w:cs="굴림체" w:eastAsia="굴림체"/>
          <w:sz w:val="24"/>
        </w:rPr>
        <w:t>4.8 나아가 당사국은 명백히 근거가 없거나 충분히 소명되지 않은 이러한 주장과 관련해 위원회가 선택의정서 제2조제e호에 따라 심리부적격 판단을 내려야 한다고 언급한다. 이러한 맥락에서 당사국은 자유권위원회의 법리를 지적한다. 이에 따르면, 주장은 단순한 혐의 제기가 아니라 소명 자료에 의해 뒷받침되어야 하며, 통보인은 일응 입증을 위해 자신의 주장을 소명하는 충분한 증거를 제출해야 한다. *3 ) 당사국은 협약 제29조제a호제ii목에 따른 주장을 제외하고 통보인의 다른 모든 주장이 충분히 소명되지 않았으므로 선택의정서 제2조제e호에 따라 심리부적격으로 선언되어야 한다고 진술한다. 구체적으로, 당사국은 통보인이 (a) 제5조에 따른 주장의 증거 또는 소명(통보인은 본인에 대한 대우가 차별에 해당하는 이유를 설명하지 않았다), (b) 제9조에 따른 주장의 증거 또는 소명(그녀와 같은 장애가 있는 이들을 위한 전자투표 방식이 없다는 언급 제외), (c) 제29조제a호제i목에 따른 주장의 증거 또는 소명, (d) 제29조제a호제iii목 위반 혐의와 관련된 것으로서 2013년 9월 7일 사건 진술을 소명하는 증거, (e) 제4조에 따른 주장의 증거 또는 소명을 제출하지 않았다고 진술한다.</w:t>
      </w:r>
    </w:p>
    <w:p>
      <w:pPr>
        <w:ind w:left="0" w:firstLine="0" w:hanging="0"/>
        <w:jc w:val="left"/>
      </w:pPr>
      <w:r>
        <w:rPr>
          <w:rFonts w:ascii="Times New Roman" w:hAnsi="굴림체" w:cs="굴림체" w:eastAsia="굴림체"/>
          <w:sz w:val="24"/>
        </w:rPr>
        <w:t>4.9 본안에 관한 견해에서 당사국은 선거법이 우편투표, 투표소, 시각장애인용 전자보조투표 등의 방법으로 투표를 실시하도록 규정하고 있다고 언급한다. 투표는 의무적이다. 또 관례에 따라 모든 호주 시민은 비밀투표의 자격이 있으며 이를 제공받는다. 협약 제29조제a호제i목에 따른 통보인의 주장과 관련해 장애인은 선거법에 따라 접근 가능하고 적절한 다양한 투표 방식을 이용할 수 있다. *4 ) 2012~2020년도 선거관리위원회 장애포용전략(Electoral Commission Disability Inclusion Strategy for 2012~2020)에는 투표자 서비스와 투표소에 대한 접근성 극대화를 목표로 하는 맞춤형 성과가 포함되어 있다. 이를 위해 선거관리위원회는 투표소 점검 프로그램을 운영한다. 2013년 연방 선거에서는 총 7,697개의 투표소가 설치되었다. 이 중 11.8%의 투표소가 장애인의 완전한 접근성을 제공하였으며, 70.2%는 보조를 통한 접근이 가능하였다. 선거관리위원회는 모든 선거 전 광고와 정보를 배포하거나 이용하도록 함으로써 장애인에게 완전한 또는 부분적인 접근성을 제공하는 투표소의 위치를 명확하게 제공한다. 또한 장애포용전략에 따른 맞춤형 성과 중 하나는 웹 접근성과 온라인 정보 서비스를 개선하는 것이다. 선거관리위원회의 웹사이트에는 등록 및 투표 정보가 게시되며, 사용자는 큰 글씨, 전자 텍스트, 쉬운 영어 형식, 평이한 영어 음성과 자막이 포함된 호주 표준 수화 동영상 등으로 이러한 정보를 이용할 수 있다. 일부 게시물은 요청 시 점자나 음성과 같은 다른 접근 가능한 형식으로도 이용할 수 있다. 또 후보자 명단, 선거 공보물, 공식 선거 안내서를 접근 가능한 형식으로 이용할 수 있다. 따라서 당사국은 통보인이 투표 방법·장소·시기에 관한 적절하고 이해하기 쉬운 정보를 제공받았으며, 완전한 접근성이 제공되는 투표소를 비롯해 다양한 방식으로 투표를 할 수 있는 선택권이 있었다고 진술한다. 당사국은 통보인이 선호하는 방식으로 투표할 수 없었다고 하더라도 이러한 상황이 협약 제29조제a호제i목에 따른 당사국의 의무 위반에 해당하지 않는다고 주장한다.</w:t>
      </w:r>
    </w:p>
    <w:p>
      <w:pPr>
        <w:ind w:left="0" w:firstLine="0" w:hanging="0"/>
        <w:jc w:val="left"/>
      </w:pPr>
      <w:r>
        <w:rPr>
          <w:rFonts w:ascii="Times New Roman" w:hAnsi="굴림체" w:cs="굴림체" w:eastAsia="굴림체"/>
          <w:sz w:val="24"/>
        </w:rPr>
        <w:t>4.10 협약 제29조제a호제ii목에 따른 통보인의 주장과 관련해 당사국은 해당 조항의 가장 중요한 측면이 장애인의 비밀투표 권리를 보호해야 할 의무라고 진술한다. 당사국은 누구든지, 특히 투표 참관인이나 선거관리위원회 직원이 투표 행사를 방해하는 행위는 선거법에 따라 위법행위가 된다고 언급한다. 이러한 위법행위는 6개월의 징역형에 처한다. 당사국은 유권자가 다른 사람의 보조를 받아 투표하는 때에도 해당 투표는 여전히 협약의 취지에서 비밀투표에 해당할 수 있다고 진술한다. 그러나 투표자는 투표 의사나 실제 투표 결과의 공개를 요구하는 어떠한 형태의 강요나 강압으로부터도 보호되어야 한다. 당사국은 자유권위원회의 법리가 이러한 견해를 암묵적으로 지지한다고 주장하면서 장애인, 시각장애인, 문맹인에게 제공되는 지원이 독립적이어야 한다는 위원회의 진술을 언급한다. *5 ) 따라서 당사국은 자신이 직접 선택한 사람, 또는 독립적이라고 간주될 수 있는 다른 사람의 보조를 받아 투표하더라도 이는 관련 국가기관이나 정치 권력을 가진 이들에게 공개되지 않도록 보호된다는 점에서 여전히 비밀투표에 해당한다고 주장한다. 당사국은 선거법 제234조에 따라 보조 없이 투표할 수 없는 투표자는 자신이 직접 선택한 사람 또는 투표소 감독관에게 투표 보조를 하도록 할 수 있다고 언급한다. 선거법에서 선거관리위원회가 독립적 위원장이 운영하는 독립적 법정기관으로 규정된다는 점에서 당사국은 감독관이 협약의 취지에서 독립적이라고 주장한다.</w:t>
      </w:r>
    </w:p>
    <w:p>
      <w:pPr>
        <w:ind w:left="0" w:firstLine="0" w:hanging="0"/>
        <w:jc w:val="left"/>
      </w:pPr>
      <w:r>
        <w:rPr>
          <w:rFonts w:ascii="Times New Roman" w:hAnsi="굴림체" w:cs="굴림체" w:eastAsia="굴림체"/>
          <w:sz w:val="24"/>
        </w:rPr>
        <w:t>4.11 기술 문제와 관련해 당사국은 협약 제29조제a호제ii목에 따른 의무가 보조 없이는 투표할 수 없는 모든 투표자에게 보조·신규 기술을 제공할 것을 협약 당사국에 요구하는 것은 아니라고 주장한다. 장애인의 필요가 매우 다양하다는 점에서 당사국은 실무적인 관점에서 이것이 가능하지 않다고 진술한다. 당사국은 보조 기술 사용 활성화 요구가 당사국에 요구되는 일반적이거나 바람직한 의무로서 적절한 경우에만 충족하면 되는 것이라고 진술한다. 당사국은 선거법에 따른 현행 제도가 장애인을 비롯해 복합적 요구를 가진 투표자들에게 비밀투표 권리를 보호하면서도 접근 가능한 방식으로 투표할 수 있는 충분한 대책을 제공한다고 진술한다. 더불어 당사국은 한정된 자원의 할당 방법을 결정하는 것이 광범위한 재량에 속하며, 현 단계에서는 시각 장애가 있는 투표자에게만 투표 시 보조 기술을 사용할 수 있는 선택권을 제공하는 것이 정당하다고 진술한다. 또 당사국은 장애인을 위한 신규 기술 사용 가능성을 지속적이고도 적극적으로 모색하고 있으며, 장애인들과의 협의를 통해 이러한 기술의 개발 및 사용 촉진에 최선을 다하고 있다고 진술한다.</w:t>
      </w:r>
    </w:p>
    <w:p>
      <w:pPr>
        <w:ind w:left="0" w:firstLine="0" w:hanging="0"/>
        <w:jc w:val="left"/>
      </w:pPr>
      <w:r>
        <w:rPr>
          <w:rFonts w:ascii="Times New Roman" w:hAnsi="굴림체" w:cs="굴림체" w:eastAsia="굴림체"/>
          <w:sz w:val="24"/>
        </w:rPr>
        <w:t>4.12 협약 제29조제a호제iii목에 따른 통보인의 주장과 관련해 당사국은 이 주장의 심리적격성에 대한 당사국의 주장을 환기하는 한편 투표자가 투표 보조인을 스스로 지명할 수 있도록 하는 적절한 입법 제도가 마련되어 있다고 진술한다.</w:t>
      </w:r>
    </w:p>
    <w:p>
      <w:pPr>
        <w:ind w:left="0" w:firstLine="0" w:hanging="0"/>
        <w:jc w:val="left"/>
      </w:pPr>
      <w:r>
        <w:rPr>
          <w:rFonts w:ascii="Times New Roman" w:hAnsi="굴림체" w:cs="굴림체" w:eastAsia="굴림체"/>
          <w:sz w:val="24"/>
        </w:rPr>
        <w:t>4.13 협약 제4조에 따른 통보인의 주장과 관련해, 당사국은 위원회가 이를 심리적격으로 판단할 경우, 그 주장은 이유가 없음을 제출한다. 협약 제5조제2항에 따른 통보인의 주장과 관련해 당사국은 장애차별금지법을 통해 장애를 이유로 한 직·간접적 차별을 모두 금지하고 있으며, 보호받는 근거에 따른 차별을 금지·예방하기 위한 광범위한 법률적·비법률적 조치가 당사국 내에서 시행되고 있다고 주장한다. 또 당사국은 비밀투표 선택권이 없다고 언급한 것 외에 통보인이 2013년 연방 선거 운영과 관련해 어떤 측면이 차별에 해당하는지 설명하지 않았다고 주장한다. 협약 제5조제3항에 따른 통보인의 주장과 관련해 당사국은 장애인을 위한 정당한 편의를 제공하지 않을 경우 이는 불법적인 차별이 될 수 있음을 장애차별금지법 제5조제2항제a호 및 제6조제2항제b호에서 명시적으로 규정하고 있다고 언급한다. 당사국은 장애인이 다른 사람들과 동등하게 선거 제도에 참여할 수 있도록 구체적인 정당한 편의제공과 조정을 도입했다고 주장한다. 또 당사국은 투표 보조 기술을 이용할 수 있어야 한다는 통보인의 주장은 정당한 편의제공을 의미하는 것이 아니라 누군가의 지원 없이 투표할 수 없는 모든 사람에게 보조 기술을 제공해야 한다는 절대적 의무를 요구하는 것이라고 주장한다.</w:t>
      </w:r>
    </w:p>
    <w:p>
      <w:pPr>
        <w:ind w:left="0" w:firstLine="0" w:hanging="0"/>
        <w:jc w:val="left"/>
      </w:pPr>
      <w:r>
        <w:rPr>
          <w:rFonts w:ascii="Times New Roman" w:hAnsi="굴림체" w:cs="굴림체" w:eastAsia="굴림체"/>
          <w:sz w:val="24"/>
        </w:rPr>
        <w:t>4.14 제9조에 따른 것으로서 장애인이 정보통신기술과 실시간 지원에 접근할 수 있도록 당사국이 적절한 조치를 취하지 않았다는 통보인의 주장과 관련해 당사국은 한정된 자원의 할당 방법을 결정하는 것이 광범위한 재량에 속하며, 현 단계에서는 통보인과 유사한 장애가 있는 모든 이들을 위해 투표·선거 관련 정보통신기술의 사용과 개발을 촉진하지 않은 것은 정당하다고 진술한다. 또 당사국은 제9조제2항제e호에 따라 고려되는 실시간 지원이 선거법 제234조에 명시적으로 규정되어 있다고 주장한다. 당사국은 통보인이 선거관리위원회 등에 진정을 제기하지 않았으므로 선거법 제234조를 준수하지 않았다는 통보인의 주장은 소명될 수 없다고 주장한다. 이러한 점에서 당사국은 제5조제2항 및 제3항, 제9조에 따른 통보인의 주장은 이유가 없다고 진술한다.</w:t>
      </w:r>
    </w:p>
    <w:p>
      <w:pPr>
        <w:ind w:left="0" w:firstLine="0" w:hanging="0"/>
        <w:jc w:val="center"/>
      </w:pPr>
      <w:r>
        <w:rPr>
          <w:rFonts w:ascii="Times New Roman" w:hAnsi="굴림체" w:cs="굴림체" w:eastAsia="굴림체"/>
          <w:sz w:val="24"/>
        </w:rPr>
        <w:t>심리적격과 본안에 관한 당사국 견해에 대한 통보인 의견</w:t>
      </w:r>
    </w:p>
    <w:p>
      <w:pPr>
        <w:ind w:left="0" w:firstLine="0" w:hanging="0"/>
        <w:jc w:val="left"/>
      </w:pPr>
      <w:r>
        <w:rPr>
          <w:rFonts w:ascii="Times New Roman" w:hAnsi="굴림체" w:cs="굴림체" w:eastAsia="굴림체"/>
          <w:sz w:val="24"/>
        </w:rPr>
        <w:t>5.1 2015년 6월 12일 통보인은 통보의 심리적격여부와 본안에 관한 당사국 견해에 대해 의견을 제출했다. 통보인은 통보가 심리적격에 해당한다고 주장한다. 통보인은 감독관의 행위와 관련한 자신의 주장이 진정을 통해 충분히 소명되지 않았다는 당사국 진술을 언급한다. 통보인은 이러한 주장이 충분히 소명되었으며, 감독관과의 사이에서 있었던 일에 대해 선거관리위원회나 다른 기관에 진정을 제기하지 않았다고 해서 이것이 진정 대상 사건이 일어나지 않았다는 증거는 아니라고 주장한다.</w:t>
      </w:r>
    </w:p>
    <w:p>
      <w:pPr>
        <w:ind w:left="0" w:firstLine="0" w:hanging="0"/>
        <w:jc w:val="left"/>
      </w:pPr>
      <w:r>
        <w:rPr>
          <w:rFonts w:ascii="Times New Roman" w:hAnsi="굴림체" w:cs="굴림체" w:eastAsia="굴림체"/>
          <w:sz w:val="24"/>
        </w:rPr>
        <w:t>5.2 통보인은 협약 제29조제a호제i목 및 제ii목에 따른 자신의 주장과 관련해 당사국이 국내 구제절차를 이용할 수 없었다는 자신의 진술을 반박하지 못했다고 언급한다. 통보인은 이러한 주장이 진정의 핵심이라고 언급한다. 제29조제a호제iii목에 따른 주장과 관련해 통보인은 투표 마감 이후에는 투표 시간이 지났다는 점에서 어떠한 구제도 통보인이 주장하는 위반을 완전히 시정할 수 없었을 것이라는 당사국의 주장을 언급한다. 통보인은 2013년 9월 7일 투표 마감 전 행정결정법에 따라 감독관의 행위에 대한 사법심사를 신청함으로써 위반 혐의를 시정할 가능성은 없었다고 주장한다. 또 통보인은 선거법 제234조에 대한 자신의 해석, 즉 자신을 보조할 다른 사람을 지명하지 못하는 경우에만 감독관의 도움을 받을 자격이 있다는 해석을 유지한다. 나아가 통보인은 감독관의 도움을 받았다고 하더라도 비밀투표 행사의 의사와 권리에 반해 복수의 투표 참관인을 비롯한 다른 사람들에게 자신의 투표 의사가 노출되었을 가능성이 있다고 주장한다. 호주 인권위원회에 진정을 제기할 수 있었다는 당사국의 주장에 대해 통보인은 감독관의 행위가 장애를 이유로 한 차별이라는 진정을 호주 인권위원회에 제기하더라도 감독관의 행위가 선거법 제234조에 따른 것이므로 진정이 성공할 합리적인 전망은 없었다고 주장한다. 통보인은 장애차별금지법상 호주 인권위원회는 장애를 이유로 한 불법 차별이 드러나지 않는 진정을 다룰 권한이나 기능이 없으며, 궁극적으로는 사법기구가 아니므로 장애차별금지법에 따른 진정과 관련해 사법심사를 하거나 구제를 명령할 권한이 없다고 주장한다. *6 )</w:t>
      </w:r>
    </w:p>
    <w:p>
      <w:pPr>
        <w:ind w:left="0" w:firstLine="0" w:hanging="0"/>
        <w:jc w:val="left"/>
      </w:pPr>
      <w:r>
        <w:rPr>
          <w:rFonts w:ascii="Times New Roman" w:hAnsi="굴림체" w:cs="굴림체" w:eastAsia="굴림체"/>
          <w:sz w:val="24"/>
        </w:rPr>
        <w:t>5.3 진정을 충분히 소명하지 못했다는 당사국 주장에 대해 통보인은 최초 진정서에서 제출한 다음의 주장을 환기한다. (a) 장애를 이유로 자신은 다른 사람들과 동등하게 비밀투표를 행사할 기회가 제공되지 않았다. 선거관리위원회가 채택한 투표 절차는 자신이 다른 사람의 보조를 받아야 하며, 복수의 사람들이 자신의 투표 행사를 지켜볼 수 있음을 의미했다. 이는 평등과 차별금지에 대한 권리를 침해하는 것이다. (b) 이러한 차별과 관련해 당사국의 국내법에는 자신이 이용할 수 있는 법적 보호장치가 없다. (c) 전자투표 방식의 형태로 선거관리위원회가 정당한 편의를 제공했다면 비밀투표의 권리를 행사할 수 있었을 것이다. 협약 제9조에 따른 진정에 대해 통보인은 당사국이 협약 제29조에서 인정되는 권리의 실현과 관련해 제9조에 따른 의무를 준수하지 않았다고 주장한다. 통보인은 당사국이 독자적으로 비밀투표를 행사할 수 있는 접근 가능한 전자투표 시스템이나 시설을 제공하지 않았다고 주장한다. 통보인은 자신이 이러한 시스템을 이용해 뉴사우스웨일스주 선거에서 독자적으로 비밀투표를 행사하고 있으며, 이러한 플랫폼이 관할권 내에서 손쉽게 이용 가능하고 사용되고 있을 뿐만 아니라 선거법 규정에 따라 연방 선거 및 국민투표에서도 활용될 수 있다고 언급한다. 또 통보인은 잠재적으로 이용 가능한 실시간 지원이 여러 사람에게 자신의 투표 의사를 노출함으로써 투표의 비밀성을 침해한다고 주장한다. 제4조에 따른 주장과 관련해 통보인은 당사국이 선거법 폐지 또는 개정을 통해 독자적으로 비밀투표를 행사할 수 있는 전자투표 시스템을 도입하는 입법 조치를 취하지 않았다고 주장한다. 통보인은 이것이 2013년 연방 선거 운영에서 장애를 이유로 한 차별에 해당한다고 간주한다.</w:t>
      </w:r>
    </w:p>
    <w:p>
      <w:pPr>
        <w:ind w:left="0" w:firstLine="0" w:hanging="0"/>
        <w:jc w:val="left"/>
      </w:pPr>
      <w:r>
        <w:rPr>
          <w:rFonts w:ascii="Times New Roman" w:hAnsi="굴림체" w:cs="굴림체" w:eastAsia="굴림체"/>
          <w:sz w:val="24"/>
        </w:rPr>
        <w:t>5.4 진정 본안과 관련해 통보인은 선거법에 규정된 투표 절차와 시설에 관한 당사국 견해에 제시된 어떠한 조치로도 독자적인 비밀투표 행사가 가능하지 않다고 주장한다. 통보인은 2011년부터 뉴사우스웨일스주에서 운영되고 있는 검증되고 기능이 우수한 전자투표 시스템이 이미 존재하며 선거관리위원회가 이를 손쉽게 활용할 수 있음을 재차 강조한다. 통보인은 “iVote”라는 이름의 이러한 시스템을 이용해 자신이 지난 두 차례의 뉴사우스웨일스주 선거에서 독자적인 비밀투표를 행사했다고 언급한다. 통보인은 전자투표 시스템 사용을 가로막는 진짜 장벽은 선거법 개정을 통해 이러한 시스템의 일반적 사용을 허가하는 것을 거부하는 당사국이라고 주장한다.</w:t>
      </w:r>
    </w:p>
    <w:p>
      <w:pPr>
        <w:ind w:left="0" w:firstLine="0" w:hanging="0"/>
        <w:jc w:val="left"/>
      </w:pPr>
      <w:r>
        <w:rPr>
          <w:rFonts w:ascii="Times New Roman" w:hAnsi="굴림체" w:cs="굴림체" w:eastAsia="굴림체"/>
          <w:sz w:val="24"/>
        </w:rPr>
        <w:t>5.5 통보인은 유권자가 다른 사람의 보조를 받아 투표하는 때에도 해당 투표가 여전히 협약의 취지에서 비밀투표에 해당할 수 있다는 당사국의 주장을 언급한다. 통보인은 투표자의 투표 의사가 적어도 한 명, 잠재적으로 여러 명의 다른 사람에게 노출되어야 하는 상황에서는 비밀투표가 성립할 수 없다고 간주한다. 통보인은 선거법이 선거법 234조에 따라 다른 사람의 투표를 보조하거나 해당 투표를 참관하는 사람에게 투표 비밀 유지 의무를 부과하지 않는다고 주장한다.</w:t>
      </w:r>
    </w:p>
    <w:p>
      <w:pPr>
        <w:ind w:left="0" w:firstLine="0" w:hanging="0"/>
        <w:jc w:val="left"/>
      </w:pPr>
      <w:r>
        <w:rPr>
          <w:rFonts w:ascii="Times New Roman" w:hAnsi="굴림체" w:cs="굴림체" w:eastAsia="굴림체"/>
          <w:sz w:val="24"/>
        </w:rPr>
        <w:t>5.6 또 통보인은 보조 기술 사용 활성화 요구가 당사국에 요구되는 일반적이거나 바람직한 의무로서 적절한 경우에만 충족하면 되는 것이라는 당사국 진술을 언급한다. 통보인은 자신의 경우 전자투표 방식이 비밀투표 행사를 가능하게 하는 정당한 편의제공 방안이라고 주장한다. 통보인은 불비례하거나 부당한 부담을 초래한다는 의미에서 요구되는 편의가 합리적이지 않음을 입증하는 것은 당사국의 소관이라고 진술한다. 특히 시각장애인에게 전자투표 방식이 제공되었을 뿐만 아니라 뉴사우스웨일스주 선거에서 사용된 “iVote” 전자투표 방식이 활용될 수 있었다는 점에서 통보인은 당사국이 전자투표 방식의 사용이 불비례하거나 부당한 부담을 초래한다는 주장을 소명하는 어떠한 근거도 위원회에 제시하지 못했다고 주장한다.</w:t>
      </w:r>
    </w:p>
    <w:p>
      <w:pPr>
        <w:ind w:left="0" w:firstLine="0" w:hanging="0"/>
        <w:jc w:val="left"/>
      </w:pPr>
      <w:r>
        <w:rPr>
          <w:rFonts w:ascii="Times New Roman" w:hAnsi="굴림체" w:cs="굴림체" w:eastAsia="굴림체"/>
          <w:sz w:val="24"/>
        </w:rPr>
        <w:t>5.7 하나의 구제조치로서 통보인은 협약 제29조에 따른 권리가 침해되었다고 판단하고 향후 유사한 침해 예방을 위한 권고안을 채택할 것을 위원회에 요청한다.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2015년 8월 19일 당사국은 통보인의 주장에 관한 견해를 제출했다. 당사국은 2014년 12월 17일 제출된 견해를 재차 강조한다. 또 당사국은 협약 제29조에는 즉시 실현 가능한 의무와 적절한 경우 보조·신규 기술 사용을 활성화할 의무를 비롯한 일반적인 성격의 의무가 포함되어 있다고 주장한다.</w:t>
      </w:r>
    </w:p>
    <w:p>
      <w:pPr>
        <w:ind w:left="0" w:firstLine="0" w:hanging="0"/>
        <w:jc w:val="left"/>
      </w:pPr>
      <w:r>
        <w:rPr>
          <w:rFonts w:ascii="Times New Roman" w:hAnsi="굴림체" w:cs="굴림체" w:eastAsia="굴림체"/>
          <w:sz w:val="24"/>
        </w:rPr>
        <w:t>6.2 나아가 당사국은 협약 제9조에는 점진적으로 달성해야 할 의무가 일부 포함되어 있다고 주장한다. 당사국은 필요한 경우 접근성은 점진적 이행을 통해 달성되어야 함을 위원회가 인정했다고 언급한다. *7 ) 또 당사국은 기존 대상과 서비스에 대한 접근성을 가로막는 장벽은 완전한 접근성 달성을 목표로 하는 가운데 체계적이고 지속적으로 모니터링하는 방식으로 점진적으로 제거되어야 한다는 위원회의 진술을 언급한다. *8 ) 협약 제2조와 제5조제3항에 규정된 정당한 편의제공 기준과 관련해 당사국은 협약 준비문서를 참조하면서 이와 관련한 상당한 비용 증가가 불비례한 부담에 해당한다고 언급한다. *9 )</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진정에 포함된 주장을 심사하기 전 위원회는 선택의정서 제2조 및 위원회 절차규칙 제65조에 따라 선택의정서에 따른 해당 주장의 심리적격 여부를 결정해야 한다.</w:t>
      </w:r>
    </w:p>
    <w:p>
      <w:pPr>
        <w:ind w:left="0" w:firstLine="0" w:hanging="0"/>
        <w:jc w:val="left"/>
      </w:pPr>
      <w:r>
        <w:rPr>
          <w:rFonts w:ascii="Times New Roman" w:hAnsi="굴림체" w:cs="굴림체" w:eastAsia="굴림체"/>
          <w:sz w:val="24"/>
        </w:rPr>
        <w:t>7.2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통보인이 연방순회법원 또는 호주 연방법원에 사법심사를 신청하지 않았고, 이와 관련해 선거관리위원회나 지역구 선거관리관, 또는 투표소 담당관에게 진정을 제기하지 않았으므로 협약 제29조제a호제iii목에 따른 것으로서 감독관의 혐의 행위와 관련된 통보인의 주장은 선택의정서 제2조제d호에 따라 심리부적격으로 선언되어야 한다는 당사국 진술에 주목한다. 또 위원회는 2013년 9월 7일 투표 마감 전 사법심사를 신청함으로써 위반 혐의를 시정할 가능성이 없었다는 통보인의 주장에 주목한다. 그러나 위원회는 심사 명령 신청을 통해 법원에 회부된 사안과 관련해 연방순회법원과 호주 연방법원이 행정결정법 제16조제1항제c호에 따라 당사자의 권리를 선언하는 명령을 발부할 수 있다는 점에 주목한다. 따라서 위원회는 연방순회법원 또는 호주 연방법원에 감독관의 혐의 행위에 대한 사법심사를 신청하지 않음으로써 통보인이 이와 관련한 국내 구제절차를 소진하지 않았다고 판단한다. 따라서 위원회는 협약 제29조제a호제iii목에 따른 통보인의 주장은 선택의정서 제2조제d호에 따라 심리부적격하다는 결론을 내린다.</w:t>
      </w:r>
    </w:p>
    <w:p>
      <w:pPr>
        <w:ind w:left="0" w:firstLine="0" w:hanging="0"/>
        <w:jc w:val="left"/>
      </w:pPr>
      <w:r>
        <w:rPr>
          <w:rFonts w:ascii="Times New Roman" w:hAnsi="굴림체" w:cs="굴림체" w:eastAsia="굴림체"/>
          <w:sz w:val="24"/>
        </w:rPr>
        <w:t>7.4 또 위원회는 협약 제29조제a호제i목 및 제ii목에 따른 자신의 주장을 국내법으로 직접 반박할 수 없었다는 통보인의 주장에 대해 당사국이 이의를 제기하지 않은 점에 주목한다. 따라서 위원회는 선택의정서 제2조제d호에 따른 요건이 제29조제a호제i목 및 제ii목에 따른 통보인의 주장과 관련해 단독으로, 또한 협약 제4조제1항제a호, 제b호, 제c호, 제d호, 제e호, 제g호, 제5조제2항 및 제3항, 제9조와 연계하여 충족되었다고 간주한다.</w:t>
      </w:r>
    </w:p>
    <w:p>
      <w:pPr>
        <w:ind w:left="0" w:firstLine="0" w:hanging="0"/>
        <w:jc w:val="left"/>
      </w:pPr>
      <w:r>
        <w:rPr>
          <w:rFonts w:ascii="Times New Roman" w:hAnsi="굴림체" w:cs="굴림체" w:eastAsia="굴림체"/>
          <w:sz w:val="24"/>
        </w:rPr>
        <w:t>7.5 또 위원회는 협약 제29조제a호제ii목에 따른 주장을 제외하고 통보인의 다른 모든 주장이 충분히 소명되지 않았으므로 선택의정서 제2조제e호에 따라 이를 심리부적격으로 판정해야 한다는 당사국 진술에 주목한다. 그러나 위원회는 독자적으로 비밀투표를 행사할 수 있는 접근 가능한 전자투표 시스템이나 시설을 제공하지 않음으로써 자신이 다른 사람들과 동등하게 비밀투표를 행사할 기회가 없었다는 점에서 당사국이 협약에 명시된 자신의 권리를 침해했다는 통보인의 주장에도 주목한다. 위원회는 심리적격 판단 목적으로 협약 제29조제a호제i목 및 제ii목에 따른 통보인의 주장이 단독으로, 또한 협약 제4조제1항제a호, 제b호, 제c호, 제d호, 제e호, 제g호, 제5조제2항 및 제3항, 제9조와 연계하여 충분히 소명된 것으로 간주한다.</w:t>
      </w:r>
    </w:p>
    <w:p>
      <w:pPr>
        <w:ind w:left="0" w:firstLine="0" w:hanging="0"/>
        <w:jc w:val="left"/>
      </w:pPr>
      <w:r>
        <w:rPr>
          <w:rFonts w:ascii="Times New Roman" w:hAnsi="굴림체" w:cs="굴림체" w:eastAsia="굴림체"/>
          <w:sz w:val="24"/>
        </w:rPr>
        <w:t>7.6 심리적격 여부에 대한 다른 장애가 없으므로 위원회는 협약 제29조제a호제i목 및 제ii목에 따른 주장에 관한 한 단독으로, 또한 협약 제4조제1항제a호, 제b호, 제c호, 제d호, 제e호, 제g호, 제5조제2항 및 제3항, 제9조와 연계하여 진정을 심리가능한 것으로 선언한다. 이에 따라 위원회는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8.2 협약 제29조제a호제i목 및 제ii목에 따른 통보인의 주장과 관련해 위원회 앞에 놓인 쟁점은 보조 기술 사용을 비롯해 접근 가능한 투표 절차와 시설을 제공하지 않음으로써 당사국이 통보인의 권리를 침해했는지 평가하는 것이다.</w:t>
      </w:r>
    </w:p>
    <w:p>
      <w:pPr>
        <w:ind w:left="0" w:firstLine="0" w:hanging="0"/>
        <w:jc w:val="left"/>
      </w:pPr>
      <w:r>
        <w:rPr>
          <w:rFonts w:ascii="Times New Roman" w:hAnsi="굴림체" w:cs="굴림체" w:eastAsia="굴림체"/>
          <w:sz w:val="24"/>
        </w:rPr>
        <w:t>8.3 위원회는 독자적인 비밀투표를 행사하기 위해서는 컴퓨터 생성 인터페이스와 같은 전자투표 시스템에 접근할 수 있어야 한다는 통보인의 주장에 주목한다. 또 위원회는 당사국의 선거법에 따라 장애인이 접근 가능하고 적절한 다양한 투표 방식을 이용할 수 있으며, 완전한 접근성이 제공되는 투표소를 비롯해 통보인이 다양한 방식으로 투표를 할 수 있는 선택권이 있었다는 당사국 진술에 주목한다. 나아가 위원회는 자신이 직접 선택한 사람, 또는 독립적이라고 간주될 수 있는 다른 사람의 보조를 받아 투표하더라도 이는 관련 국가기관이나 정치 권력을 가진 이들에게 공개되지 않도록 보호된다는 점에서 여전히 비밀투표에 해당한다는 당사국의 주장에 주목한다. 동시에 위원회는 투표자의 투표 의사가 적어도 한 명, 잠재적으로 여러 명의 다른 사람에게 노출되어야 하는 상황에서는 비밀투표가 성립할 수 없다는 통보인의 진술 및 선거법이 다른 사람의 투표를 보조하는 사람에게 투표 비밀 유지 의무를 부과하지 않는다는 통보인의 주장에도 주목한다.</w:t>
      </w:r>
    </w:p>
    <w:p>
      <w:pPr>
        <w:ind w:left="0" w:firstLine="0" w:hanging="0"/>
        <w:jc w:val="left"/>
      </w:pPr>
      <w:r>
        <w:rPr>
          <w:rFonts w:ascii="Times New Roman" w:hAnsi="굴림체" w:cs="굴림체" w:eastAsia="굴림체"/>
          <w:sz w:val="24"/>
        </w:rPr>
        <w:t>8.4 보조 기술 사용 문제와 관련해 위원회는 협약 제29조제a호제ii목에 따른 의무가 보조 없이는 투표할 수 없는 모든 투표자에게 보조·신규 기술을 제공할 것을 협약 당사국에 요구하는 것은 아니라는 당사국의 주장에 주목한다. 또 위원회는 보조 기술 사용 활성화 요구가 당사국에 요구되는 일반적이거나 바람직한 의무로서 적절한 경우에만 충족하면 되는 것이며, 한정된 자원의 할당 방법을 결정하는 것은 당사국의 재량에 속한다는 당사국 진술에 주목한다. 나아가 위원회는 기존 대상과 서비스에 대한 접근성을 가로막는 장벽은 완전한 접근성 달성을 목표로 하는 가운데 체계적이고 지속적으로 모니터링하는 방식으로 점진적으로 제거되어야 한다는 당사국의 주장에 주목한다. 더불어 위원회는 특히 시각장애인에게 전자투표 방식이 제공되었을 뿐만 아니라 2011년부터 뉴사우스웨일스주 선거에서 사용되어 온 “iVote” 전자투표 시스템이 활용될 수 있었다는 점을 고려할 때 당사국이 전자투표 방식의 사용이 불비례하거나 부당한 부담을 초래한다는 주장을 소명하는 어떠한 근거도 위원회에 제시하지 못했다는 통보인의 진술에 주목한다.</w:t>
      </w:r>
    </w:p>
    <w:p>
      <w:pPr>
        <w:ind w:left="0" w:firstLine="0" w:hanging="0"/>
        <w:jc w:val="left"/>
      </w:pPr>
      <w:r>
        <w:rPr>
          <w:rFonts w:ascii="Times New Roman" w:hAnsi="굴림체" w:cs="굴림체" w:eastAsia="굴림체"/>
          <w:sz w:val="24"/>
        </w:rPr>
        <w:t>8.5 위원회는 협약 제29조가 장애인의 투표권 보장을 비롯해 장애인이 다른 사람들과 동등하게 정치·공공 생활에 효과적이고 완전하게 참여할 수 있도록 보장할 것을 당사국에 요구함을 환기한다. *10 ) 또 위원회는 협약 제29조에 따라 당사국이 적절하고 접근 가능하며 이해·이용하기 쉽도록 투표 절차를 조정해야 함을 환기한다. 투표 절차의 접근성과 관련해 위원회는 정당한 편의제공이 개인과 관련되는 반면 접근성은 집단과 관련됨을 환기한다. 이는 접근성 제공 의무가 사전적 의무임을 뜻한다. 따라서 당사국은 장소 출입 또는 서비스 이용에 대한 개별적 요청을 받기 이전에 접근성을 제공해야 할 의무가 있다. *11 )</w:t>
      </w:r>
    </w:p>
    <w:p>
      <w:pPr>
        <w:ind w:left="0" w:firstLine="0" w:hanging="0"/>
        <w:jc w:val="left"/>
      </w:pPr>
      <w:r>
        <w:rPr>
          <w:rFonts w:ascii="Times New Roman" w:hAnsi="굴림체" w:cs="굴림체" w:eastAsia="굴림체"/>
          <w:sz w:val="24"/>
        </w:rPr>
        <w:t>8.6 또 위원회는 협약 제9조제1항에 따라 당사국은 정보통신 기술과 시스템을 비롯해 장애인이 다른 사람들과 동등하게 정보와 통신에 접근할 수 있도록 적절한 조치를 취해야 함을 환기한다. 나아가 위원회는 협약 제9조제2항제g호에 따라 당사국은 장애인의 새로운 정보통신 기술과 시스템 접근성을 증진하기 위해 적절한 조치를 취해야 함을 환기한다. 더불어 위원회는 정보통신기술의 중요성이 특히 장애인과 같이 소외되고 배제된 계층에게 광범위한 서비스를 개방하고 기존 서비스를 혁신하며 정보·지식 접근 수요를 창출하는 능력에 있음을 환기한다. 이러한 점에서 새로운 기술은 장애인의 완전하고 평등한 사회 참여를 촉진하는 데 활용될 수 있지만, 이는 새로운 기술이 장애인의 접근성을 보장하는 방식으로 설계되고 생산될 때만 가능한 일이다. 새로운 투자, 연구, 생산은 새로운 장벽을 만드는 것이 아니라 불평등을 제거하는 데 기여해야 한다. 또 위원회는 협약 제5조제2항에 따라 장애를 이유로 한 모든 차별을 금지하는 한편 모든 종류의 차별에 대해 장애인에게 동등하고 효과적인 법적 보호를 보장할 의무가 당사국에 있으며, *12 ) 동시에 물리적 환경, 교통, 정보통신, 대중에게 개방된 서비스에 대한 접근 거부가 금지된 차별 행위로 분명하게 정의되어야 함을 환기한다. *13 )</w:t>
      </w:r>
    </w:p>
    <w:p>
      <w:pPr>
        <w:ind w:left="0" w:firstLine="0" w:hanging="0"/>
        <w:jc w:val="left"/>
      </w:pPr>
      <w:r>
        <w:rPr>
          <w:rFonts w:ascii="Times New Roman" w:hAnsi="굴림체" w:cs="굴림체" w:eastAsia="굴림체"/>
          <w:sz w:val="24"/>
        </w:rPr>
        <w:t>8.7 본 사례에서 위원회는 투표 행사를 위해 통보인은 자신이 직접 보조인을 선택할 수 있었다는 당사국의 주장에 주목한다. 하지만 위원회는 동시에 2013년 연방 선거에서 이용할 수 있었던 투표 방법으로는 통보인이 원하는 방식으로, 즉 자신의 정치적 의사를 동행인에게 공개함이 없이 투표권을 행사할 수 없었다는 점도 주목한다. 또 위원회는 전자투표 시스템을 이용할 수 있었다면 통보인이 다른 사람들과 동등하게 자신의 정치적 선택을 공개하지 않고도 독자적인 비밀투표를 행사할 수 있었을 것이라는 점에 주목한다.</w:t>
      </w:r>
    </w:p>
    <w:p>
      <w:pPr>
        <w:ind w:left="0" w:firstLine="0" w:hanging="0"/>
        <w:jc w:val="left"/>
      </w:pPr>
      <w:r>
        <w:rPr>
          <w:rFonts w:ascii="Times New Roman" w:hAnsi="굴림체" w:cs="굴림체" w:eastAsia="굴림체"/>
          <w:sz w:val="24"/>
        </w:rPr>
        <w:t>8.8 기존 대상과 서비스에 대한 접근을 가로막는 장벽은 한정된 자원을 고려하여 점진적으로 제거되어야 하며, 상당한 비용 증가는 불비례적 부담에 해당할 수 있다는 당사국의 주장에 대해 위원회는 접근성 이행 의무가 무조건적인 요구임을 환기한다. 따라서 접근성을 제공할 의무가 있는 기관은 장애인에게 접근성을 제공하는 것의 부담을 언급하는 식으로 이를 이행하지 않은 것을 변명해서는 안 된다. *14 )</w:t>
      </w:r>
    </w:p>
    <w:p>
      <w:pPr>
        <w:ind w:left="0" w:firstLine="0" w:hanging="0"/>
        <w:jc w:val="left"/>
      </w:pPr>
      <w:r>
        <w:rPr>
          <w:rFonts w:ascii="Times New Roman" w:hAnsi="굴림체" w:cs="굴림체" w:eastAsia="굴림체"/>
          <w:sz w:val="24"/>
        </w:rPr>
        <w:t>8.9 본 사례에서 위원회는 2011년부터 뉴사우스웨일스주 선거에서 전자투표 방식이 시각장애인들에게 널리 사용되어 왔음을 환기한다. 또 위원회는 이러한 전자투표 방식의 사용이 불비례적인 부담에 해당했을 것이며, 이로 인해 통보인을 비롯해 이러한 편의가 필요했던 모든 사람이 2013년 연방 선거에서 전자투표 방식을 이용할 수는 없었다는 주장을 정당화할 수 있는 어떠한 정보도 당사국이 제공하지 않았다는 점에 주목한다. 동시에 위원회는 모든 사람이 법 앞에서, 또 법 아래에서 동등한 보호를 받아야 한다는 원칙이 제5조에 명시되어 있음을 환기한다. 당사국은 장애에 근거한 모든 차별을 금지하는 동시에 모든 종류의 차별에 대한 효과적이고 동등한 보호를 장애인에게 제공해야 한다. *15 ) 이러한 전통적인 의무는 당사국이 협약에 따른 권리의 실현을 모든 장애인에게 보장하는 반면 장애 유형에 따른 차별 요인으로 이어질 수 있는 차별적 법률과 관행을 수립하지 않음을 의미한다.</w:t>
      </w:r>
    </w:p>
    <w:p>
      <w:pPr>
        <w:ind w:left="0" w:firstLine="0" w:hanging="0"/>
        <w:jc w:val="left"/>
      </w:pPr>
      <w:r>
        <w:rPr>
          <w:rFonts w:ascii="Times New Roman" w:hAnsi="굴림체" w:cs="굴림체" w:eastAsia="굴림체"/>
          <w:sz w:val="24"/>
        </w:rPr>
        <w:t>8.10 따라서 위원회는 다른 사람에게 자신의 투표 의사를 공개함이 없이 투표를 행사할 수 있는 대안을 제공하지 않은 상태에서 당사국에서 이미 이용 가능한 전자투표 플랫폼에 대한 접근성을 통보인에게 제공하지 않은 것은 협약 제29조제a호제i목 및 제ii목에 따른 통보인의 권리를 단독으로, 또한 제5조제2항, 제4조제1항제a호, 제b호, 제c호, 제d호, 제e호, 제g호, 제9조제1항 및 제2항제g호와 연계하여 부정한 결과를 초래했다고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제29조제a호제i목 및 제ii목에 따른 의무를 단독으로, 또한 제5조제2항, 제4조제1항제a호, 제b호, 제c호, 제d호, 제e호, 제g호, 제9조제1항 및 제2항제g호와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본 통보를 제기하는 데 발생한 법적 비용의 배상을 비롯해 실효적 구제를 제공한다.</w:t>
      </w:r>
    </w:p>
    <w:p>
      <w:pPr>
        <w:ind w:left="0" w:firstLine="0" w:hanging="0"/>
        <w:jc w:val="left"/>
      </w:pPr>
      <w:r>
        <w:rPr>
          <w:rFonts w:ascii="Times New Roman" w:hAnsi="굴림체" w:cs="굴림체" w:eastAsia="굴림체"/>
          <w:sz w:val="24"/>
        </w:rPr>
        <w:t xml:space="preserve">		(ii) 향후 당사국에서 치르는 모든 선거와 국민투표에서 다른 사람에게 투표 의사를 공개함이 없이 비밀투표를 행사할 수 있는 투표 절차와 시설에 통보인이 접근할 수 있도록 적절한 조치를 취한다.</w:t>
      </w:r>
    </w:p>
    <w:p>
      <w:pPr>
        <w:ind w:left="0" w:firstLine="0" w:hanging="0"/>
        <w:jc w:val="left"/>
      </w:pPr>
      <w:r>
        <w:rPr>
          <w:rFonts w:ascii="Times New Roman" w:hAnsi="굴림체" w:cs="굴림체" w:eastAsia="굴림체"/>
          <w:sz w:val="24"/>
        </w:rPr>
        <w:t xml:space="preserve">		(iii)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당사국에 다음을 요구한다.</w:t>
      </w:r>
    </w:p>
    <w:p>
      <w:pPr>
        <w:ind w:left="0" w:firstLine="0" w:hanging="0"/>
        <w:jc w:val="left"/>
      </w:pPr>
      <w:r>
        <w:rPr>
          <w:rFonts w:ascii="Times New Roman" w:hAnsi="굴림체" w:cs="굴림체" w:eastAsia="굴림체"/>
          <w:sz w:val="24"/>
        </w:rPr>
        <w:t xml:space="preserve">		(i) 장애 유형에 관계없이 필요한 모든 장애인이 전자투표 방식을 이용하고 이에 접근할 수 있도록 선거법 개정을 고려한다.</w:t>
      </w:r>
    </w:p>
    <w:p>
      <w:pPr>
        <w:ind w:left="0" w:firstLine="0" w:hanging="0"/>
        <w:jc w:val="left"/>
      </w:pPr>
      <w:r>
        <w:rPr>
          <w:rFonts w:ascii="Times New Roman" w:hAnsi="굴림체" w:cs="굴림체" w:eastAsia="굴림체"/>
          <w:sz w:val="24"/>
        </w:rPr>
        <w:t xml:space="preserve">		(ii) 협약 제29조에서 요구하는 바와 같이 투표 절차·시설·자료가 적절하고 접근 가능하며 이해·이용하기 쉽게 하여 장애인의 투표권을 다른 사람들과 동등하게 실질적으로 옹호·보장하는 동시에 보조 기술 사용을 통해 장애인의 비밀투표 권리를 보호한다.</w:t>
      </w:r>
    </w:p>
    <w:p>
      <w:pPr>
        <w:ind w:left="0" w:firstLine="0" w:hanging="0"/>
        <w:jc w:val="left"/>
      </w:pPr>
      <w:r>
        <w:rPr>
          <w:rFonts w:ascii="Times New Roman" w:hAnsi="굴림체" w:cs="굴림체" w:eastAsia="굴림체"/>
          <w:sz w:val="24"/>
        </w:rPr>
        <w:t xml:space="preserve">		(iii) 투표자의 투표 행사에 다른 사람의 도움이 필요한 경우 이러한 도움을 제공하는 자에게 해당 투표의 비밀을 유지할 의무가 부과될 수 있도록 선거법 개정을 고려한다.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CCPR/C/52/D/437/1990, 단락 5.2 참조.</w:t>
      </w:r>
    </w:p>
    <w:p>
      <w:pPr>
        <w:ind w:left="0" w:firstLine="0" w:hanging="0"/>
        <w:jc w:val="left"/>
      </w:pPr>
      <w:r>
        <w:rPr>
          <w:rFonts w:ascii="Times New Roman" w:hAnsi="굴림체" w:cs="굴림체" w:eastAsia="굴림체"/>
          <w:sz w:val="24"/>
        </w:rPr>
        <w:t>2. CCPR/C/45/D/397/1990, 단락 5.4 참조.</w:t>
      </w:r>
    </w:p>
    <w:p>
      <w:pPr>
        <w:ind w:left="0" w:firstLine="0" w:hanging="0"/>
        <w:jc w:val="left"/>
      </w:pPr>
      <w:r>
        <w:rPr>
          <w:rFonts w:ascii="Times New Roman" w:hAnsi="굴림체" w:cs="굴림체" w:eastAsia="굴림체"/>
          <w:sz w:val="24"/>
        </w:rPr>
        <w:t>3. A/64/40 (Vol. I), 단락 118 참조.</w:t>
      </w:r>
    </w:p>
    <w:p>
      <w:pPr>
        <w:ind w:left="0" w:firstLine="0" w:hanging="0"/>
        <w:jc w:val="left"/>
      </w:pPr>
      <w:r>
        <w:rPr>
          <w:rFonts w:ascii="Times New Roman" w:hAnsi="굴림체" w:cs="굴림체" w:eastAsia="굴림체"/>
          <w:sz w:val="24"/>
        </w:rPr>
        <w:t>4. 당사국은 특히 선거법이 장애인이 투표소에 물리적으로 입장할 수 없는 경우 투표소와 인접한 외부에서 투표하는 방법, 선거일 전 우편 투표를 통해 투표하는 방법, 선거 당일 투표할 수 없는 경우 선거 전 몇 주간 지정된 사전투표소에서 투표할 수 있는 사전투표 방법, 시각장애인을 위한 특별한 투표 방법 등의 조치를 규정하고 있다고 언급한다.</w:t>
      </w:r>
    </w:p>
    <w:p>
      <w:pPr>
        <w:ind w:left="0" w:firstLine="0" w:hanging="0"/>
        <w:jc w:val="left"/>
      </w:pPr>
      <w:r>
        <w:rPr>
          <w:rFonts w:ascii="Times New Roman" w:hAnsi="굴림체" w:cs="굴림체" w:eastAsia="굴림체"/>
          <w:sz w:val="24"/>
        </w:rPr>
        <w:t>5. 정치 참여와 투표권에 관한 일반논평 제25호(general comment No. 25 (1996) on participation in public affairs and the right to vote), 단락 20 참조.</w:t>
      </w:r>
    </w:p>
    <w:p>
      <w:pPr>
        <w:ind w:left="0" w:firstLine="0" w:hanging="0"/>
        <w:jc w:val="left"/>
      </w:pPr>
      <w:r>
        <w:rPr>
          <w:rFonts w:ascii="Times New Roman" w:hAnsi="굴림체" w:cs="굴림체" w:eastAsia="굴림체"/>
          <w:sz w:val="24"/>
        </w:rPr>
        <w:t>6. 통보인은 CRPD/C/D/2/2010, 단락 5.1을 언급한다.</w:t>
      </w:r>
    </w:p>
    <w:p>
      <w:pPr>
        <w:ind w:left="0" w:firstLine="0" w:hanging="0"/>
        <w:jc w:val="left"/>
      </w:pPr>
      <w:r>
        <w:rPr>
          <w:rFonts w:ascii="Times New Roman" w:hAnsi="굴림체" w:cs="굴림체" w:eastAsia="굴림체"/>
          <w:sz w:val="24"/>
        </w:rPr>
        <w:t>7. 당사국은 접근성에 관한 일반논평 제2호(general comment No. 2 (2014) on accessibility), 단락 27을 언급한다.</w:t>
      </w:r>
    </w:p>
    <w:p>
      <w:pPr>
        <w:ind w:left="0" w:firstLine="0" w:hanging="0"/>
        <w:jc w:val="left"/>
      </w:pPr>
      <w:r>
        <w:rPr>
          <w:rFonts w:ascii="Times New Roman" w:hAnsi="굴림체" w:cs="굴림체" w:eastAsia="굴림체"/>
          <w:sz w:val="24"/>
        </w:rPr>
        <w:t>8. 같은 문서, 단락 14.</w:t>
      </w:r>
    </w:p>
    <w:p>
      <w:pPr>
        <w:ind w:left="0" w:firstLine="0" w:hanging="0"/>
        <w:jc w:val="left"/>
      </w:pPr>
      <w:r>
        <w:rPr>
          <w:rFonts w:ascii="Times New Roman" w:hAnsi="굴림체" w:cs="굴림체" w:eastAsia="굴림체"/>
          <w:sz w:val="24"/>
        </w:rPr>
        <w:t>9. 장애인의 권리와 존엄성 보호·증진에 관한 포괄적·통합적 국제협약에 관한 임시위원회, “일부 국가의 장애 관련 법률에 나타난 정당한 편의제공의 개념: 경제사회부가 준비한 회의 문서(The concept of reasonable accommodation in selected national disability legislation: background conference document prepared by the Department of Economic and Social Affairs)”, A/AC.265/2006/CRP.1.</w:t>
      </w:r>
    </w:p>
    <w:p>
      <w:pPr>
        <w:ind w:left="0" w:firstLine="0" w:hanging="0"/>
        <w:jc w:val="left"/>
      </w:pPr>
      <w:r>
        <w:rPr>
          <w:rFonts w:ascii="Times New Roman" w:hAnsi="굴림체" w:cs="굴림체" w:eastAsia="굴림체"/>
          <w:sz w:val="24"/>
        </w:rPr>
        <w:t>10. CRPD/C/10/D/4/2011, 단락 9.4 참조.</w:t>
      </w:r>
    </w:p>
    <w:p>
      <w:pPr>
        <w:ind w:left="0" w:firstLine="0" w:hanging="0"/>
        <w:jc w:val="left"/>
      </w:pPr>
      <w:r>
        <w:rPr>
          <w:rFonts w:ascii="Times New Roman" w:hAnsi="굴림체" w:cs="굴림체" w:eastAsia="굴림체"/>
          <w:sz w:val="24"/>
        </w:rPr>
        <w:t>11. 접근성에 관한 일반논평 제2호(2014), 단락 25 참조.</w:t>
      </w:r>
    </w:p>
    <w:p>
      <w:pPr>
        <w:ind w:left="0" w:firstLine="0" w:hanging="0"/>
        <w:jc w:val="left"/>
      </w:pPr>
      <w:r>
        <w:rPr>
          <w:rFonts w:ascii="Times New Roman" w:hAnsi="굴림체" w:cs="굴림체" w:eastAsia="굴림체"/>
          <w:sz w:val="24"/>
        </w:rPr>
        <w:t>12. 같은 문서, 단락 5 참조. 또한 CRPD/C/14/D/21/2014, 단락 8.5도 참조.</w:t>
      </w:r>
    </w:p>
    <w:p>
      <w:pPr>
        <w:ind w:left="0" w:firstLine="0" w:hanging="0"/>
        <w:jc w:val="left"/>
      </w:pPr>
      <w:r>
        <w:rPr>
          <w:rFonts w:ascii="Times New Roman" w:hAnsi="굴림체" w:cs="굴림체" w:eastAsia="굴림체"/>
          <w:sz w:val="24"/>
        </w:rPr>
        <w:t>13. 접근성에 관한 일반논평 제2호(2014), 단락 29 참조.</w:t>
      </w:r>
    </w:p>
    <w:p>
      <w:pPr>
        <w:ind w:left="0" w:firstLine="0" w:hanging="0"/>
        <w:jc w:val="left"/>
      </w:pPr>
      <w:r>
        <w:rPr>
          <w:rFonts w:ascii="Times New Roman" w:hAnsi="굴림체" w:cs="굴림체" w:eastAsia="굴림체"/>
          <w:sz w:val="24"/>
        </w:rPr>
        <w:t>14. 같은 문서, 제25항 및 CRPD/C/14/D/21/2014, 단락 8.4 참조.</w:t>
      </w:r>
    </w:p>
    <w:p>
      <w:pPr>
        <w:ind w:left="0" w:firstLine="0" w:hanging="0"/>
        <w:jc w:val="left"/>
      </w:pPr>
      <w:r>
        <w:rPr>
          <w:rFonts w:ascii="Times New Roman" w:hAnsi="굴림체" w:cs="굴림체" w:eastAsia="굴림체"/>
          <w:sz w:val="24"/>
        </w:rPr>
        <w:t>15. 포용적 교육을 받을 권리에 관한 일반논평 제4호(general comment No. 4 (2016) on the right to inclusive education), 단락 45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