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장애인권리위원회 개인통보(2018): 이울리아 도미, 막스 벤센 vs 덴마크</w:t>
      </w:r>
    </w:p>
    <w:p>
      <w:pPr>
        <w:ind w:left="0" w:firstLine="0" w:hanging="0"/>
        <w:jc w:val="center"/>
      </w:pPr>
      <w:r>
        <w:rPr>
          <w:rFonts w:ascii="Times New Roman" w:hAnsi="굴림체" w:cs="굴림체" w:eastAsia="굴림체"/>
          <w:sz w:val="24"/>
        </w:rPr>
        <w:t xml:space="preserve">CRPD Individual Communication(2018): Iuliia Domina, Max Bendtsen vs Denmark </w:t>
      </w:r>
    </w:p>
    <w:p>
      <w:pPr>
        <w:ind w:left="0" w:firstLine="0" w:hanging="0"/>
        <w:jc w:val="left"/>
      </w:pPr>
      <w:r>
        <w:rPr>
          <w:rFonts w:ascii="Times New Roman" w:hAnsi="굴림체" w:cs="굴림체" w:eastAsia="굴림체"/>
          <w:sz w:val="24"/>
        </w:rPr>
        <w:t xml:space="preserve">    </w:t>
      </w:r>
    </w:p>
    <w:p>
      <w:pPr>
        <w:ind w:left="0" w:firstLine="0" w:hanging="0"/>
        <w:jc w:val="right"/>
      </w:pPr>
      <w:r>
        <w:rPr>
          <w:rFonts w:ascii="Times New Roman" w:hAnsi="굴림체" w:cs="굴림체" w:eastAsia="굴림체"/>
          <w:sz w:val="24"/>
        </w:rPr>
        <w:t>개인통보(39/2017)</w:t>
      </w:r>
    </w:p>
    <w:p>
      <w:pPr>
        <w:ind w:left="0" w:firstLine="0" w:hanging="0"/>
        <w:jc w:val="right"/>
      </w:pPr>
      <w:r>
        <w:rPr>
          <w:rFonts w:ascii="Times New Roman" w:hAnsi="굴림체" w:cs="굴림체" w:eastAsia="굴림체"/>
          <w:sz w:val="24"/>
        </w:rPr>
        <w:t xml:space="preserve"> CRPD/C/20/D/39/2017</w:t>
      </w:r>
    </w:p>
    <w:p>
      <w:pPr>
        <w:ind w:left="0" w:firstLine="0" w:hanging="0"/>
        <w:jc w:val="right"/>
      </w:pPr>
      <w:r>
        <w:rPr>
          <w:rFonts w:ascii="Times New Roman" w:hAnsi="굴림체" w:cs="굴림체" w:eastAsia="굴림체"/>
          <w:sz w:val="24"/>
        </w:rPr>
        <w:t>위반 - 5(1) 및 (2) 단독, 23(1) 연계</w:t>
      </w:r>
    </w:p>
    <w:p>
      <w:pPr>
        <w:ind w:left="0" w:firstLine="0" w:hanging="0"/>
        <w:jc w:val="right"/>
      </w:pPr>
      <w:r>
        <w:rPr>
          <w:rFonts w:ascii="Times New Roman" w:hAnsi="굴림체" w:cs="굴림체" w:eastAsia="굴림체"/>
          <w:sz w:val="24"/>
        </w:rPr>
        <w:t>장애인권리위원회</w:t>
      </w:r>
    </w:p>
    <w:p>
      <w:pPr>
        <w:ind w:left="0" w:firstLine="0" w:hanging="0"/>
        <w:jc w:val="right"/>
      </w:pPr>
      <w:r>
        <w:rPr>
          <w:rFonts w:ascii="Times New Roman" w:hAnsi="굴림체" w:cs="굴림체" w:eastAsia="굴림체"/>
          <w:sz w:val="24"/>
        </w:rPr>
        <w:t>2018. 12. 21.</w:t>
      </w:r>
    </w:p>
    <w:p>
      <w:pPr>
        <w:ind w:left="0" w:firstLine="0" w:hanging="0"/>
        <w:jc w:val="right"/>
      </w:pPr>
      <w:r>
        <w:rPr>
          <w:rFonts w:ascii="Times New Roman" w:hAnsi="굴림체" w:cs="굴림체" w:eastAsia="굴림체"/>
          <w:sz w:val="24"/>
        </w:rPr>
        <w:t/>
      </w:r>
    </w:p>
    <w:p>
      <w:pPr>
        <w:ind w:left="0" w:firstLine="0" w:hanging="0"/>
        <w:jc w:val="left"/>
      </w:pPr>
      <w:r>
        <w:rPr>
          <w:rFonts w:ascii="Times New Roman" w:hAnsi="굴림체" w:cs="굴림체" w:eastAsia="굴림체"/>
          <w:sz w:val="24"/>
        </w:rPr>
        <w:t>제출자: 이울리아 도미나(Iuliia Domina)와 막스 벤센(Max Bendtsen) (변호인 에디 카와자(Eddie Kawaja)가 대리함)</w:t>
      </w:r>
    </w:p>
    <w:p>
      <w:pPr>
        <w:ind w:left="0" w:firstLine="0" w:hanging="0"/>
        <w:jc w:val="left"/>
      </w:pPr>
      <w:r>
        <w:rPr>
          <w:rFonts w:ascii="Times New Roman" w:hAnsi="굴림체" w:cs="굴림체" w:eastAsia="굴림체"/>
          <w:sz w:val="24"/>
        </w:rPr>
        <w:t>피해자: 통보인들</w:t>
      </w:r>
    </w:p>
    <w:p>
      <w:pPr>
        <w:ind w:left="0" w:firstLine="0" w:hanging="0"/>
        <w:jc w:val="left"/>
      </w:pPr>
      <w:r>
        <w:rPr>
          <w:rFonts w:ascii="Times New Roman" w:hAnsi="굴림체" w:cs="굴림체" w:eastAsia="굴림체"/>
          <w:sz w:val="24"/>
        </w:rPr>
        <w:t>당사국: 덴마크</w:t>
      </w:r>
    </w:p>
    <w:p>
      <w:pPr>
        <w:ind w:left="0" w:firstLine="0" w:hanging="0"/>
        <w:jc w:val="left"/>
      </w:pPr>
      <w:r>
        <w:rPr>
          <w:rFonts w:ascii="Times New Roman" w:hAnsi="굴림체" w:cs="굴림체" w:eastAsia="굴림체"/>
          <w:sz w:val="24"/>
        </w:rPr>
        <w:t>제출일: 2017-01-06</w:t>
      </w:r>
    </w:p>
    <w:p>
      <w:pPr>
        <w:ind w:left="0" w:firstLine="0" w:hanging="0"/>
        <w:jc w:val="left"/>
      </w:pPr>
      <w:r>
        <w:rPr>
          <w:rFonts w:ascii="Times New Roman" w:hAnsi="굴림체" w:cs="굴림체" w:eastAsia="굴림체"/>
          <w:sz w:val="24"/>
        </w:rPr>
        <w:t>참고문서: 위원회 절차규칙 제64조 및 제70조에 따라 취한 결정 (2015년 1월 9일 당사국 송부, 문서 형태로 발행되지 않음)</w:t>
      </w:r>
    </w:p>
    <w:p>
      <w:pPr>
        <w:ind w:left="0" w:firstLine="0" w:hanging="0"/>
        <w:jc w:val="left"/>
      </w:pPr>
      <w:r>
        <w:rPr>
          <w:rFonts w:ascii="Times New Roman" w:hAnsi="굴림체" w:cs="굴림체" w:eastAsia="굴림체"/>
          <w:sz w:val="24"/>
        </w:rPr>
        <w:t>채택일: 2018. 8. 31.</w:t>
      </w:r>
    </w:p>
    <w:p>
      <w:pPr>
        <w:ind w:left="0" w:firstLine="0" w:hanging="0"/>
        <w:jc w:val="left"/>
      </w:pPr>
      <w:r>
        <w:rPr>
          <w:rFonts w:ascii="Times New Roman" w:hAnsi="굴림체" w:cs="굴림체" w:eastAsia="굴림체"/>
          <w:sz w:val="24"/>
        </w:rPr>
        <w:t>주제: 가족재결합</w:t>
      </w:r>
    </w:p>
    <w:p>
      <w:pPr>
        <w:ind w:left="0" w:firstLine="0" w:hanging="0"/>
        <w:jc w:val="left"/>
      </w:pPr>
      <w:r>
        <w:rPr>
          <w:rFonts w:ascii="Times New Roman" w:hAnsi="굴림체" w:cs="굴림체" w:eastAsia="굴림체"/>
          <w:sz w:val="24"/>
        </w:rPr>
        <w:t>절차쟁점: 주장의 소명 여부</w:t>
      </w:r>
    </w:p>
    <w:p>
      <w:pPr>
        <w:ind w:left="0" w:firstLine="0" w:hanging="0"/>
        <w:jc w:val="left"/>
      </w:pPr>
      <w:r>
        <w:rPr>
          <w:rFonts w:ascii="Times New Roman" w:hAnsi="굴림체" w:cs="굴림체" w:eastAsia="굴림체"/>
          <w:sz w:val="24"/>
        </w:rPr>
        <w:t>본안쟁점: 가정과 가족에 대한 존중, 장애를 이유로 한 차별</w:t>
      </w:r>
    </w:p>
    <w:p>
      <w:pPr>
        <w:ind w:left="0" w:firstLine="0" w:hanging="0"/>
        <w:jc w:val="left"/>
      </w:pPr>
      <w:r>
        <w:rPr>
          <w:rFonts w:ascii="Times New Roman" w:hAnsi="굴림체" w:cs="굴림체" w:eastAsia="굴림체"/>
          <w:sz w:val="24"/>
        </w:rPr>
        <w:t>관련조항: 제5조 및 제23조</w:t>
      </w:r>
    </w:p>
    <w:p>
      <w:pPr>
        <w:ind w:left="0" w:firstLine="0" w:hanging="0"/>
        <w:jc w:val="left"/>
      </w:pPr>
      <w:r>
        <w:rPr>
          <w:rFonts w:ascii="Times New Roman" w:hAnsi="굴림체" w:cs="굴림체" w:eastAsia="굴림체"/>
          <w:sz w:val="24"/>
        </w:rPr>
        <w:t>선택의정서 관련조항: 제2조 제e호</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개인통보 39/2017</w:t>
      </w:r>
    </w:p>
    <w:p>
      <w:pPr>
        <w:ind w:left="0" w:firstLine="0" w:hanging="0"/>
        <w:jc w:val="left"/>
      </w:pPr>
      <w:r>
        <w:rPr>
          <w:rFonts w:ascii="Times New Roman" w:hAnsi="굴림체" w:cs="굴림체" w:eastAsia="굴림체"/>
          <w:sz w:val="24"/>
        </w:rPr>
        <w:t>1.1 통보인들은 우크라이나 국민 이울리아 도미나(Iuliia Domina)와 덴마크 국민 막스 벤슨(Max Bendtsen)이며, 모두 1989년생이다. 통보인들은 결혼한 부부로서 2015년생 아들이 있다. 벤슨은 2009년 교통사고로 인해 뇌 손상을 입었다. 통보인들의 당사국 내 가족재결합 신청과 도미나의 거주허가 신청은 국내 기관에 의해 거부되었다. 통보인들은 가족재결합 신청을 기각한 것이 협약 제5조 및 제23조에 따른 권리를 침해한 것이라고 주장한다. 선택의정서는 2014년 10월 23일부로 당사국에서 발효되었다. 변호인이 통보인들을 대리한다.</w:t>
      </w:r>
    </w:p>
    <w:p>
      <w:pPr>
        <w:ind w:left="0" w:firstLine="0" w:hanging="0"/>
        <w:jc w:val="left"/>
      </w:pPr>
      <w:r>
        <w:rPr>
          <w:rFonts w:ascii="Times New Roman" w:hAnsi="굴림체" w:cs="굴림체" w:eastAsia="굴림체"/>
          <w:sz w:val="24"/>
        </w:rPr>
        <w:t>1.2 2017년 1월 9일 신규 진정 및 임시 조치에 관한 특별보고관은 위원회를 대신해 선택의정서 제4조에 따른 임시 조치 요청서를 발행하고, 위원회가 통보인들의 사례를 심사하는 동안 도미나를 우크라이나로 강제 추방하지 말 것을 당사국에 요청했다. 2017년 1월 11일 이민상소위원회(Immigration Appeals Board)는 추후 통보가 있을 때까지 도미나의 당사국 출국 시한을 유예했다.</w:t>
      </w:r>
    </w:p>
    <w:p>
      <w:pPr>
        <w:ind w:left="0" w:firstLine="0" w:hanging="0"/>
        <w:jc w:val="center"/>
      </w:pPr>
      <w:r>
        <w:rPr>
          <w:rFonts w:ascii="Times New Roman" w:hAnsi="굴림체" w:cs="굴림체" w:eastAsia="굴림체"/>
          <w:sz w:val="24"/>
        </w:rPr>
        <w:t>A. 당사자들이 제출한 정보 및 주장의 개요</w:t>
      </w:r>
    </w:p>
    <w:p>
      <w:pPr>
        <w:ind w:left="0" w:firstLine="0" w:hanging="0"/>
        <w:jc w:val="center"/>
      </w:pPr>
      <w:r>
        <w:rPr>
          <w:rFonts w:ascii="Times New Roman" w:hAnsi="굴림체" w:cs="굴림체" w:eastAsia="굴림체"/>
          <w:sz w:val="24"/>
        </w:rPr>
        <w:t>통보인들이 제출한 사실관계</w:t>
      </w:r>
    </w:p>
    <w:p>
      <w:pPr>
        <w:ind w:left="0" w:firstLine="0" w:hanging="0"/>
        <w:jc w:val="left"/>
      </w:pPr>
      <w:r>
        <w:rPr>
          <w:rFonts w:ascii="Times New Roman" w:hAnsi="굴림체" w:cs="굴림체" w:eastAsia="굴림체"/>
          <w:sz w:val="24"/>
        </w:rPr>
        <w:t>2.1 2013년 5월 30일 통보인들은 2013년 4월 13일 결혼식을 올리고, 이를 근거로 당사국 내 가족재결합 및 도미나의 거주허가를 신청했다. 이주기관에 제출된 신청서에는 벤슨의 신체·정신 건강 관련 서류와 정보가 포함되었다. 기록에 따르면, 벤슨은 2009년 심각한 교통사고를 당해 영구적인 뇌 손상을 입었으며, 이에 근거해 2009년 5월부터 사회급여를 수령하였다. 벤슨이 취업을 통해 자립할 수 없었기 때문이다. 2013년 8월 29일 덴마크 이민국은 가족재결합 승인 가능 날짜에 앞선 3개년 이내에 벤슨이 사회급여를 수령했다는 점을 들어 통보인들의 신청을 기각했다. 이주기관들은 외국인법(통합)(Aliens (Consolidation) Act) 제9조 제5항에 준거했다. 이에 따르면, 신청인의 배우자가 신청에 앞선 3개년 이내에 사회급여를 수령한 경우 가족재결합에 따른 거주허가를 승인할 수 없다. 이 결정은 2014년 12월 3일 이민상소위원회에서 유지되었다.</w:t>
      </w:r>
    </w:p>
    <w:p>
      <w:pPr>
        <w:ind w:left="0" w:firstLine="0" w:hanging="0"/>
        <w:jc w:val="left"/>
      </w:pPr>
      <w:r>
        <w:rPr>
          <w:rFonts w:ascii="Times New Roman" w:hAnsi="굴림체" w:cs="굴림체" w:eastAsia="굴림체"/>
          <w:sz w:val="24"/>
        </w:rPr>
        <w:t>2.2 2015년 12월 22일 동부고등법원은 이민상소위원회의 결정이 협약을 위반했다고 판결하면서 덴마크에 거주하는 배우자가 재정 자립 능력이 있어야 한다는 요건은 협약에 근거하여 해당 요건이 면제되어야 하는 경우에는 인정될 수 없다고 지적했다. 법원은 당사자가 장애로 인해 재정 요건을 충족할 수 없는 경우가 이에 해당하리라고 판단했다. 또 법원은 벤슨이 장애를 이유로 조기 퇴직을 제안받았으며, 그가 제안을 수락했다면 재정 자립 능력 요건을 면제받았을 것이라고 지적했다. 법원은 벤슨의 건강과 관련한 상황 진단을 근거로 재정 자립의 전망이 없다고 판단했다. 그리하여 법원은 장애가 있는 벤슨이 재정 자립 능력 요건으로 인해 다른 사람들과 동등하게 가족생활에 대한 권리를 누리지 못하므로 해당 요건의 이행을 벤슨에게 요구해서는 안 된다는 결론을 내렸다.</w:t>
      </w:r>
    </w:p>
    <w:p>
      <w:pPr>
        <w:ind w:left="0" w:firstLine="0" w:hanging="0"/>
        <w:jc w:val="left"/>
      </w:pPr>
      <w:r>
        <w:rPr>
          <w:rFonts w:ascii="Times New Roman" w:hAnsi="굴림체" w:cs="굴림체" w:eastAsia="굴림체"/>
          <w:sz w:val="24"/>
        </w:rPr>
        <w:t>2.3 상고심에서 대법원은 2016년 12월 22일자 판결을 통해 벤슨이 한때 고용 및 교육과 관련해 자신의 선택지를 평가하는 프로그램에 참여했을 뿐만 아니라 특별유연고용을 승인받을 수 있는 선택지가 있음을 지적하며 동부고등법원의 결정을 뒤집었다. 특별유연고용을 승인받을 수 있는 선택지에 근거해 대법원은 벤슨이 재정 자립 능력의 요건을 이행할 합리적 기회가 있다는 결론을 내렸다. 또 대법원은 그가 사회급여를 받은 비장애인과 비슷한 입장에 있으며, 따라서 협약 또는 인권과 기본적 자유의 보호에 관한 협약(유럽인권협약)을 위반하는 차별을 받지 않았다고 판단했다.</w:t>
      </w:r>
    </w:p>
    <w:p>
      <w:pPr>
        <w:ind w:left="0" w:firstLine="0" w:hanging="0"/>
        <w:jc w:val="center"/>
      </w:pPr>
      <w:r>
        <w:rPr>
          <w:rFonts w:ascii="Times New Roman" w:hAnsi="굴림체" w:cs="굴림체" w:eastAsia="굴림체"/>
          <w:sz w:val="24"/>
        </w:rPr>
        <w:t>진정 내용</w:t>
      </w:r>
    </w:p>
    <w:p>
      <w:pPr>
        <w:ind w:left="0" w:firstLine="0" w:hanging="0"/>
        <w:jc w:val="left"/>
      </w:pPr>
      <w:r>
        <w:rPr>
          <w:rFonts w:ascii="Times New Roman" w:hAnsi="굴림체" w:cs="굴림체" w:eastAsia="굴림체"/>
          <w:sz w:val="24"/>
        </w:rPr>
        <w:t>3.1 통보인들은 외국인법 제9조 제5항에 따라 덴마크 시민과 결혼한 신청인에게 거주허가를 승인하기 위해서는 덴마크에 거주하는 배우자가 신청에 앞선 3개년 이내에 사회급여를 받은 적이 없어야 한다고 언급한다. 통보인들은 이러한 정책이 협약 제5조 및 제23조에 따른 권리를 침해한다고 주장한다. 통보인들은 덴마크 기관들이 취하는 접근법이 정당한 편의 제공 의무를 인정하지도, 장애를 이유로 한 간접 차별로부터의 보호를 보장하지도 않는다는 점에서 차별에 대한 잘못된 정의를 적용하고 있다고 주장한다. 통보인들은 대법원이 벤슨의 사회급여 수령 이유가 장애에 있음을 인정했음에도 노동시장 접근성의 측면에서 장애인이 다른 사람들과 현저히 다른 상황에 놓여 있으며, 따라서 벤슨이 장애를 이유로 부당하게 불리한 위치에 있음을 유념하지 않았다고 주장한다. 통보인들은 가족재결합을 승인받기 위해서는 재정 자립 능력이 있어야 한다는 요건이 장애인이 비장애인과 동등하게 가족생활에 대한 권리를 누리는 데 장벽이 된다고 주장한다.</w:t>
      </w:r>
    </w:p>
    <w:p>
      <w:pPr>
        <w:ind w:left="0" w:firstLine="0" w:hanging="0"/>
        <w:jc w:val="left"/>
      </w:pPr>
      <w:r>
        <w:rPr>
          <w:rFonts w:ascii="Times New Roman" w:hAnsi="굴림체" w:cs="굴림체" w:eastAsia="굴림체"/>
          <w:sz w:val="24"/>
        </w:rPr>
        <w:t>3.2 또 통보인들은 어린 자녀가 도미나에게 전적으로 의존하고 있다고 언급한다. 이는 장애로 인해 벤슨이 도움 없이는 아이를 돌볼 수 없었기 때문이다. 따라서 도미나를 우크라이나로 추방한다면 이는 통보인들과 자녀의 가족생활에 돌이킬 수 없는 피해를 줄 것이다.</w:t>
      </w:r>
    </w:p>
    <w:p>
      <w:pPr>
        <w:ind w:left="0" w:firstLine="0" w:hanging="0"/>
        <w:jc w:val="center"/>
      </w:pPr>
      <w:r>
        <w:rPr>
          <w:rFonts w:ascii="Times New Roman" w:hAnsi="굴림체" w:cs="굴림체" w:eastAsia="굴림체"/>
          <w:sz w:val="24"/>
        </w:rPr>
        <w:t>심리적격과 본안에 관한 당사국 견해</w:t>
      </w:r>
    </w:p>
    <w:p>
      <w:pPr>
        <w:ind w:left="0" w:firstLine="0" w:hanging="0"/>
        <w:jc w:val="left"/>
      </w:pPr>
      <w:r>
        <w:rPr>
          <w:rFonts w:ascii="Times New Roman" w:hAnsi="굴림체" w:cs="굴림체" w:eastAsia="굴림체"/>
          <w:sz w:val="24"/>
        </w:rPr>
        <w:t>4.1 2017년 7월 7일 당사국은 진정의 심리적격과 본안에 관한 견해를 제출했다. 당사국은 심리적격의 취지에서 주장이 소명되지 않았으므로 진정은 선택의정서 제2조 제e호에 따라 심리부적격으로 선언되어야 한다고 간주한다. 이와 달리 위원회가 통보인들의 주장을 심리적격으로 판정하는 한에서 당사국은 진정이 이유가 없다고 진술한다.</w:t>
      </w:r>
    </w:p>
    <w:p>
      <w:pPr>
        <w:ind w:left="0" w:firstLine="0" w:hanging="0"/>
        <w:jc w:val="left"/>
      </w:pPr>
      <w:r>
        <w:rPr>
          <w:rFonts w:ascii="Times New Roman" w:hAnsi="굴림체" w:cs="굴림체" w:eastAsia="굴림체"/>
          <w:sz w:val="24"/>
        </w:rPr>
        <w:t>4.2 당사국은 이민상소위원회의 구성과 관할권, 또 국내 적용법령에 관한 정보를 제공한다. 이민상소위원회는 합의제로 운영되는 독립적인 준사법 행정기구이다. 위원회는 가족재결합, 비자, 영주권, 행정 추방, 입국 거부와 관련한 덴마크 이민국의 결정 등 이주 관련 1심 결정에 대한 이의신청 및 특히 직업과 고용, 학업, 오페어(au pair) 직책에 근거한 거주와 관련한 덴마크 국제채용통합청의 1심 결정에 대한 이의신청을 심사한다. 외국인법 제9조 제1항 제i호 제a목은 결혼 또는 장기간의 지속적 동거를 통해 덴마크 국적이 있는 24세 이상의 덴마크 영구거주자와 공동 주거지에서 동거하는 24세 이상의 외국인에게 신청 시 거주허가를 발급할 수 있다고 규정한다. 외국인법 제9조 제5항에 따라 거주허가는 신청인을 부양할 의무가 있는 덴마크 거주자가 거주 결정이 내려지기 전 3년간 적극적사회정책법(Active Social Policy Act)이나 통합법(Integration Act)에 따른 지원을 받지 않은 경우에 한해 승인될 수 있다. 그러나 생활비와 직접적인 관련이 없는 일회성 소액 급여의 형태로 제공되는 지원, 또는 임금, 급여, 연금 지급액에 상응하거나 이러한 소득을 대체하는 급여는 재정 지원 목록에 포함되지 않는다. 가족결합에 대한 고려 등 예외적인 사유로 인해 적실성이 확실한 경우에는 덴마크 거주자가 적극적사회정책법이나 통합법에 따른 지원을 받은 적이 없어야 한다는 조건을 무시할 수 있다. 당사국의 국제적 의무에 따라 재결합이 승인되어야 하는 경우만이 이에 해당할 것이다.</w:t>
      </w:r>
    </w:p>
    <w:p>
      <w:pPr>
        <w:ind w:left="0" w:firstLine="0" w:hanging="0"/>
        <w:jc w:val="left"/>
      </w:pPr>
      <w:r>
        <w:rPr>
          <w:rFonts w:ascii="Times New Roman" w:hAnsi="굴림체" w:cs="굴림체" w:eastAsia="굴림체"/>
          <w:sz w:val="24"/>
        </w:rPr>
        <w:t>4.3 당사국은 개정된 외국인법(Act No. 572 of 31 May 2010 amending the Aliens Act)에 의해 영주권 취득 조건이 수정되었다고 언급한다. 관련 법안(Bill No. L 188 of 26 March 2010)의 총론에는 협약에 규정된 바와 같이 장애로 인해 영주권 취득 조건 중 하나 이상을 충족할 수 없는 외국인은 해당 요건을 적용받지 않고, 장애로 인해 충족할 수 없는 조건에 대해서만 면제가 부여되며, 외국인의 장애와 관련이 없는 다른 조건은 다른 외국인들과 마찬가지로 충족되어야 한다고 명시되어 있다. 당사국은 예외 사유의 다른 예로 해당 요건이 적용됨으로써 덴마크 거주자가 입국할 수 없고 신청인과 함께 거주할 수 없는 국가에 배우자가 거주해야 하고, 따라서 이들이 함께 가족으로 살아갈 수 없는 경우를 들고 있다. 또 덴마크 거주자가 덴마크에 거주하는 미성년 자녀에 대한 양육권 또는 접근권이 있는 경우에도 예외 사유가 적용될 수 있다.</w:t>
      </w:r>
    </w:p>
    <w:p>
      <w:pPr>
        <w:ind w:left="0" w:firstLine="0" w:hanging="0"/>
        <w:jc w:val="left"/>
      </w:pPr>
      <w:r>
        <w:rPr>
          <w:rFonts w:ascii="Times New Roman" w:hAnsi="굴림체" w:cs="굴림체" w:eastAsia="굴림체"/>
          <w:sz w:val="24"/>
        </w:rPr>
        <w:t>4.4 당사국은 또한 국내 소송에 관한 정보를 제공한다. 당사국은 도미나가 2011년 11월 21일부터 2013년 7월 2일까지 외국인법에 따른 농업연수생으로 덴마크 체류허가를 받았다고 언급한다. 통보인들은 2013년 4월 13일 결혼했다. 도미나는 벤슨과의 혼인을 근거로 2013년 5월 30일 덴마크에서의 가족재결합을 신청했다. 2013년 8월 29일 덴마크 이민국은 벤슨이 2009년 5월 14일부터 덴마크 이민국의 결정일까지 적극적사회정책법 제25조에 따른 지원을 받았고, 외국인법 제9조 제5항에 따른 자립 요건을 무시할 만한 예외 사유가 없다는 이유로 외국인법 제9조 제5항에 따라 도미나의 거주 신청을 거부했다. 2014년 12월 3일 이민상소위원회는 도미나의 거주 신청을 거부한 덴마크 이민국의 결정을 유지했다. 위원회는 벤슨이 지난 3년 이내에 적극적사회정책법에 따른 지원을 받았으므로 외국인법 제9조 제5항에 따른 조건이 충족되지 않으며, 따라서 도미나가 외국인법 제9조 제1항 제i호에 따른 거주를 승인받을 수 없다고 판단했다. 또 위원회는 건강 문제를 비롯해 우크라이나에 입국·거주하고 그곳에서 함께 가족생활을 누릴 것을 통보인들에게 요구할 수 없다는 결론을 정당화할 수 있는 개인적 상황에 관한 정보가 제공되지 않았다고 판단했다. 위원회는 벤슨이 장애가 있다는 사실만으로는 재결합에 관한 규정을 면제할 근거가 될 수 없다고 판단했다. 따라서 위원회는 적극적사회정책법에 따라 생활비 급여를 받은 이력이 있는 비장애인이 재결합을 신청한 경우와 비교해 통보인들이 직·간접적 차별을 받은 사실이 없다고 판단했다. 위원회는 벤슨이 외국인법 제9조 제5항의 조건을 충족할 수 없다는 주장이 소명되지 않았다고 판단했으며, 이에 따라 벤슨의 건강과 관련해 외국인법 제9조 제5항의 조건이 면제될 수 없다는 결론을 내렸다.</w:t>
      </w:r>
    </w:p>
    <w:p>
      <w:pPr>
        <w:ind w:left="0" w:firstLine="0" w:hanging="0"/>
        <w:jc w:val="left"/>
      </w:pPr>
      <w:r>
        <w:rPr>
          <w:rFonts w:ascii="Times New Roman" w:hAnsi="굴림체" w:cs="굴림체" w:eastAsia="굴림체"/>
          <w:sz w:val="24"/>
        </w:rPr>
        <w:t>4.5 2014년 12월 10일 통보인들은 이민상소위원회의 결정에 대해 로스킬데 지방법원에 법적 소송을 제기했다. 2015년 2월 11일 지방법원은 사건을 동부고등법원에 회부했다. 2015년 12월 22일 고등법원은 이민상소위원회의 결정을 파기하고, 재심사를 위해 사건을 이민상소위원회로 환송했다. 2016년 1월 19일 이민상소위원회는 고등법원 판결에 불복해 대법원에 상고했다.</w:t>
      </w:r>
    </w:p>
    <w:p>
      <w:pPr>
        <w:ind w:left="0" w:firstLine="0" w:hanging="0"/>
        <w:jc w:val="left"/>
      </w:pPr>
      <w:r>
        <w:rPr>
          <w:rFonts w:ascii="Times New Roman" w:hAnsi="굴림체" w:cs="굴림체" w:eastAsia="굴림체"/>
          <w:sz w:val="24"/>
        </w:rPr>
        <w:t>4.6 2016년 12월 22일자 판결을 통해 대법원은 이민상소위원회의 손을 들어주며 고등법원의 판결을 뒤집었다. 대법원은 이민상소위원회가 결정을 내릴 당시 벤슨이 적극적사회정책법 제11조에 따라 사회보장급여를 받고 있었다는 점에 주목했다. 해당 조항에 따르면, 질병이나 실업, 또는 동거 중단과 같은 상황의 변화를 경험하고 이러한 변화로 인해 자립할 수 없는 개인은 장애 여부와 상관없이 지원을 받을 수 있다. 외국인법 입법 자료에 따르면, 외국인법 제9조 제5항의 조건은 당사국의 국제적 의무에 따라 필요한 경우 무시되어야 한다. 이와 관련해 대법원은 유럽인권협약 제14조에 따라 장애 등의 사유로 인한 차등 대우가 가족생활을 존중받을 권리에 관한 제8조를 비롯해 같은 협약 내 다른 조항의 범위에 속하는 상황에 귀속될 수 있는 경우 이러한 차등 대우가 금지된다고 명시했다. 따라서 문제는 이민상소위원회의 결정일 당시 벤슨의 상황이 이전 3년간 사회보장급여를 받은 적이 있는 비장애인의 상황과 비슷한지, 아니면 이전 3년간 사회보장급여를 받지 않은 비장애인의 상황과 비슷한지 판단하는 것이었다. 적극적 고용조치에 관한 법(act on active employment measures) 제70조에 따라 일자리센터는 기준 정년보다 어린 자로서 노동능력이 영구적으로 감소하고, 장애 연금을 수령하지 않으며, 통상적 조건으로 일자리를 찾거나 유지할 수 없는 개인에게 임금보조금 프로그램에 따른 일자리를 제공했다. 임금보조금은 외국인법 제9조 제5항의 소관이 아니며, 따라서 수혜자의 가족재결합 승인 자격을 박탈하지 않았다. 사회연금법(Social Pensions Act)에 따른 장애연금 또한 마찬가지다. 또 대법원은 장애로 인해 외국인법 제9조 제5항의 요건을 충족할 수 없는 경우 해당 요건을 무시해야 한다는 가정이 입법 자료에 포함된 것으로 간주되어야 한다고 언급했다. 결과적으로, 법원은 제9조 제5항의 규정에 따라 일정 기간 가족재결합 자격이 박탈된 자는 장애 여부와 상관없이 임금보조금 프로그램에 따른 일자리를 비롯해 일자리를 구할 가능성이 있었던 것으로, 따라서 지난 3년간 사회보장급여를 받지 않았다는 조건을 충족할 수 있었던 것으로 가정된다고 판단했다. 이민상소위원회가 결정을 내릴 당시 벤슨은 향후 취업 가능성을 판단하기 위한 평가와 임상 감정을 받고 있었으며, 또 교육도 이수하고 있었다. 법원은 비록 벤슨이 장애로 인해 통상적인 조건의 일자리를 구할 수 없다고 하더라도 임금보조금 프로그램에 따라 일자리를 구할 가능성이 있으므로 외국인법 제9조 제5항에 따른 자립 요건을 충족할 합리적 전망이 있다고 판단했다. 따라서 법원은 이민상소위원회의 결정 당시 벤슨이 앞선 3개년 이내에 사회보장급여를 수령한 적이 있는 비장애인과 비슷한 상황에 있었으며, 따라서 협약이나 유럽인권협약에 위배되는 차등 대우를 받지 않았다고 판단했다.</w:t>
      </w:r>
    </w:p>
    <w:p>
      <w:pPr>
        <w:ind w:left="0" w:firstLine="0" w:hanging="0"/>
        <w:jc w:val="left"/>
      </w:pPr>
      <w:r>
        <w:rPr>
          <w:rFonts w:ascii="Times New Roman" w:hAnsi="굴림체" w:cs="굴림체" w:eastAsia="굴림체"/>
          <w:sz w:val="24"/>
        </w:rPr>
        <w:t>4.7 당사국은 도미나의 거주 신청을 거부한 이민상소위원회의 2014년 12월 3일자 결정이 협약 제5조 및 제23조를 위반했다는 통보인들의 주장을 언급한다. 당사국은 심리가능성의 취지에서 통보인들이 일응 입증을 하지 못했으며, 따라서 진정은 심리불가한 것으로 간주되어야 한다고 진술한다. 이와 관련해 당사국은 이민상소위원회, 고등법원, 대법원이 통보인들의 주장을 심리했다는 사실을 언급한다. 당사국의 주장에 따르면, 대법원은 벤슨이 장애인이라는 사실을 명시적으로 고려했지만, 앞선 3개년 이내에 사회보장급여를 받은 적이 있는 비장애인과 비슷한 상황에 있다고 판단했다. 이러한 맥락에서 대법원은 벤슨이 평가 및 임상 감정을 받았으며, 임금보조금 프로그램에 등록되어 있으므로 자립 요건을 충족할 수 있는 합리적 잠재력이 있다고 강조했다.</w:t>
      </w:r>
    </w:p>
    <w:p>
      <w:pPr>
        <w:ind w:left="0" w:firstLine="0" w:hanging="0"/>
        <w:jc w:val="left"/>
      </w:pPr>
      <w:r>
        <w:rPr>
          <w:rFonts w:ascii="Times New Roman" w:hAnsi="굴림체" w:cs="굴림체" w:eastAsia="굴림체"/>
          <w:sz w:val="24"/>
        </w:rPr>
        <w:t>4.8 진정 본안과 관련해 당사국은 도미나의 거주 신청을 거부함으로써 자국이 협약 제5조 및 제23조에 따른 의무를 위반했다는 주장을 통보인들이 충분히 입증하지 못했다고 진술한다. 당사국은 적극적사회정책법에 따라 생활비 급여를 받은 이력이 있는 비장애인이 재결합을 신청한 경우와 비교해 벤슨이 직·간접적 차별을 받은 적이 없다고 주장한다. 또 당사국은 장애의 직접적인 결과로서 벤슨에게 급여가 지급된 사실은 본 사례와 무관하다고 주장한다. 당사국은 본 사례의 실제적 쟁점은 벤슨이 적극적사회정책법에 따라 지원을 받은 다른 사람들과 동등하게 외국인법 제9조 제5항의 규정을 준수할 수 있는지 여부라고 주장한다. 당사국은 이러한 점에서 장애의 존재는 그 자체만으로 외국인법 제9조 제5항에 명시된 조건을 면제할 근거가 될 수 없다고 본 대법원의 판결이 타당하다고 진술한다. 실제적 평가 지점은 장애로 인해 추후 취업을 할 수 없고, 따라서 외국인법 제9조 제5항의 조건을 충족할 수 없는지 여부였기 때문이다. 당사국의 언급에 따르면, 대법원과 이민상소위원회는 벤슨이 임금보조금 프로그램에 따라 일자리를 구할 가능성이 있으므로 위원회 결정 당시 외국인법 제9조 제5항에 따른 자립 요건을 충족할 합리적 전망이 있다고 판단했다. 따라서 덴마크에 거주하는 배우자에게 장애가 있다는 사실은 그 자체로는 외국인법 제9조 제5항의 조건을 면제할 근거로 충분하지 않다. 이러한 면제가 이루어지기 위해서는 당사자의 장애가 자립 요건 충족 가능성을 가로막는 장벽에 해당해야 한다.</w:t>
      </w:r>
    </w:p>
    <w:p>
      <w:pPr>
        <w:ind w:left="0" w:firstLine="0" w:hanging="0"/>
        <w:jc w:val="left"/>
      </w:pPr>
      <w:r>
        <w:rPr>
          <w:rFonts w:ascii="Times New Roman" w:hAnsi="굴림체" w:cs="굴림체" w:eastAsia="굴림체"/>
          <w:sz w:val="24"/>
        </w:rPr>
        <w:t>4.9 또 당사국은 일을 통해 노동시장과의 연계를 유지하길 원한다는 이유로 벤슨이 장애 연금을 거부했다고 언급한다. 그리하여 당사국은 벤슨이 장애 연금 제안을 수용했다면 좀 더 이른 시점에 외국인법 제9조 제5항에 따른 요건을 충족할 수 있었을 것이라고 주장한다. 결과적으로, 당사국은 결혼 및 가족생활에 대한 권리와 관련해 벤슨이 차별을 받지 않았다고 진술한다.</w:t>
      </w:r>
    </w:p>
    <w:p>
      <w:pPr>
        <w:ind w:left="0" w:firstLine="0" w:hanging="0"/>
        <w:jc w:val="left"/>
      </w:pPr>
      <w:r>
        <w:rPr>
          <w:rFonts w:ascii="Times New Roman" w:hAnsi="굴림체" w:cs="굴림체" w:eastAsia="굴림체"/>
          <w:sz w:val="24"/>
        </w:rPr>
        <w:t>4.10 나아가 당사국은 통보인들이 우크라이나에서 가족생활을 누릴 수 있다는 이민상소위원회의 판단이 협약 제5조에 따른 권리를 침해한 것이 아니라고 주장한다. 당사국은 유럽인권협약 제8조가 가족재결합을 수용해야 할 일반적 의무, 즉 부부가 가족생활을 누리고 싶은 국가를 직접 선택하는 것을 수용해야 할 의무를 국가에 부과하지 않는다. 이는 기존 판례에 따라 국가가 외국인의 자국 영토에 대한 접근을 통제하고, 이러한 맥락에서 가족재결합에 대한 규칙을 제정할 권리가 있기 때문이다. *1 ) 이를 위해 국가는 광범위한 판단 재량을 가지며, 하나의 일반적 규칙으로서 출신국에서 가족생활을 누릴 것을 외국인에게 요구할 수 있다. 권리 침해는 외국인이 출신국에서 가족생활을 누려야 함에도 극복할 수 없는 장벽에 직면하는 경우에만 발생한다. 당사국은 본 사례에서 통보인들이 우크라이나에서 가족생활을 누릴 수 있는지를 이민상소위원회가 평가했다고 언급한다. 당사국은 도미나의 출신국에서 가족생활을 누릴 가능성에 대한 평가, 즉 덴마크에 거주하는 배우자가 장애가 없다면 당연히 해야 할 이러한 평가가 벤슨이 장애가 있다는 상황만으로 면제될 수는 없다고 주장한다. 면제되어야만 한다면, 벤슨은 비장애인보다 더 유리한 위치에 놓일 것이다.</w:t>
      </w:r>
    </w:p>
    <w:p>
      <w:pPr>
        <w:ind w:left="0" w:firstLine="0" w:hanging="0"/>
        <w:jc w:val="center"/>
      </w:pPr>
      <w:r>
        <w:rPr>
          <w:rFonts w:ascii="Times New Roman" w:hAnsi="굴림체" w:cs="굴림체" w:eastAsia="굴림체"/>
          <w:sz w:val="24"/>
        </w:rPr>
        <w:t>심리적격과 본안에 관한 당사국 견해에 대한 통보인 의견</w:t>
      </w:r>
    </w:p>
    <w:p>
      <w:pPr>
        <w:ind w:left="0" w:firstLine="0" w:hanging="0"/>
        <w:jc w:val="left"/>
      </w:pPr>
      <w:r>
        <w:rPr>
          <w:rFonts w:ascii="Times New Roman" w:hAnsi="굴림체" w:cs="굴림체" w:eastAsia="굴림체"/>
          <w:sz w:val="24"/>
        </w:rPr>
        <w:t>5.1 2017년 9월 11일 통보인들은 당사국 진술에 대한 의견을 제출했다. 통보인들은 진정이 심리적격하다고 주장한다. 통보인들은 국내 기관이 협약에 따른 자신들의 권리를 진실하고 실질적으로 평가하지 않았다고 주장한다.</w:t>
      </w:r>
    </w:p>
    <w:p>
      <w:pPr>
        <w:ind w:left="0" w:firstLine="0" w:hanging="0"/>
        <w:jc w:val="left"/>
      </w:pPr>
      <w:r>
        <w:rPr>
          <w:rFonts w:ascii="Times New Roman" w:hAnsi="굴림체" w:cs="굴림체" w:eastAsia="굴림체"/>
          <w:sz w:val="24"/>
        </w:rPr>
        <w:t>5.2 통보 본안과 관련해 통보인들은 벤슨이 장애를 이유로 차별을 받았는지 판단하기 위해서는 장애를 이유로 사회급여를 받은 것과 이후 통보인들의 가족재결합 신청이 이 급여에 근거하여 거부된 것 사이의 연관성을 실제적으로 평가해야 한다고 주장한다. 통보인들은 대법원이 판결을 통해 벤슨의 상황을 장애가 아닌 다른 이유로 사회급여를 받은 비장애인과 비교했다고 언급한다. 통보인들은 사회급여를 받는 장애인이 마찬가지로 사회급여를 받는 비장애인과 비슷한 상황에 있는 것이 아니므로 이러한 접근법이 협약에 반하는 것이라고 간주한다. 또 통보인들은 벤슨이 임금보조금 프로그램에 따라 고용 승인을 받았다고 하더라도 가족재결합에 관한 결정이 내려지기 위해서는 고용 승인으로부터 3년을 더 기다려야 했으리라는 점에서 대법원이 취한 접근법이 비례적이지 않다고 주장한다. 나아가 통보인들은 프로그램에 따른 고용 승인이 자동으로 이루어지는 것이 아니라 사회서비스 부서의 권한에 속한다고 주장한다.</w:t>
      </w:r>
    </w:p>
    <w:p>
      <w:pPr>
        <w:ind w:left="0" w:firstLine="0" w:hanging="0"/>
        <w:jc w:val="center"/>
      </w:pPr>
      <w:r>
        <w:rPr>
          <w:rFonts w:ascii="Times New Roman" w:hAnsi="굴림체" w:cs="굴림체" w:eastAsia="굴림체"/>
          <w:sz w:val="24"/>
        </w:rPr>
        <w:t>당사국의 추가 견해</w:t>
      </w:r>
    </w:p>
    <w:p>
      <w:pPr>
        <w:ind w:left="0" w:firstLine="0" w:hanging="0"/>
        <w:jc w:val="left"/>
      </w:pPr>
      <w:r>
        <w:rPr>
          <w:rFonts w:ascii="Times New Roman" w:hAnsi="굴림체" w:cs="굴림체" w:eastAsia="굴림체"/>
          <w:sz w:val="24"/>
        </w:rPr>
        <w:t>6.1 2017년 11월 24일 당사국은 통보의 심리적격과 본안에 관한 추가 견해를 제출했다. 당사국은 2017년 7월 10일자 견해를 언급하는 한편 이를 반복하며, 심리적격의 취지에서 통보인들이 일응 입증을 하지 못했다고 주장한다.</w:t>
      </w:r>
    </w:p>
    <w:p>
      <w:pPr>
        <w:ind w:left="0" w:firstLine="0" w:hanging="0"/>
        <w:jc w:val="left"/>
      </w:pPr>
      <w:r>
        <w:rPr>
          <w:rFonts w:ascii="Times New Roman" w:hAnsi="굴림체" w:cs="굴림체" w:eastAsia="굴림체"/>
          <w:sz w:val="24"/>
        </w:rPr>
        <w:t>6.2 위원회가 통보를 심리적격으로 판정하는 한에서 당사국은 도미나의 거주 신청을 거부한 이민상소위원회의 2011년 12월 3일자 결정이 협약 제5조 및 제23조에 반하지 않는다고 주장한다.</w:t>
      </w:r>
    </w:p>
    <w:p>
      <w:pPr>
        <w:ind w:left="0" w:firstLine="0" w:hanging="0"/>
        <w:jc w:val="center"/>
      </w:pPr>
      <w:r>
        <w:rPr>
          <w:rFonts w:ascii="Times New Roman" w:hAnsi="굴림체" w:cs="굴림체" w:eastAsia="굴림체"/>
          <w:sz w:val="24"/>
        </w:rPr>
        <w:t>B. 심리적격과 본안에 대한 위원회 심리</w:t>
      </w:r>
    </w:p>
    <w:p>
      <w:pPr>
        <w:ind w:left="0" w:firstLine="0" w:hanging="0"/>
        <w:jc w:val="center"/>
      </w:pPr>
      <w:r>
        <w:rPr>
          <w:rFonts w:ascii="Times New Roman" w:hAnsi="굴림체" w:cs="굴림체" w:eastAsia="굴림체"/>
          <w:sz w:val="24"/>
        </w:rPr>
        <w:t>심리적격 심리</w:t>
      </w:r>
    </w:p>
    <w:p>
      <w:pPr>
        <w:ind w:left="0" w:firstLine="0" w:hanging="0"/>
        <w:jc w:val="left"/>
      </w:pPr>
      <w:r>
        <w:rPr>
          <w:rFonts w:ascii="Times New Roman" w:hAnsi="굴림체" w:cs="굴림체" w:eastAsia="굴림체"/>
          <w:sz w:val="24"/>
        </w:rPr>
        <w:t>7.1 진정에 포함된 주장을 심사하기 전 위원회는 선택의정서 제2조 및 위원회 절차규칙 제65조에 따라 선택의정서에 따른 해당 사례의 심리적격 여부를 결정해야 한다.</w:t>
      </w:r>
    </w:p>
    <w:p>
      <w:pPr>
        <w:ind w:left="0" w:firstLine="0" w:hanging="0"/>
        <w:jc w:val="left"/>
      </w:pPr>
      <w:r>
        <w:rPr>
          <w:rFonts w:ascii="Times New Roman" w:hAnsi="굴림체" w:cs="굴림체" w:eastAsia="굴림체"/>
          <w:sz w:val="24"/>
        </w:rPr>
        <w:t>7.2 선택의정서 제2조 제c호에서 요구하는 바에 따라 위원회는 같은 사안이 기존에 위원회에서 심의되지 않았으며, 다른 국제 조사 또는 조정 절차에 따라 심의되었거나 심의 중이지도 않음을 확인하였다.</w:t>
      </w:r>
    </w:p>
    <w:p>
      <w:pPr>
        <w:ind w:left="0" w:firstLine="0" w:hanging="0"/>
        <w:jc w:val="left"/>
      </w:pPr>
      <w:r>
        <w:rPr>
          <w:rFonts w:ascii="Times New Roman" w:hAnsi="굴림체" w:cs="굴림체" w:eastAsia="굴림체"/>
          <w:sz w:val="24"/>
        </w:rPr>
        <w:t>7.3 위원회는 가용한 모든 실효적인 국내 구제절차를 소진했다는 통보인들의 주장에 주목한다. 이와 관련한 당사국의 반론이 없으므로 위원회는 선택의정서 제2조 제d호의 요건이 충족된 것으로 간주한다.</w:t>
      </w:r>
    </w:p>
    <w:p>
      <w:pPr>
        <w:ind w:left="0" w:firstLine="0" w:hanging="0"/>
        <w:jc w:val="left"/>
      </w:pPr>
      <w:r>
        <w:rPr>
          <w:rFonts w:ascii="Times New Roman" w:hAnsi="굴림체" w:cs="굴림체" w:eastAsia="굴림체"/>
          <w:sz w:val="24"/>
        </w:rPr>
        <w:t>7.4 위원회는 통보인들의 주장이 소명이 부족하므로 선택의정서 제2조 제e호에 따라 심리불가한 것으로 간주되어야 한다는 당사국 진술에 주목한다. 그러나 위원회는 또한 가족재결합을 승인받기 위해서는 재정 자립 능력이 있어야 한다는 요건이 장애인이 다른 사람들과 동등하게 가족생활에 대한 권리를 누리는 데 장벽이 된다는 통보인들의 주장에 주목한다. 또 위원회는 가족재결합 신청에 관한 결정을 내리면서 국내 기관이 노동시장 접근성의 측면에서 장애인이 다른 사람들에 비해 상당히 비우호적인 상황에 놓여 있으며, 따라서 벤슨이 장애를 이유로 부당하게 불리한 위치에 있음을 유념하지 않았다는 주장에 주목한다. 나아가 위원회는 도미나를 우크라이나로 추방한다면 이는 통보인들과 자녀의 안정된 가족생활에 돌이킬 수 없는 피해를 줄 것이라는 통보인들의 주장에 주목한다. 따라서 위원회는 심리적격의 취지에서 통보인들이 자신들의 주장을 충분히 소명했다고 간주한다.</w:t>
      </w:r>
    </w:p>
    <w:p>
      <w:pPr>
        <w:ind w:left="0" w:firstLine="0" w:hanging="0"/>
        <w:jc w:val="left"/>
      </w:pPr>
      <w:r>
        <w:rPr>
          <w:rFonts w:ascii="Times New Roman" w:hAnsi="굴림체" w:cs="굴림체" w:eastAsia="굴림체"/>
          <w:sz w:val="24"/>
        </w:rPr>
        <w:t>7.5 이에 따라, 또 심리적격에 대한 다른 장애가 없으므로 위원회는 진정을 심리적격으로 선언하고 본안 심사를 진행한다.</w:t>
      </w:r>
    </w:p>
    <w:p>
      <w:pPr>
        <w:ind w:left="0" w:firstLine="0" w:hanging="0"/>
        <w:jc w:val="center"/>
      </w:pPr>
      <w:r>
        <w:rPr>
          <w:rFonts w:ascii="Times New Roman" w:hAnsi="굴림체" w:cs="굴림체" w:eastAsia="굴림체"/>
          <w:sz w:val="24"/>
        </w:rPr>
        <w:t>본안 판단</w:t>
      </w:r>
    </w:p>
    <w:p>
      <w:pPr>
        <w:ind w:left="0" w:firstLine="0" w:hanging="0"/>
        <w:jc w:val="left"/>
      </w:pPr>
      <w:r>
        <w:rPr>
          <w:rFonts w:ascii="Times New Roman" w:hAnsi="굴림체" w:cs="굴림체" w:eastAsia="굴림체"/>
          <w:sz w:val="24"/>
        </w:rPr>
        <w:t>8.1 위원회는 선택의정서 제5조 및 위원회 절차규칙 제73조 제1항에 따라 접수한 모든 정보에 비추어 통보를 검토했다.</w:t>
      </w:r>
    </w:p>
    <w:p>
      <w:pPr>
        <w:ind w:left="0" w:firstLine="0" w:hanging="0"/>
        <w:jc w:val="left"/>
      </w:pPr>
      <w:r>
        <w:rPr>
          <w:rFonts w:ascii="Times New Roman" w:hAnsi="굴림체" w:cs="굴림체" w:eastAsia="굴림체"/>
          <w:sz w:val="24"/>
        </w:rPr>
        <w:t>8.2 당사국 관할기관이 통보인들의 가족재결합 신청을 거부한 점을 고려하여 위원회는 통보인들의 차별 주장에 주목한다. 위원회는 외국인법 제9조 제5항에 따른 요건이 장애인이 다른 사람들과 동등하게 가족생활에 대한 권리를 누리는 데 장벽이 된다는 통보인들의 주장에 주목한다. 또 위원회는 벤슨이 임금보조금 프로그램에 따라 일자리를 구할 가능성이 있었으므로 외국인법 제9조 제5항에 따른 자립 요건을 충족할 합리적 전망이 있었으며, 따라서 적극적사회정책법에 따라 생활비 급여를 받은 이력이 있는 비장애인이 재결합을 신청한 경우와 비교해 그가 직·간접적 차별을 받은 적이 없다는 당사국 주장에 주목한다.</w:t>
      </w:r>
    </w:p>
    <w:p>
      <w:pPr>
        <w:ind w:left="0" w:firstLine="0" w:hanging="0"/>
        <w:jc w:val="left"/>
      </w:pPr>
      <w:r>
        <w:rPr>
          <w:rFonts w:ascii="Times New Roman" w:hAnsi="굴림체" w:cs="굴림체" w:eastAsia="굴림체"/>
          <w:sz w:val="24"/>
        </w:rPr>
        <w:t>8.3 위원회는 협약 제2조에 따라 “장애를 이유로 한 차별”이 장애를 이유로 하는 구별·배제·제한으로서 정치·경제·사회·문화·시민 분야 등에서 모든 인권과 기본적 자유를 다른 사람들과 동등하게 인정·향유·행사하는 것을 손상하거나 무효화하려는 목적 또는 이러한 효과가 있는 것으로 정의되며, 여기에는 정당한 편의 제공 거부를 비롯해 모든 형태의 차별이 포함됨을 환기한다. 또 위원회는 법률이 중립적인 방식으로 적용되더라도 법률이 적용되는 개인의 특수한 상황을 고려하지 않을 때 차별적 효과가 발생할 수 있음을 환기한다. 객관적이고 합리적인 근거 없이 상황이 현저히 다른 사람들을 국가가 차등적으로 대우하지 않을 때 차별 없이 협약에 보장된 권리를 누릴 권리는 침해될 수 있다. *2 ) 위원회는 간접 차별의 경우 표면상으로는 중립적으로 보이는 법률이나 정책, 또는 관행이 장애인에게 불균형적으로 부정적인 영향을 미침을 환기한다. 간접 차별은 접근 가능한 것처럼 보이는 기회가 현실적으로는 지위로 인해 기회 자체의 혜택을 누릴 수 없게 됨으로써 특정인을 배제할 때 발생한다. *3 ) 위원회는 규칙이나 결정의 해로운 영향이 특정 인종, 피부색, 성별, 언어, 종교, 정치적 의견 또는 기타 의견, 출신 국가 또는 사회, 재산, 출생 또는 기타 지위를 가진 사람에게 배타적으로나 불균형적으로 영향을 미치는 경우 이러한 대우가 간접적으로 차별적이라는 점에 주목한다. *4 ) 장애인도 이러한 범주에 속한다. 또 위원회는 협약 제5조 제1항 및 제2항에 따라 당사국은 모든 사람이 법 앞에, 또 법 아래에 평등하고 법의 동등한 보호와 동등한 혜택을 차별 없이 받을 자격이 있음을 인정하는 동시에 장애를 이유로 한 모든 차별을 금지하고 모든 종류의 차별에 맞서 장애인들에게 동등하고 효과적인 법적 보호를 제공해야 할 의무가 있음을 환기한다.</w:t>
      </w:r>
    </w:p>
    <w:p>
      <w:pPr>
        <w:ind w:left="0" w:firstLine="0" w:hanging="0"/>
        <w:jc w:val="left"/>
      </w:pPr>
      <w:r>
        <w:rPr>
          <w:rFonts w:ascii="Times New Roman" w:hAnsi="굴림체" w:cs="굴림체" w:eastAsia="굴림체"/>
          <w:sz w:val="24"/>
        </w:rPr>
        <w:t>8.4 위원회는 본 사례에서 신청에 앞선 3개년 이내에 사회급여를 받은 적이 없어야 한다는 외국인법 제9조 제5항에 따른 요건을 벤슨이 충족하지 못함으로써 통보인들의 가족재결합 신청이 기각된 점에 주목한다. 또 위원회는 벤슨이 2009년 5월 14일부터 적극적사회정책법에 따른 급여를 받았으며, 급여 수령이 임금보조금 프로그램에 따라 고용이 승인된 2015년 10월 중순까지 계속된 점에 주목한다. *5 ) 위원회는 이론의 여지없이 통보인이 장애에 근거해 이러한 급여를 받았다는 점에 주목한다. 위원회는 실제적 평가 지점은 장애로 인해 추후 취업을 할 수 없고, 따라서 외국인법 제9조 제5항의 조건을 충족할 수 없는지 여부이므로 장애의 존재는 그 자체만으로 외국인법 제9조 제5항에 명시된 조건을 면제할 근거가 될 수 없다는 당사국 주장에 주목한다. 또 위원회는 대법원과 이민상소위원회가 임금보조금 프로그램에 따라 일자리를 구할 가능성이 있으므로 벤슨이 외국인법 제9조 제5항에 따른 자립 요건을 충족할 합리적 전망이 있다고 판단했다는 당사국 주장에 주목한다. 나아가 위원회는 벤슨이 장애를 이유로 차별을 받았는지 판단하기 위해서는 장애를 이유로 사회급여를 받은 것과 이후 통보인들의 가족재결합 신청이 이 급여에 근거하여 거부된 것 사이의 연관성을 실제적으로 평가해야 한다는 통보인들의 주장에 주목한다.</w:t>
      </w:r>
    </w:p>
    <w:p>
      <w:pPr>
        <w:ind w:left="0" w:firstLine="0" w:hanging="0"/>
        <w:jc w:val="left"/>
      </w:pPr>
      <w:r>
        <w:rPr>
          <w:rFonts w:ascii="Times New Roman" w:hAnsi="굴림체" w:cs="굴림체" w:eastAsia="굴림체"/>
          <w:sz w:val="24"/>
        </w:rPr>
        <w:t>8.5 본 사례에서 위원회는 통보인들이 가족재결합을 신청할 당시 벤슨이 장애를 이유로 사회급여를 받고 있었으며, 다시 취업을 할 수 있는 위치에 있지 않았던 점에 주목한다. 위원회는 벤슨이 임금보조금 프로그램에 따라 일자리를 구할 가능성이 있으므로 외국인법 제9조 제5항에 따른 자립 요건을 충족할 합리적 전망이 있다는 결론을 내림으로써 국내 기관이 통보인들의 가족재결합 신청을 기각한 점에 주목한다. 그러나 위원회는 또한 가족재결합 신청 당시에는 벤슨이 아직 임금보조금 프로그램 등록 자격을 갖추지 못했으며, 따라서 외국인법 제9조 제5항에 따른 가족재결합 요건을 충족할 수 없었던 점에 주목한다. 또 위원회는 이 시점에서 가족재결합은 이미 통보인들과 아들에게 최우선 과제였던 점에 주목한다. 나아가 위원회는 임금보조금 프로그램에 따른 벤슨의 고용 자격 평가가 2015년 3월에야 마무리되고, 적극적사회정책법에 따라 처음 사회급여를 받기 시작한 때로부터 6년 후이자 가족재결합 신청서를 제출한 지 2년 반이 지난 2015년 10월에야 이 프로그램에 따라 고용된 점에 주목한다. 더불어 위원회는 2015년 10월 벤슨이 임금보조금 프로그램에 대한 자격을 갖추었다 하더라도 외국인법 제9조 제5항에 따른 요건을 충족하기 위해서는 같은 법에 따른 가족재결합 자격을 얻기 전 3년의 추가 대기 기간을 거쳐야만 했으리라는 통보인들의 명확한 주장에 주목한다. 따라서 위원회는 본 사례에서 외국인법 제9조 제5항에 따른 자립 요건이 장애인인 벤슨에게 불균형적인 영향을 미치고, 그가 간접적으로 차별적인 대우를 받았다는 결론을 내린다.</w:t>
      </w:r>
    </w:p>
    <w:p>
      <w:pPr>
        <w:ind w:left="0" w:firstLine="0" w:hanging="0"/>
        <w:jc w:val="left"/>
      </w:pPr>
      <w:r>
        <w:rPr>
          <w:rFonts w:ascii="Times New Roman" w:hAnsi="굴림체" w:cs="굴림체" w:eastAsia="굴림체"/>
          <w:sz w:val="24"/>
        </w:rPr>
        <w:t>8.6 이에 따라 위원회는 관련 국내 기관이 장애인에게 간접적으로 차별적인 기준에 근거해 통보인들의 가족재결합 신청을 기각한 것은 통보인들이 다른 사람들과 동등하게 가족생활에 대한 권리를 향유·행사하는 것을 손상하거나 무효화하는 효과가 있으며, 이는 협약 제5조 제1항 및 제2항에 따른 권리를 단독으로, 또한 제23조 제1항과 연계하여 침해한 것이라고 판정한다.</w:t>
      </w:r>
    </w:p>
    <w:p>
      <w:pPr>
        <w:ind w:left="0" w:firstLine="0" w:hanging="0"/>
        <w:jc w:val="center"/>
      </w:pPr>
      <w:r>
        <w:rPr>
          <w:rFonts w:ascii="Times New Roman" w:hAnsi="굴림체" w:cs="굴림체" w:eastAsia="굴림체"/>
          <w:sz w:val="24"/>
        </w:rPr>
        <w:t>C. 결론 및 권고</w:t>
      </w:r>
    </w:p>
    <w:p>
      <w:pPr>
        <w:ind w:left="0" w:firstLine="0" w:hanging="0"/>
        <w:jc w:val="left"/>
      </w:pPr>
      <w:r>
        <w:rPr>
          <w:rFonts w:ascii="Times New Roman" w:hAnsi="굴림체" w:cs="굴림체" w:eastAsia="굴림체"/>
          <w:sz w:val="24"/>
        </w:rPr>
        <w:t>9. 위원회는 선택의정서 제5조에 따른 심의 결과 당사국이 협약 제5조 제1항 및 제2항에 따른 의무를 단독으로, 또한 제23조 제1항과 연계하여 이행하지 않았다고 본다. 따라서 위원회는 당사국에 다음과 같이 권고한다.</w:t>
      </w:r>
    </w:p>
    <w:p>
      <w:pPr>
        <w:ind w:left="0" w:firstLine="0" w:hanging="0"/>
        <w:jc w:val="left"/>
      </w:pPr>
      <w:r>
        <w:rPr>
          <w:rFonts w:ascii="Times New Roman" w:hAnsi="굴림체" w:cs="굴림체" w:eastAsia="굴림체"/>
          <w:sz w:val="24"/>
        </w:rPr>
        <w:t xml:space="preserve">  (a) 통보인들과 관련해 당사국은 다음을 행할 의무가 있다.</w:t>
      </w:r>
    </w:p>
    <w:p>
      <w:pPr>
        <w:ind w:left="0" w:firstLine="0" w:hanging="0"/>
        <w:jc w:val="left"/>
      </w:pPr>
      <w:r>
        <w:rPr>
          <w:rFonts w:ascii="Times New Roman" w:hAnsi="굴림체" w:cs="굴림체" w:eastAsia="굴림체"/>
          <w:sz w:val="24"/>
        </w:rPr>
        <w:t xml:space="preserve">	(i) 본 통보를 제기하는 데 발생한 법적 비용의 배상을 비롯해 실효적 구제를 제공한다.</w:t>
      </w:r>
    </w:p>
    <w:p>
      <w:pPr>
        <w:ind w:left="0" w:firstLine="0" w:hanging="0"/>
        <w:jc w:val="left"/>
      </w:pPr>
      <w:r>
        <w:rPr>
          <w:rFonts w:ascii="Times New Roman" w:hAnsi="굴림체" w:cs="굴림체" w:eastAsia="굴림체"/>
          <w:sz w:val="24"/>
        </w:rPr>
        <w:t xml:space="preserve">	(ii) 도미나를 우크라이나로 추방하지 않고, 당사국에서 가족생활에 대한 통보인들의 권리가 존중되도록 한다.</w:t>
      </w:r>
    </w:p>
    <w:p>
      <w:pPr>
        <w:ind w:left="0" w:firstLine="0" w:hanging="0"/>
        <w:jc w:val="left"/>
      </w:pPr>
      <w:r>
        <w:rPr>
          <w:rFonts w:ascii="Times New Roman" w:hAnsi="굴림체" w:cs="굴림체" w:eastAsia="굴림체"/>
          <w:sz w:val="24"/>
        </w:rPr>
        <w:t xml:space="preserve">	(iii) 이 견해를 공시하는 한편 모든 부문의 사람들이 이용할 수 있도록 접근 가능한 형식으로 이를 널리 배포한다.</w:t>
      </w:r>
    </w:p>
    <w:p>
      <w:pPr>
        <w:ind w:left="0" w:firstLine="0" w:hanging="0"/>
        <w:jc w:val="left"/>
      </w:pPr>
      <w:r>
        <w:rPr>
          <w:rFonts w:ascii="Times New Roman" w:hAnsi="굴림체" w:cs="굴림체" w:eastAsia="굴림체"/>
          <w:sz w:val="24"/>
        </w:rPr>
        <w:t xml:space="preserve">  (b) 일반사항으로 당사국은 향후 유사한 위반을 예방하기 위한 조치를 취할 의무가 있다. 이와 관련해 위원회는 장애인이 다른 사람들과 동등하게 가족생활에 대한 권리를 누리는 데 걸림돌이 되는 장벽을 국내법에 따라 제거할 것을 당사국에 요구한다.</w:t>
      </w:r>
    </w:p>
    <w:p>
      <w:pPr>
        <w:ind w:left="0" w:firstLine="0" w:hanging="0"/>
        <w:jc w:val="left"/>
      </w:pPr>
      <w:r>
        <w:rPr>
          <w:rFonts w:ascii="Times New Roman" w:hAnsi="굴림체" w:cs="굴림체" w:eastAsia="굴림체"/>
          <w:sz w:val="24"/>
        </w:rPr>
        <w:t>10. 선택의정서 제5조 및 위원회 절차규칙 제75조에 따라 당사국은 본 견해 및 위원회 권고에 따라 취한 조치에 관한 정보를 포함하여 6개월 이내에 위원회에 서면 답변을 제출해야 한다.</w:t>
      </w:r>
    </w:p>
    <w:p>
      <w:pPr>
        <w:ind w:left="0" w:firstLine="0" w:hanging="0"/>
        <w:jc w:val="left"/>
      </w:pPr>
      <w:r>
        <w:rPr>
          <w:rFonts w:ascii="Times New Roman" w:hAnsi="굴림체" w:cs="굴림체" w:eastAsia="굴림체"/>
          <w:sz w:val="24"/>
        </w:rPr>
        <w:t/>
      </w:r>
    </w:p>
    <w:p>
      <w:pPr>
        <w:ind w:left="0" w:firstLine="0" w:hanging="0"/>
        <w:jc w:val="left"/>
      </w:pPr>
      <w:r>
        <w:rPr>
          <w:rFonts w:ascii="Times New Roman" w:hAnsi="굴림체" w:cs="굴림체" w:eastAsia="굴림체"/>
          <w:sz w:val="24"/>
        </w:rPr>
        <w:t>[ 각주 ]</w:t>
      </w:r>
    </w:p>
    <w:p>
      <w:pPr>
        <w:ind w:left="0" w:firstLine="0" w:hanging="0"/>
        <w:jc w:val="left"/>
      </w:pPr>
      <w:r>
        <w:rPr>
          <w:rFonts w:ascii="Times New Roman" w:hAnsi="굴림체" w:cs="굴림체" w:eastAsia="굴림체"/>
          <w:sz w:val="24"/>
        </w:rPr>
        <w:t>1. 당사국은 유럽인권재판소, 압둘라지즈, 카발레스, 발칸달리 대 영국(Abdulaziz, Cabales and Balkandali v. The United Kingdom), 신청 제9214/80호, 제9473/81호, 제9474/81호, 1985년 5월 28일자 판결을 언급한다.</w:t>
      </w:r>
    </w:p>
    <w:p>
      <w:pPr>
        <w:ind w:left="0" w:firstLine="0" w:hanging="0"/>
        <w:jc w:val="left"/>
      </w:pPr>
      <w:r>
        <w:rPr>
          <w:rFonts w:ascii="Times New Roman" w:hAnsi="굴림체" w:cs="굴림체" w:eastAsia="굴림체"/>
          <w:sz w:val="24"/>
        </w:rPr>
        <w:t>2. H. M. 대 스웨덴(H. M. v. Sweden, CRPD/C/7/D/3/2011), 단락 8.3.</w:t>
      </w:r>
    </w:p>
    <w:p>
      <w:pPr>
        <w:ind w:left="0" w:firstLine="0" w:hanging="0"/>
        <w:jc w:val="left"/>
      </w:pPr>
      <w:r>
        <w:rPr>
          <w:rFonts w:ascii="Times New Roman" w:hAnsi="굴림체" w:cs="굴림체" w:eastAsia="굴림체"/>
          <w:sz w:val="24"/>
        </w:rPr>
        <w:t>3. 평등과 차별금지에 관한 일반논평 제6호(General comment No. 6 (2018) on equality and non-discrimination), 단락 18(b).</w:t>
      </w:r>
    </w:p>
    <w:p>
      <w:pPr>
        <w:ind w:left="0" w:firstLine="0" w:hanging="0"/>
        <w:jc w:val="left"/>
      </w:pPr>
      <w:r>
        <w:rPr>
          <w:rFonts w:ascii="Times New Roman" w:hAnsi="굴림체" w:cs="굴림체" w:eastAsia="굴림체"/>
          <w:sz w:val="24"/>
        </w:rPr>
        <w:t>4. 예컨대, 알타머 외 대 오스트리아(Althammer et al. v. Austria, CCPR/C/78/D/998/2001), 단락 10.2.</w:t>
      </w:r>
    </w:p>
    <w:p>
      <w:pPr>
        <w:ind w:left="0" w:firstLine="0" w:hanging="0"/>
        <w:jc w:val="left"/>
      </w:pPr>
      <w:r>
        <w:rPr>
          <w:rFonts w:ascii="Times New Roman" w:hAnsi="굴림체" w:cs="굴림체" w:eastAsia="굴림체"/>
          <w:sz w:val="24"/>
        </w:rPr>
        <w:t>5. 동부고등법원의 2015년 12월 22일자 결정문에 따름.</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