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C14F44C" w14:textId="77777777" w:rsidTr="005E08DF">
        <w:trPr>
          <w:cantSplit/>
          <w:trHeight w:hRule="exact" w:val="851"/>
        </w:trPr>
        <w:tc>
          <w:tcPr>
            <w:tcW w:w="1276" w:type="dxa"/>
            <w:tcBorders>
              <w:bottom w:val="single" w:sz="4" w:space="0" w:color="auto"/>
            </w:tcBorders>
            <w:vAlign w:val="bottom"/>
          </w:tcPr>
          <w:p w14:paraId="3A42C1EC" w14:textId="77777777" w:rsidR="00C9007B" w:rsidRDefault="00C9007B" w:rsidP="005E08DF">
            <w:pPr>
              <w:spacing w:after="80"/>
            </w:pPr>
          </w:p>
        </w:tc>
        <w:tc>
          <w:tcPr>
            <w:tcW w:w="2268" w:type="dxa"/>
            <w:tcBorders>
              <w:bottom w:val="single" w:sz="4" w:space="0" w:color="auto"/>
            </w:tcBorders>
            <w:vAlign w:val="bottom"/>
          </w:tcPr>
          <w:p w14:paraId="2E16595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9DBCB2" w14:textId="77777777" w:rsidR="00C9007B" w:rsidRDefault="001802B4" w:rsidP="00462738">
            <w:pPr>
              <w:suppressAutoHyphens w:val="0"/>
              <w:jc w:val="right"/>
            </w:pPr>
            <w:r w:rsidRPr="00462738">
              <w:rPr>
                <w:sz w:val="36"/>
                <w:szCs w:val="18"/>
              </w:rPr>
              <w:t>CRPD</w:t>
            </w:r>
            <w:r>
              <w:t>/C/28/D/67/2019</w:t>
            </w:r>
          </w:p>
          <w:p w14:paraId="3C5CB668" w14:textId="77777777" w:rsidR="00462738" w:rsidRDefault="00462738" w:rsidP="00462738">
            <w:pPr>
              <w:suppressAutoHyphens w:val="0"/>
              <w:spacing w:line="1440" w:lineRule="auto"/>
              <w:jc w:val="right"/>
            </w:pPr>
            <w:r w:rsidRPr="003C42CD">
              <w:rPr>
                <w:sz w:val="36"/>
                <w:szCs w:val="36"/>
              </w:rPr>
              <w:t>CRPD</w:t>
            </w:r>
            <w:r w:rsidRPr="003C42CD">
              <w:t>/</w:t>
            </w:r>
            <w:r w:rsidRPr="004579C4">
              <w:t>C/28/D/68/2019</w:t>
            </w:r>
          </w:p>
          <w:p w14:paraId="2A6F54CD" w14:textId="2F66D247" w:rsidR="00462738" w:rsidRDefault="00462738" w:rsidP="001802B4">
            <w:pPr>
              <w:suppressAutoHyphens w:val="0"/>
              <w:spacing w:after="20"/>
              <w:jc w:val="right"/>
            </w:pPr>
          </w:p>
        </w:tc>
      </w:tr>
      <w:tr w:rsidR="00C9007B" w14:paraId="0F31C487" w14:textId="77777777" w:rsidTr="005E08DF">
        <w:trPr>
          <w:cantSplit/>
          <w:trHeight w:hRule="exact" w:val="2835"/>
        </w:trPr>
        <w:tc>
          <w:tcPr>
            <w:tcW w:w="1276" w:type="dxa"/>
            <w:tcBorders>
              <w:top w:val="single" w:sz="4" w:space="0" w:color="auto"/>
              <w:bottom w:val="single" w:sz="12" w:space="0" w:color="auto"/>
            </w:tcBorders>
          </w:tcPr>
          <w:p w14:paraId="1AECC773" w14:textId="77777777" w:rsidR="00C9007B" w:rsidRDefault="00C9007B" w:rsidP="005E08DF">
            <w:pPr>
              <w:spacing w:before="120"/>
              <w:jc w:val="center"/>
            </w:pPr>
            <w:r>
              <w:rPr>
                <w:noProof/>
                <w:lang w:val="fr-CH" w:eastAsia="fr-CH"/>
              </w:rPr>
              <w:drawing>
                <wp:inline distT="0" distB="0" distL="0" distR="0" wp14:anchorId="6F82B924" wp14:editId="0505845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9EEF1B" w14:textId="647CC403" w:rsidR="00C9007B" w:rsidRDefault="00C9007B" w:rsidP="00462738">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2A47C47D" w14:textId="77777777" w:rsidR="00C9007B" w:rsidRDefault="001802B4" w:rsidP="001802B4">
            <w:pPr>
              <w:spacing w:before="240"/>
            </w:pPr>
            <w:r>
              <w:t>Distr.: General</w:t>
            </w:r>
          </w:p>
          <w:p w14:paraId="1E49B58C" w14:textId="1C8C1F18" w:rsidR="001802B4" w:rsidRDefault="001802B4" w:rsidP="001802B4">
            <w:pPr>
              <w:suppressAutoHyphens w:val="0"/>
            </w:pPr>
            <w:r>
              <w:t>22 May 2023</w:t>
            </w:r>
          </w:p>
          <w:p w14:paraId="0CC66FF0" w14:textId="77777777" w:rsidR="001802B4" w:rsidRDefault="001802B4" w:rsidP="001802B4">
            <w:pPr>
              <w:suppressAutoHyphens w:val="0"/>
            </w:pPr>
          </w:p>
          <w:p w14:paraId="33C106E1" w14:textId="77777777" w:rsidR="001802B4" w:rsidRDefault="001802B4" w:rsidP="001802B4">
            <w:pPr>
              <w:suppressAutoHyphens w:val="0"/>
            </w:pPr>
            <w:r>
              <w:t>Original: English</w:t>
            </w:r>
          </w:p>
        </w:tc>
      </w:tr>
    </w:tbl>
    <w:p w14:paraId="6381A5BE" w14:textId="77777777" w:rsidR="00F37149" w:rsidRDefault="00F37149" w:rsidP="00F37149">
      <w:pPr>
        <w:spacing w:before="120"/>
        <w:rPr>
          <w:b/>
          <w:bCs/>
          <w:sz w:val="24"/>
          <w:szCs w:val="24"/>
        </w:rPr>
      </w:pPr>
      <w:r>
        <w:rPr>
          <w:b/>
          <w:bCs/>
          <w:sz w:val="24"/>
          <w:szCs w:val="24"/>
          <w:lang w:val="en-US"/>
        </w:rPr>
        <w:t>Committee on the Rights of Persons with Disabilities</w:t>
      </w:r>
    </w:p>
    <w:p w14:paraId="7FC055D7" w14:textId="79741B19" w:rsidR="00F37149" w:rsidRPr="002F3906" w:rsidRDefault="00F37149" w:rsidP="00F37149">
      <w:pPr>
        <w:pStyle w:val="HChG"/>
      </w:pPr>
      <w:r w:rsidRPr="002F3906">
        <w:tab/>
      </w:r>
      <w:r w:rsidRPr="002F3906">
        <w:tab/>
      </w:r>
      <w:r w:rsidRPr="00B73F99">
        <w:t>Views adopted by the Committee under article</w:t>
      </w:r>
      <w:r w:rsidR="00515567">
        <w:t xml:space="preserve"> </w:t>
      </w:r>
      <w:r w:rsidRPr="00B73F99">
        <w:t xml:space="preserve">5 of the Optional Protocol, concerning </w:t>
      </w:r>
      <w:r>
        <w:t>c</w:t>
      </w:r>
      <w:r w:rsidRPr="002F3906">
        <w:t>ommunication</w:t>
      </w:r>
      <w:r>
        <w:t>s</w:t>
      </w:r>
      <w:r w:rsidRPr="002F3906">
        <w:t xml:space="preserve"> </w:t>
      </w:r>
      <w:r w:rsidRPr="004579C4">
        <w:t xml:space="preserve">No. 67/2019 </w:t>
      </w:r>
      <w:r w:rsidRPr="00752EDF">
        <w:t>and</w:t>
      </w:r>
      <w:r w:rsidRPr="004579C4">
        <w:t xml:space="preserve"> </w:t>
      </w:r>
      <w:r>
        <w:t xml:space="preserve">No. </w:t>
      </w:r>
      <w:r w:rsidRPr="004579C4">
        <w:t>68/2019</w:t>
      </w:r>
      <w:r w:rsidR="00595BBE" w:rsidRPr="00AC06CB">
        <w:rPr>
          <w:rStyle w:val="FootnoteReference"/>
          <w:b w:val="0"/>
          <w:bCs/>
          <w:sz w:val="20"/>
          <w:szCs w:val="22"/>
          <w:vertAlign w:val="baseline"/>
        </w:rPr>
        <w:footnoteReference w:customMarkFollows="1" w:id="1"/>
        <w:t>*</w:t>
      </w:r>
      <w:r w:rsidRPr="00AE1083">
        <w:rPr>
          <w:b w:val="0"/>
          <w:bCs/>
          <w:position w:val="6"/>
          <w:sz w:val="20"/>
        </w:rPr>
        <w:t>,</w:t>
      </w:r>
      <w:r w:rsidR="00AE1083">
        <w:rPr>
          <w:b w:val="0"/>
          <w:bCs/>
          <w:sz w:val="20"/>
          <w:vertAlign w:val="superscript"/>
        </w:rPr>
        <w:t xml:space="preserve"> </w:t>
      </w:r>
      <w:r w:rsidRPr="005A7028">
        <w:rPr>
          <w:b w:val="0"/>
          <w:bCs/>
          <w:sz w:val="20"/>
        </w:rPr>
        <w:t>**</w:t>
      </w:r>
    </w:p>
    <w:p w14:paraId="46BAB20C" w14:textId="1AB3CBAC" w:rsidR="00A64E0C" w:rsidRPr="00515567" w:rsidRDefault="00A64E0C" w:rsidP="00515567">
      <w:pPr>
        <w:pStyle w:val="SingleTxtG"/>
        <w:ind w:left="4536" w:hanging="3402"/>
        <w:jc w:val="left"/>
      </w:pPr>
      <w:r w:rsidRPr="00515567">
        <w:rPr>
          <w:i/>
        </w:rPr>
        <w:t>Communications submitted by:</w:t>
      </w:r>
      <w:r w:rsidRPr="00515567">
        <w:rPr>
          <w:i/>
        </w:rPr>
        <w:tab/>
      </w:r>
      <w:r w:rsidRPr="00515567">
        <w:t xml:space="preserve">Shaaban al-Sayed and </w:t>
      </w:r>
      <w:proofErr w:type="spellStart"/>
      <w:r w:rsidRPr="00515567">
        <w:t>Gashao</w:t>
      </w:r>
      <w:proofErr w:type="spellEnd"/>
      <w:r w:rsidRPr="00515567">
        <w:t xml:space="preserve"> </w:t>
      </w:r>
      <w:proofErr w:type="spellStart"/>
      <w:r w:rsidRPr="00515567">
        <w:t>Mangisto</w:t>
      </w:r>
      <w:proofErr w:type="spellEnd"/>
      <w:r w:rsidRPr="00515567">
        <w:rPr>
          <w:lang w:val="en-US"/>
        </w:rPr>
        <w:t>(</w:t>
      </w:r>
      <w:r w:rsidRPr="00515567">
        <w:t xml:space="preserve">represented by counsel, International Human Rights Clinic of the Clinical Legal Education </w:t>
      </w:r>
      <w:proofErr w:type="spellStart"/>
      <w:r w:rsidRPr="00515567">
        <w:t>Center</w:t>
      </w:r>
      <w:proofErr w:type="spellEnd"/>
      <w:r w:rsidRPr="00515567">
        <w:t xml:space="preserve"> at the Hebrew University of Jerusalem)</w:t>
      </w:r>
    </w:p>
    <w:p w14:paraId="034D5F57" w14:textId="77777777" w:rsidR="00A64E0C" w:rsidRPr="00515567" w:rsidRDefault="00A64E0C" w:rsidP="00515567">
      <w:pPr>
        <w:pStyle w:val="SingleTxtG"/>
        <w:ind w:left="4536" w:hanging="3402"/>
        <w:jc w:val="left"/>
      </w:pPr>
      <w:r w:rsidRPr="00515567">
        <w:rPr>
          <w:i/>
        </w:rPr>
        <w:t>Alleged victims:</w:t>
      </w:r>
      <w:r w:rsidRPr="00515567">
        <w:rPr>
          <w:i/>
        </w:rPr>
        <w:tab/>
      </w:r>
      <w:r w:rsidRPr="00515567">
        <w:t xml:space="preserve">Hisham al-Sayed and Avera </w:t>
      </w:r>
      <w:proofErr w:type="spellStart"/>
      <w:r w:rsidRPr="00515567">
        <w:t>Mangisto</w:t>
      </w:r>
      <w:proofErr w:type="spellEnd"/>
    </w:p>
    <w:p w14:paraId="4A4F2C13" w14:textId="77777777" w:rsidR="00A64E0C" w:rsidRPr="00515567" w:rsidRDefault="00A64E0C" w:rsidP="00515567">
      <w:pPr>
        <w:pStyle w:val="SingleTxtG"/>
        <w:tabs>
          <w:tab w:val="clear" w:pos="1701"/>
          <w:tab w:val="clear" w:pos="2268"/>
        </w:tabs>
        <w:ind w:left="4536" w:hanging="3402"/>
        <w:jc w:val="left"/>
      </w:pPr>
      <w:r w:rsidRPr="00515567">
        <w:rPr>
          <w:i/>
        </w:rPr>
        <w:t>State party:</w:t>
      </w:r>
      <w:r w:rsidRPr="00515567">
        <w:rPr>
          <w:i/>
        </w:rPr>
        <w:tab/>
      </w:r>
      <w:r w:rsidRPr="00515567">
        <w:t>State of Palestine</w:t>
      </w:r>
    </w:p>
    <w:p w14:paraId="5A5AB9D5" w14:textId="77777777" w:rsidR="00A64E0C" w:rsidRPr="00515567" w:rsidRDefault="00A64E0C" w:rsidP="00515567">
      <w:pPr>
        <w:pStyle w:val="SingleTxtG"/>
        <w:ind w:left="4536" w:hanging="3402"/>
        <w:jc w:val="left"/>
      </w:pPr>
      <w:r w:rsidRPr="00515567">
        <w:rPr>
          <w:i/>
        </w:rPr>
        <w:t>Date of communications:</w:t>
      </w:r>
      <w:r w:rsidRPr="00515567">
        <w:rPr>
          <w:i/>
        </w:rPr>
        <w:tab/>
      </w:r>
      <w:r w:rsidRPr="00515567">
        <w:t>12 September 2019 (initial submission)</w:t>
      </w:r>
    </w:p>
    <w:p w14:paraId="6598048E" w14:textId="54579A56" w:rsidR="00A64E0C" w:rsidRPr="00515567" w:rsidRDefault="00A64E0C" w:rsidP="00515567">
      <w:pPr>
        <w:pStyle w:val="SingleTxtG"/>
        <w:ind w:left="4536" w:hanging="3402"/>
        <w:jc w:val="left"/>
      </w:pPr>
      <w:r w:rsidRPr="00515567">
        <w:rPr>
          <w:i/>
        </w:rPr>
        <w:t>Document references:</w:t>
      </w:r>
      <w:r w:rsidRPr="00515567">
        <w:rPr>
          <w:i/>
        </w:rPr>
        <w:tab/>
      </w:r>
      <w:r w:rsidRPr="00515567">
        <w:t>Decision taken pursuant to rules 64 and 70 of the Committee</w:t>
      </w:r>
      <w:r w:rsidR="004C4CBD">
        <w:t>’</w:t>
      </w:r>
      <w:r w:rsidRPr="00515567">
        <w:t xml:space="preserve">s rules of procedure, transmitted to the State party on 20 September 2019 (not issued in document form) </w:t>
      </w:r>
    </w:p>
    <w:p w14:paraId="13F3B62C" w14:textId="77777777" w:rsidR="00A64E0C" w:rsidRPr="00515567" w:rsidRDefault="00A64E0C" w:rsidP="00515567">
      <w:pPr>
        <w:pStyle w:val="SingleTxtG"/>
        <w:ind w:left="4536" w:hanging="3402"/>
        <w:jc w:val="left"/>
      </w:pPr>
      <w:r w:rsidRPr="00515567">
        <w:rPr>
          <w:i/>
        </w:rPr>
        <w:t>Date of adoption of Views:</w:t>
      </w:r>
      <w:r w:rsidRPr="00515567">
        <w:rPr>
          <w:i/>
        </w:rPr>
        <w:tab/>
      </w:r>
      <w:r w:rsidRPr="00515567">
        <w:t>23 March 2023</w:t>
      </w:r>
    </w:p>
    <w:p w14:paraId="07A06FC2" w14:textId="77777777" w:rsidR="00A64E0C" w:rsidRPr="00515567" w:rsidRDefault="00A64E0C" w:rsidP="00515567">
      <w:pPr>
        <w:pStyle w:val="SingleTxtG"/>
        <w:ind w:left="4536" w:hanging="3402"/>
        <w:jc w:val="left"/>
      </w:pPr>
      <w:r w:rsidRPr="00515567">
        <w:rPr>
          <w:i/>
          <w:iCs/>
        </w:rPr>
        <w:t>Subject matter:</w:t>
      </w:r>
      <w:r w:rsidRPr="00515567">
        <w:rPr>
          <w:i/>
        </w:rPr>
        <w:tab/>
      </w:r>
      <w:r w:rsidRPr="00515567">
        <w:t>Disappearance and incommunicado detention of persons with psychosocial disabilities</w:t>
      </w:r>
    </w:p>
    <w:p w14:paraId="30EC1AAD" w14:textId="77777777" w:rsidR="00A64E0C" w:rsidRPr="00515567" w:rsidRDefault="00A64E0C" w:rsidP="00515567">
      <w:pPr>
        <w:pStyle w:val="SingleTxtG"/>
        <w:ind w:left="4536" w:hanging="3402"/>
        <w:jc w:val="left"/>
      </w:pPr>
      <w:r w:rsidRPr="00515567">
        <w:rPr>
          <w:i/>
          <w:iCs/>
        </w:rPr>
        <w:t>Procedural issues</w:t>
      </w:r>
      <w:r w:rsidRPr="00515567">
        <w:rPr>
          <w:i/>
        </w:rPr>
        <w:t>:</w:t>
      </w:r>
      <w:r w:rsidRPr="00515567">
        <w:rPr>
          <w:i/>
          <w:iCs/>
        </w:rPr>
        <w:tab/>
      </w:r>
      <w:r w:rsidRPr="00515567">
        <w:t xml:space="preserve">Examination under another procedure of international investigation or settlement; exhaustion of domestic remedies; substantiation of claims; admissibility </w:t>
      </w:r>
      <w:proofErr w:type="spellStart"/>
      <w:r w:rsidRPr="00515567">
        <w:rPr>
          <w:i/>
          <w:iCs/>
        </w:rPr>
        <w:t>ratione</w:t>
      </w:r>
      <w:proofErr w:type="spellEnd"/>
      <w:r w:rsidRPr="00515567">
        <w:rPr>
          <w:i/>
          <w:iCs/>
        </w:rPr>
        <w:t xml:space="preserve"> </w:t>
      </w:r>
      <w:proofErr w:type="spellStart"/>
      <w:r w:rsidRPr="00515567">
        <w:rPr>
          <w:i/>
          <w:iCs/>
        </w:rPr>
        <w:t>temporis</w:t>
      </w:r>
      <w:proofErr w:type="spellEnd"/>
    </w:p>
    <w:p w14:paraId="6CC83756" w14:textId="77777777" w:rsidR="00A64E0C" w:rsidRPr="00515567" w:rsidRDefault="00A64E0C" w:rsidP="00515567">
      <w:pPr>
        <w:pStyle w:val="SingleTxtG"/>
        <w:ind w:left="4536" w:hanging="3402"/>
        <w:jc w:val="left"/>
      </w:pPr>
      <w:r w:rsidRPr="00515567">
        <w:rPr>
          <w:i/>
          <w:iCs/>
        </w:rPr>
        <w:t>Substantive issues:</w:t>
      </w:r>
      <w:r w:rsidRPr="00515567">
        <w:rPr>
          <w:i/>
          <w:iCs/>
        </w:rPr>
        <w:tab/>
      </w:r>
      <w:r w:rsidRPr="00515567">
        <w:t>Right to life; protection and safety in situations of risk and humanitarian emergencies; equal recognition before the law; liberty and security of the person; freedom from torture or cruel, inhuman or degrading treatment or punishment; freedom from exploitation, violence and abuse; right to the enjoyment of the highest attainable standard of health</w:t>
      </w:r>
    </w:p>
    <w:p w14:paraId="57FFCBF0" w14:textId="77777777" w:rsidR="00A64E0C" w:rsidRPr="00515567" w:rsidRDefault="00A64E0C" w:rsidP="00515567">
      <w:pPr>
        <w:pStyle w:val="SingleTxtG"/>
        <w:ind w:left="4536" w:hanging="3402"/>
        <w:jc w:val="left"/>
      </w:pPr>
      <w:r w:rsidRPr="00515567">
        <w:rPr>
          <w:i/>
          <w:iCs/>
        </w:rPr>
        <w:lastRenderedPageBreak/>
        <w:t>Articles of the Convention</w:t>
      </w:r>
      <w:r w:rsidRPr="00515567">
        <w:rPr>
          <w:i/>
        </w:rPr>
        <w:t>:</w:t>
      </w:r>
      <w:r w:rsidRPr="00515567">
        <w:rPr>
          <w:i/>
          <w:iCs/>
        </w:rPr>
        <w:tab/>
      </w:r>
      <w:r w:rsidRPr="00515567">
        <w:rPr>
          <w:bCs/>
        </w:rPr>
        <w:t>4, 10–12, 14–16 and 25</w:t>
      </w:r>
    </w:p>
    <w:p w14:paraId="0B3F8D08" w14:textId="77777777" w:rsidR="00A64E0C" w:rsidRPr="00515567" w:rsidRDefault="00A64E0C" w:rsidP="00515567">
      <w:pPr>
        <w:pStyle w:val="SingleTxtG"/>
        <w:spacing w:after="240"/>
        <w:ind w:left="4536" w:hanging="3402"/>
        <w:jc w:val="left"/>
      </w:pPr>
      <w:r w:rsidRPr="00515567">
        <w:rPr>
          <w:i/>
          <w:iCs/>
        </w:rPr>
        <w:t>Article of the Optional Protocol:</w:t>
      </w:r>
      <w:r w:rsidRPr="00515567">
        <w:rPr>
          <w:i/>
          <w:iCs/>
        </w:rPr>
        <w:tab/>
      </w:r>
      <w:r w:rsidRPr="00515567">
        <w:t>2 (c)–(f)</w:t>
      </w:r>
    </w:p>
    <w:p w14:paraId="232D93CB" w14:textId="77777777" w:rsidR="00F37149" w:rsidRPr="009543A7" w:rsidRDefault="00F37149" w:rsidP="00F37149">
      <w:pPr>
        <w:pStyle w:val="SingleTxtG"/>
      </w:pPr>
      <w:r>
        <w:t>1.1</w:t>
      </w:r>
      <w:r>
        <w:tab/>
        <w:t>The authors of the communications are</w:t>
      </w:r>
      <w:r w:rsidRPr="009543A7">
        <w:t xml:space="preserve"> Shaaban al-Sayed</w:t>
      </w:r>
      <w:r w:rsidRPr="004579C4">
        <w:rPr>
          <w:rFonts w:eastAsia="Times New Roman"/>
          <w:bCs/>
          <w:lang w:eastAsia="en-US"/>
        </w:rPr>
        <w:t xml:space="preserve"> </w:t>
      </w:r>
      <w:r>
        <w:rPr>
          <w:rFonts w:eastAsia="Times New Roman"/>
          <w:bCs/>
          <w:lang w:eastAsia="en-US"/>
        </w:rPr>
        <w:t xml:space="preserve">and </w:t>
      </w:r>
      <w:proofErr w:type="spellStart"/>
      <w:r w:rsidRPr="004579C4">
        <w:rPr>
          <w:bCs/>
        </w:rPr>
        <w:t>Gashao</w:t>
      </w:r>
      <w:proofErr w:type="spellEnd"/>
      <w:r w:rsidRPr="004579C4">
        <w:rPr>
          <w:bCs/>
        </w:rPr>
        <w:t xml:space="preserve"> </w:t>
      </w:r>
      <w:proofErr w:type="spellStart"/>
      <w:r w:rsidRPr="004579C4">
        <w:rPr>
          <w:bCs/>
        </w:rPr>
        <w:t>Mangisto</w:t>
      </w:r>
      <w:proofErr w:type="spellEnd"/>
      <w:r w:rsidRPr="009543A7">
        <w:t xml:space="preserve">, </w:t>
      </w:r>
      <w:r>
        <w:t xml:space="preserve">both </w:t>
      </w:r>
      <w:r w:rsidRPr="009543A7">
        <w:t>national</w:t>
      </w:r>
      <w:r>
        <w:t>s</w:t>
      </w:r>
      <w:r w:rsidRPr="009543A7">
        <w:t xml:space="preserve"> of Israel born in 1960</w:t>
      </w:r>
      <w:r>
        <w:t xml:space="preserve"> and 1981 respectively</w:t>
      </w:r>
      <w:r w:rsidRPr="009543A7">
        <w:t xml:space="preserve">. </w:t>
      </w:r>
      <w:r>
        <w:t>Mr. Al-Sayed</w:t>
      </w:r>
      <w:r w:rsidRPr="009543A7">
        <w:t xml:space="preserve"> </w:t>
      </w:r>
      <w:r>
        <w:t xml:space="preserve">is </w:t>
      </w:r>
      <w:r w:rsidRPr="009543A7">
        <w:t>submit</w:t>
      </w:r>
      <w:r>
        <w:t>ting</w:t>
      </w:r>
      <w:r w:rsidRPr="009543A7">
        <w:t xml:space="preserve"> th</w:t>
      </w:r>
      <w:r>
        <w:t>e</w:t>
      </w:r>
      <w:r w:rsidRPr="009543A7">
        <w:t xml:space="preserve"> communication on behalf of his son, Hisham al-Sayed</w:t>
      </w:r>
      <w:r>
        <w:t>,</w:t>
      </w:r>
      <w:r w:rsidRPr="009543A7">
        <w:t xml:space="preserve"> a</w:t>
      </w:r>
      <w:r>
        <w:t xml:space="preserve"> national</w:t>
      </w:r>
      <w:r w:rsidRPr="00A53AB2">
        <w:t xml:space="preserve"> of Israel of Bedouin descent</w:t>
      </w:r>
      <w:r>
        <w:t xml:space="preserve"> </w:t>
      </w:r>
      <w:r w:rsidRPr="009543A7">
        <w:t xml:space="preserve">born </w:t>
      </w:r>
      <w:r>
        <w:t>in</w:t>
      </w:r>
      <w:r w:rsidRPr="009543A7">
        <w:t xml:space="preserve"> 1988. </w:t>
      </w:r>
      <w:r>
        <w:t xml:space="preserve">Mr. </w:t>
      </w:r>
      <w:proofErr w:type="spellStart"/>
      <w:r>
        <w:t>Mangisto</w:t>
      </w:r>
      <w:proofErr w:type="spellEnd"/>
      <w:r>
        <w:t xml:space="preserve"> is </w:t>
      </w:r>
      <w:r w:rsidRPr="004579C4">
        <w:rPr>
          <w:bCs/>
        </w:rPr>
        <w:t>submit</w:t>
      </w:r>
      <w:r>
        <w:rPr>
          <w:bCs/>
        </w:rPr>
        <w:t>ting</w:t>
      </w:r>
      <w:r w:rsidRPr="004579C4">
        <w:rPr>
          <w:bCs/>
        </w:rPr>
        <w:t xml:space="preserve"> the communication on behalf of his brother, Avera </w:t>
      </w:r>
      <w:proofErr w:type="spellStart"/>
      <w:r w:rsidRPr="004579C4">
        <w:rPr>
          <w:bCs/>
        </w:rPr>
        <w:t>Mangisto</w:t>
      </w:r>
      <w:proofErr w:type="spellEnd"/>
      <w:r w:rsidRPr="004579C4">
        <w:rPr>
          <w:bCs/>
        </w:rPr>
        <w:t xml:space="preserve">, a national of Israel of Ethiopian descent </w:t>
      </w:r>
      <w:r w:rsidRPr="004579C4">
        <w:t>born in 1986</w:t>
      </w:r>
      <w:r>
        <w:t xml:space="preserve">. </w:t>
      </w:r>
      <w:r w:rsidRPr="009543A7">
        <w:t>The author</w:t>
      </w:r>
      <w:r>
        <w:t>s</w:t>
      </w:r>
      <w:r w:rsidRPr="009543A7">
        <w:t xml:space="preserve"> </w:t>
      </w:r>
      <w:r>
        <w:t>note</w:t>
      </w:r>
      <w:r w:rsidRPr="009543A7">
        <w:t xml:space="preserve"> that </w:t>
      </w:r>
      <w:r>
        <w:t>both alleged victims have been diagnosed with psychosocial</w:t>
      </w:r>
      <w:r w:rsidRPr="009543A7">
        <w:t xml:space="preserve"> disabilit</w:t>
      </w:r>
      <w:r>
        <w:t>ies</w:t>
      </w:r>
      <w:r w:rsidRPr="009543A7">
        <w:t xml:space="preserve">, and that </w:t>
      </w:r>
      <w:r>
        <w:t xml:space="preserve">they </w:t>
      </w:r>
      <w:r w:rsidRPr="009543A7">
        <w:t xml:space="preserve">crossed into the Gaza Strip </w:t>
      </w:r>
      <w:r w:rsidRPr="004579C4">
        <w:t>on 20 April 2015</w:t>
      </w:r>
      <w:r>
        <w:t xml:space="preserve"> (</w:t>
      </w:r>
      <w:r w:rsidRPr="004579C4">
        <w:t>Hisham al-Sayed</w:t>
      </w:r>
      <w:r>
        <w:t xml:space="preserve">) and on </w:t>
      </w:r>
      <w:r w:rsidRPr="004579C4">
        <w:t>7 September 2014</w:t>
      </w:r>
      <w:r>
        <w:t xml:space="preserve"> (</w:t>
      </w:r>
      <w:r w:rsidRPr="004579C4">
        <w:rPr>
          <w:bCs/>
        </w:rPr>
        <w:t xml:space="preserve">Avera </w:t>
      </w:r>
      <w:proofErr w:type="spellStart"/>
      <w:r w:rsidRPr="004579C4">
        <w:rPr>
          <w:bCs/>
        </w:rPr>
        <w:t>Mangisto</w:t>
      </w:r>
      <w:proofErr w:type="spellEnd"/>
      <w:r>
        <w:rPr>
          <w:bCs/>
        </w:rPr>
        <w:t xml:space="preserve">), where they </w:t>
      </w:r>
      <w:r>
        <w:t>were allegedly subjected to enforced disappearance</w:t>
      </w:r>
      <w:r w:rsidRPr="009543A7">
        <w:t>. The author</w:t>
      </w:r>
      <w:r>
        <w:t>s</w:t>
      </w:r>
      <w:r w:rsidRPr="009543A7">
        <w:t xml:space="preserve"> claim </w:t>
      </w:r>
      <w:r>
        <w:t>that the rights of</w:t>
      </w:r>
      <w:r w:rsidRPr="009543A7">
        <w:t xml:space="preserve"> </w:t>
      </w:r>
      <w:r>
        <w:t>the alleged victims</w:t>
      </w:r>
      <w:r w:rsidRPr="009543A7">
        <w:t xml:space="preserve"> </w:t>
      </w:r>
      <w:r>
        <w:t>have been violated by the State party</w:t>
      </w:r>
      <w:r w:rsidRPr="009543A7">
        <w:t xml:space="preserve"> under articles 4, 10, 11, 12, 14, 15, 16</w:t>
      </w:r>
      <w:r>
        <w:t xml:space="preserve"> and</w:t>
      </w:r>
      <w:r w:rsidRPr="009543A7">
        <w:t xml:space="preserve"> 25 of the Convention. The Optional Protocol entered into force for the State party on 10 May 2019. The author</w:t>
      </w:r>
      <w:r>
        <w:t>s are</w:t>
      </w:r>
      <w:r w:rsidRPr="009543A7">
        <w:t xml:space="preserve"> represented by counsel.</w:t>
      </w:r>
    </w:p>
    <w:p w14:paraId="268B9236" w14:textId="77777777" w:rsidR="00F37149" w:rsidRDefault="00F37149" w:rsidP="00F37149">
      <w:pPr>
        <w:pStyle w:val="SingleTxtG"/>
        <w:spacing w:line="240" w:lineRule="auto"/>
        <w:rPr>
          <w:bCs/>
        </w:rPr>
      </w:pPr>
      <w:r>
        <w:rPr>
          <w:bCs/>
        </w:rPr>
        <w:t>1.2</w:t>
      </w:r>
      <w:r>
        <w:rPr>
          <w:bCs/>
        </w:rPr>
        <w:tab/>
      </w:r>
      <w:r w:rsidRPr="004579C4">
        <w:rPr>
          <w:bCs/>
        </w:rPr>
        <w:t xml:space="preserve">On 20 September 2019, the Special Rapporteur on new communications and interim measures, acting on behalf of the Committee, issued </w:t>
      </w:r>
      <w:r>
        <w:rPr>
          <w:bCs/>
        </w:rPr>
        <w:t>requests to the State party,</w:t>
      </w:r>
      <w:r w:rsidRPr="004579C4">
        <w:rPr>
          <w:bCs/>
        </w:rPr>
        <w:t xml:space="preserve"> under article 4 of the Optional Protocol, to </w:t>
      </w:r>
      <w:r>
        <w:rPr>
          <w:bCs/>
        </w:rPr>
        <w:t xml:space="preserve">take all the diplomatic, judicial and other measures necessary to prevent irreparable harm to the alleged victims and to guarantee the protection of their rights as enshrined by the Convention. In particular, the Committee requested the State party to do the following: take all the measures necessary to ensure that the search for the alleged victims began immediately, guarantee their placement under the protection of the law and ensure their access to the care and attention required, taking account of their psychosocial disabilities; if the location of the alleged victims was confirmed, to inform the Committee, their families and representatives of their whereabouts, use all legal and diplomatic means available to enable the alleged victims to be in contact with their families and representatives, and ensure that they were able to return to their families; and provide the Committee with information as to the measures taken to implement each element of its requests, and about the results of those measures. </w:t>
      </w:r>
      <w:r w:rsidRPr="004579C4">
        <w:rPr>
          <w:bCs/>
        </w:rPr>
        <w:t xml:space="preserve">The requests for interim measures were reiterated on 6 July 2022. </w:t>
      </w:r>
    </w:p>
    <w:p w14:paraId="5374F5B0" w14:textId="4356DF5C" w:rsidR="00F37149" w:rsidRPr="004579C4" w:rsidRDefault="00F37149" w:rsidP="00F37149">
      <w:pPr>
        <w:pStyle w:val="SingleTxtG"/>
        <w:spacing w:line="240" w:lineRule="auto"/>
      </w:pPr>
      <w:r w:rsidRPr="006F10B0">
        <w:rPr>
          <w:bCs/>
        </w:rPr>
        <w:t>1.3</w:t>
      </w:r>
      <w:r w:rsidRPr="006F10B0">
        <w:rPr>
          <w:bCs/>
        </w:rPr>
        <w:tab/>
        <w:t>On 23 March 2023, pursuant to rule 67 of the Committee</w:t>
      </w:r>
      <w:r w:rsidR="004C4CBD">
        <w:rPr>
          <w:bCs/>
        </w:rPr>
        <w:t>’</w:t>
      </w:r>
      <w:r w:rsidRPr="006F10B0">
        <w:rPr>
          <w:bCs/>
        </w:rPr>
        <w:t xml:space="preserve">s rules of procedure, the Committee decided to consider communications No. 67/2019 and </w:t>
      </w:r>
      <w:r>
        <w:rPr>
          <w:bCs/>
        </w:rPr>
        <w:t xml:space="preserve">No. </w:t>
      </w:r>
      <w:r w:rsidRPr="006F10B0">
        <w:rPr>
          <w:bCs/>
        </w:rPr>
        <w:t>68/2019 jointly, in view of the substantial factual and legal similarities.</w:t>
      </w:r>
    </w:p>
    <w:p w14:paraId="49023322" w14:textId="77777777" w:rsidR="00F37149" w:rsidRPr="000D01CD" w:rsidRDefault="00F37149" w:rsidP="00F37149">
      <w:pPr>
        <w:pStyle w:val="H1G"/>
      </w:pPr>
      <w:r>
        <w:tab/>
      </w:r>
      <w:r w:rsidRPr="000D01CD">
        <w:t>A.</w:t>
      </w:r>
      <w:r w:rsidRPr="000D01CD">
        <w:tab/>
      </w:r>
      <w:r w:rsidRPr="00D86A77">
        <w:t>Summary</w:t>
      </w:r>
      <w:r w:rsidRPr="000D01CD">
        <w:t xml:space="preserve"> of the information and arguments submitted by the parties</w:t>
      </w:r>
    </w:p>
    <w:p w14:paraId="74708327" w14:textId="77777777" w:rsidR="00F37149" w:rsidRDefault="00F37149" w:rsidP="00F37149">
      <w:pPr>
        <w:pStyle w:val="H23G"/>
      </w:pPr>
      <w:r w:rsidRPr="000D01CD">
        <w:tab/>
      </w:r>
      <w:r w:rsidRPr="000D01CD">
        <w:tab/>
        <w:t>Facts as submitted by the author</w:t>
      </w:r>
      <w:r>
        <w:t>s</w:t>
      </w:r>
    </w:p>
    <w:p w14:paraId="1B646D46" w14:textId="77777777" w:rsidR="00F37149" w:rsidRPr="00657F05" w:rsidRDefault="00F37149" w:rsidP="00F37149">
      <w:pPr>
        <w:pStyle w:val="H4G"/>
      </w:pPr>
      <w:r>
        <w:tab/>
      </w:r>
      <w:r>
        <w:tab/>
      </w:r>
      <w:r w:rsidRPr="00657F05">
        <w:t>Hisham al-Sayed</w:t>
      </w:r>
    </w:p>
    <w:p w14:paraId="76C0E4E0" w14:textId="1ADB8318" w:rsidR="00F37149" w:rsidRDefault="00F37149" w:rsidP="00F37149">
      <w:pPr>
        <w:pStyle w:val="SingleTxtG"/>
      </w:pPr>
      <w:r>
        <w:t>2.1</w:t>
      </w:r>
      <w:r>
        <w:tab/>
        <w:t xml:space="preserve">The author notes that his son was diagnosed with </w:t>
      </w:r>
      <w:r w:rsidR="004C4CBD">
        <w:t>“</w:t>
      </w:r>
      <w:r>
        <w:t>personality disorder and unspecified behavioural and emotional disorders</w:t>
      </w:r>
      <w:r w:rsidR="004C4CBD">
        <w:t>”</w:t>
      </w:r>
      <w:r>
        <w:t xml:space="preserve"> in 2009, </w:t>
      </w:r>
      <w:r w:rsidR="004C4CBD">
        <w:t>“</w:t>
      </w:r>
      <w:r>
        <w:t>acute psychotic disorders</w:t>
      </w:r>
      <w:r w:rsidR="004C4CBD">
        <w:t>”</w:t>
      </w:r>
      <w:r>
        <w:t xml:space="preserve"> in 2010, and </w:t>
      </w:r>
      <w:r w:rsidR="004C4CBD">
        <w:t>“</w:t>
      </w:r>
      <w:r>
        <w:t>schizophrenia and mild mental retardation</w:t>
      </w:r>
      <w:r w:rsidR="004C4CBD">
        <w:t>”</w:t>
      </w:r>
      <w:r>
        <w:t xml:space="preserve"> in 2013. He further notes that in 2007 his son had also been diagnosed with hearing loss, vertigo and tinnitus. His son received a disability allowance from the National Insurance Institute of Israel (the national social security agency) and spent significant time in several different psychiatric institutions, including by court orders. As a result of his mental health condition, his son disappeared several times, in Jordan, the West Bank and the Gaza Strip; each time he was located by the authorities and was returned to his family. The author notes that his son crossed into the Gaza Strip twice before, in 2010 and 2013. He further notes that after almost three months in the Israeli army, his son was found </w:t>
      </w:r>
      <w:r w:rsidR="004C4CBD">
        <w:t>“</w:t>
      </w:r>
      <w:r>
        <w:t>incompatible for service</w:t>
      </w:r>
      <w:r w:rsidR="004C4CBD">
        <w:t>”</w:t>
      </w:r>
      <w:r>
        <w:t xml:space="preserve"> and was released from military service.</w:t>
      </w:r>
    </w:p>
    <w:p w14:paraId="61196C65" w14:textId="4CE1F216" w:rsidR="00F37149" w:rsidRDefault="00F37149" w:rsidP="00F37149">
      <w:pPr>
        <w:pStyle w:val="SingleTxtG"/>
      </w:pPr>
      <w:r>
        <w:t>2.2</w:t>
      </w:r>
      <w:r>
        <w:tab/>
        <w:t>The author notes that his son left his home in the Bedouin village of al-Sayed, near al-</w:t>
      </w:r>
      <w:proofErr w:type="spellStart"/>
      <w:r>
        <w:t>Hura</w:t>
      </w:r>
      <w:proofErr w:type="spellEnd"/>
      <w:r>
        <w:t>, in the Negev region of Israel on the morning of 20 April 2015. His mother was the last person to see him. During that day the author tried to reach his son by phone, but his son</w:t>
      </w:r>
      <w:r w:rsidR="004C4CBD">
        <w:t>’</w:t>
      </w:r>
      <w:r>
        <w:t xml:space="preserve">s mobile phone had been turned off. When he had not yet returned home in the afternoon, the family reported him missing to the Israeli police. They also searched for him in places where he had gone previously, and they reported the disappearance to the local police in Jordan and in the West Bank. The author notes that according to a Human Rights Watch report, Israeli </w:t>
      </w:r>
      <w:r>
        <w:lastRenderedPageBreak/>
        <w:t xml:space="preserve">officials had stated that </w:t>
      </w:r>
      <w:r w:rsidRPr="00E6597B">
        <w:t xml:space="preserve">photos </w:t>
      </w:r>
      <w:r>
        <w:t>taken</w:t>
      </w:r>
      <w:r w:rsidRPr="00E6597B">
        <w:t xml:space="preserve"> by </w:t>
      </w:r>
      <w:r>
        <w:t xml:space="preserve">the </w:t>
      </w:r>
      <w:r w:rsidRPr="00E6597B">
        <w:t>Israeli authorities on the day of the disappearance showed his son walking across the Gaza Strip border from the east</w:t>
      </w:r>
      <w:r>
        <w:t>.</w:t>
      </w:r>
      <w:r w:rsidRPr="00AB6514">
        <w:rPr>
          <w:rStyle w:val="FootnoteReference"/>
        </w:rPr>
        <w:footnoteReference w:id="2"/>
      </w:r>
      <w:r>
        <w:t xml:space="preserve"> The author further claims that a video published by Hamas in April 2016 confirmed that his son was being held by Hamas in the Gaza Strip. The author states that this information has also been confirmed by the Israeli authorities.</w:t>
      </w:r>
    </w:p>
    <w:p w14:paraId="276044D2" w14:textId="77777777" w:rsidR="00F37149" w:rsidRDefault="00F37149" w:rsidP="00F37149">
      <w:pPr>
        <w:pStyle w:val="H4G"/>
      </w:pPr>
      <w:r>
        <w:tab/>
      </w:r>
      <w:r>
        <w:tab/>
      </w:r>
      <w:r w:rsidRPr="00657F05">
        <w:t xml:space="preserve">Avera </w:t>
      </w:r>
      <w:proofErr w:type="spellStart"/>
      <w:r w:rsidRPr="00657F05">
        <w:t>Mangisto</w:t>
      </w:r>
      <w:proofErr w:type="spellEnd"/>
    </w:p>
    <w:p w14:paraId="333CF5DF" w14:textId="743AF934" w:rsidR="00F37149" w:rsidRDefault="00F37149" w:rsidP="00F37149">
      <w:pPr>
        <w:pStyle w:val="SingleTxtG"/>
      </w:pPr>
      <w:r>
        <w:t>2.3</w:t>
      </w:r>
      <w:r>
        <w:tab/>
        <w:t xml:space="preserve">The author notes that his brother was diagnosed with schizophrenia after he had voluntarily admitted himself for psychiatric hospitalization in 2013. According to medical records he was hospitalized owing to a </w:t>
      </w:r>
      <w:r w:rsidR="004C4CBD">
        <w:t>“</w:t>
      </w:r>
      <w:r>
        <w:t>psychotic condition combined with self-endangering behaviour</w:t>
      </w:r>
      <w:r w:rsidR="004C4CBD">
        <w:t>”</w:t>
      </w:r>
      <w:r>
        <w:t xml:space="preserve">. His mental health condition on one occasion led him to harm himself, and on several occasions, he left his home and was later found in different locations in Israel. He was found </w:t>
      </w:r>
      <w:r w:rsidR="004C4CBD">
        <w:t>“</w:t>
      </w:r>
      <w:r>
        <w:t>not medically fit for service</w:t>
      </w:r>
      <w:r w:rsidR="004C4CBD">
        <w:t>”</w:t>
      </w:r>
      <w:r>
        <w:t xml:space="preserve"> in the military by a medical committee and was exempted from compulsory service.</w:t>
      </w:r>
    </w:p>
    <w:p w14:paraId="44B12DB9" w14:textId="77777777" w:rsidR="00F37149" w:rsidRDefault="00F37149" w:rsidP="00F37149">
      <w:pPr>
        <w:pStyle w:val="SingleTxtG"/>
      </w:pPr>
      <w:r>
        <w:t>2.4</w:t>
      </w:r>
      <w:r>
        <w:tab/>
        <w:t xml:space="preserve">The author notes that his brother left his home in the city of Ashqelon, Israel, on 7 September 2014. He left at approximately noon and his mother was the last member of the family to see him. He did not carry a phone. When he did not return home in the evening, his family searched for him, checked with his friends and reported his disappearance to the Israeli police. </w:t>
      </w:r>
    </w:p>
    <w:p w14:paraId="5C33F782" w14:textId="4D6B7C01" w:rsidR="00F37149" w:rsidRDefault="00F37149" w:rsidP="00F37149">
      <w:pPr>
        <w:pStyle w:val="SingleTxtG"/>
      </w:pPr>
      <w:r>
        <w:t>2.5</w:t>
      </w:r>
      <w:r>
        <w:tab/>
        <w:t>The author notes that, according to information provided by the Israeli authorities, on the day of his brother</w:t>
      </w:r>
      <w:r w:rsidR="004C4CBD">
        <w:t>’</w:t>
      </w:r>
      <w:r>
        <w:t>s disappearance, Israeli soldiers noticed, on camera, a person walking along the shoreline towards the Israel-Gaza border fence. Soldiers arrived at the scene and shouted at the man, ordering him to stop, and shot in the air, but the man did not react. The man managed to climb the wire fence and entered the Gaza Strip. The Israeli authorities later identified the person as the author</w:t>
      </w:r>
      <w:r w:rsidR="004C4CBD">
        <w:t>’</w:t>
      </w:r>
      <w:r>
        <w:t>s brother, based on personal items left behind in a bag. A week later, the Israeli authorities informed the family that, according to its intelligence information, the author</w:t>
      </w:r>
      <w:r w:rsidR="004C4CBD">
        <w:t>’</w:t>
      </w:r>
      <w:r>
        <w:t>s brother was being held by Hamas in the Gaza Strip. The Israeli authorities officially announced the author</w:t>
      </w:r>
      <w:r w:rsidR="004C4CBD">
        <w:t>’</w:t>
      </w:r>
      <w:r>
        <w:t>s disappearance in July 2015, after a gag order on the case had been lifted.</w:t>
      </w:r>
      <w:r w:rsidRPr="00AB6514">
        <w:rPr>
          <w:rStyle w:val="FootnoteReference"/>
        </w:rPr>
        <w:footnoteReference w:id="3"/>
      </w:r>
    </w:p>
    <w:p w14:paraId="50AB263E" w14:textId="77777777" w:rsidR="00F37149" w:rsidRPr="00A53AB2" w:rsidRDefault="00F37149" w:rsidP="00F37149">
      <w:pPr>
        <w:pStyle w:val="H4G"/>
      </w:pPr>
      <w:r>
        <w:tab/>
      </w:r>
      <w:r>
        <w:tab/>
      </w:r>
      <w:r w:rsidRPr="00A53AB2">
        <w:t>Further information concerning both alleged victims</w:t>
      </w:r>
    </w:p>
    <w:p w14:paraId="50E70791" w14:textId="28F630FD" w:rsidR="00F37149" w:rsidRDefault="00F37149" w:rsidP="00F37149">
      <w:pPr>
        <w:pStyle w:val="SingleTxtG"/>
      </w:pPr>
      <w:r>
        <w:t>2.6</w:t>
      </w:r>
      <w:r>
        <w:tab/>
        <w:t>The authors note that in April 2016, Hamas</w:t>
      </w:r>
      <w:r w:rsidR="004C4CBD">
        <w:t>’</w:t>
      </w:r>
      <w:r>
        <w:t xml:space="preserve">s military wing, the </w:t>
      </w:r>
      <w:proofErr w:type="spellStart"/>
      <w:r>
        <w:t>Izz</w:t>
      </w:r>
      <w:proofErr w:type="spellEnd"/>
      <w:r>
        <w:t xml:space="preserve"> al-Din al-</w:t>
      </w:r>
      <w:proofErr w:type="spellStart"/>
      <w:r>
        <w:t>Qassam</w:t>
      </w:r>
      <w:proofErr w:type="spellEnd"/>
      <w:r>
        <w:t xml:space="preserve"> Brigades, published a video in which they indirectly acknowledged holding </w:t>
      </w:r>
      <w:r w:rsidRPr="00A04F57">
        <w:t xml:space="preserve">both </w:t>
      </w:r>
      <w:r>
        <w:t xml:space="preserve">the </w:t>
      </w:r>
      <w:r w:rsidRPr="00A04F57">
        <w:t xml:space="preserve">alleged </w:t>
      </w:r>
      <w:proofErr w:type="gramStart"/>
      <w:r w:rsidRPr="00A04F57">
        <w:t>victims</w:t>
      </w:r>
      <w:proofErr w:type="gramEnd"/>
      <w:r>
        <w:t xml:space="preserve"> captive. The video portrays the alleged victims in military uniform – apparently using digitally altered pictures of them, which were subsequently published in the media – alongside two Israeli soldiers reportedly killed during the 2014 Gaza conflict, whose remains were reported to be in Hamas</w:t>
      </w:r>
      <w:r w:rsidR="004C4CBD">
        <w:t>’</w:t>
      </w:r>
      <w:r>
        <w:t xml:space="preserve">s custody. </w:t>
      </w:r>
    </w:p>
    <w:p w14:paraId="4A1A26DC" w14:textId="5EC883D5" w:rsidR="00F37149" w:rsidRDefault="00F37149" w:rsidP="00F37149">
      <w:pPr>
        <w:pStyle w:val="SingleTxtG"/>
      </w:pPr>
      <w:r>
        <w:t>2.7</w:t>
      </w:r>
      <w:r>
        <w:tab/>
        <w:t xml:space="preserve">The authors note that the alleged victims were neither soldiers in the Israeli army nor affiliated with the Government of Israel when they entered the Gaza Strip. They had both been found not to be medically fit for service in the Israeli army, and entered the Gaza Strip as civilians and as a result of their psychosocial disabilities, which led them to wander and expose themselves to danger. The authors refer to reports by Human Rights Watch that, during a meeting with the organization in September 2016, Hamas had refused to acknowledge the detention of the alleged victims, but had stated that there were </w:t>
      </w:r>
      <w:r w:rsidR="004C4CBD">
        <w:t>“</w:t>
      </w:r>
      <w:r>
        <w:t>no civilians in Israel</w:t>
      </w:r>
      <w:r w:rsidR="004C4CBD">
        <w:t>”</w:t>
      </w:r>
      <w:r>
        <w:t xml:space="preserve"> since everyone served in the army, and that Israelis who entered Gaza were </w:t>
      </w:r>
      <w:r w:rsidR="004C4CBD">
        <w:t>“</w:t>
      </w:r>
      <w:r>
        <w:t>spies</w:t>
      </w:r>
      <w:r w:rsidR="004C4CBD">
        <w:t>”</w:t>
      </w:r>
      <w:r>
        <w:t>. According to Human Rights Watch, Hamas officials had stated that they would divulge no information about the missing Israeli citizens until Israel had released 54 arrested Hamas members.</w:t>
      </w:r>
      <w:r w:rsidRPr="00AB6514">
        <w:rPr>
          <w:rStyle w:val="FootnoteReference"/>
        </w:rPr>
        <w:footnoteReference w:id="4"/>
      </w:r>
    </w:p>
    <w:p w14:paraId="68518FF3" w14:textId="402C3544" w:rsidR="00F37149" w:rsidRDefault="00F37149" w:rsidP="00F37149">
      <w:pPr>
        <w:pStyle w:val="SingleTxtG"/>
      </w:pPr>
      <w:r>
        <w:lastRenderedPageBreak/>
        <w:t>2.8</w:t>
      </w:r>
      <w:r>
        <w:tab/>
        <w:t>The authors note that in spite of the indications that the alleged victims are, or at least at some point were, being held in the custody of Hamas, Hamas did not confirm their detention or disclose whether it had any information regarding their whereabouts and fate.</w:t>
      </w:r>
      <w:r w:rsidRPr="00EA66DA">
        <w:t xml:space="preserve"> </w:t>
      </w:r>
      <w:r>
        <w:t>The authors also note that in</w:t>
      </w:r>
      <w:r w:rsidRPr="00EA66DA">
        <w:t xml:space="preserve"> its annual report </w:t>
      </w:r>
      <w:r>
        <w:t>of</w:t>
      </w:r>
      <w:r w:rsidRPr="00EA66DA">
        <w:t xml:space="preserve"> 2019, Human Rights Watch state</w:t>
      </w:r>
      <w:r>
        <w:t>d</w:t>
      </w:r>
      <w:r w:rsidRPr="00EA66DA">
        <w:t xml:space="preserve"> </w:t>
      </w:r>
      <w:r>
        <w:t>the following:</w:t>
      </w:r>
      <w:r w:rsidRPr="00EA66DA">
        <w:t xml:space="preserve"> </w:t>
      </w:r>
      <w:r w:rsidR="004C4CBD">
        <w:t>“</w:t>
      </w:r>
      <w:r w:rsidRPr="00EA66DA">
        <w:t xml:space="preserve">Hamas authorities continue to disclose no information about two Israeli civilians with psychosocial disabilities, </w:t>
      </w:r>
      <w:r w:rsidRPr="00251D6D">
        <w:t xml:space="preserve">Avera </w:t>
      </w:r>
      <w:proofErr w:type="spellStart"/>
      <w:r w:rsidRPr="00251D6D">
        <w:t>Mangisto</w:t>
      </w:r>
      <w:proofErr w:type="spellEnd"/>
      <w:r w:rsidRPr="00EA66DA">
        <w:t xml:space="preserve"> and </w:t>
      </w:r>
      <w:r w:rsidRPr="00251D6D">
        <w:t>Hisham al-Sayed</w:t>
      </w:r>
      <w:r w:rsidRPr="00EA66DA">
        <w:t>, whom they have apparently held for several years, in violation of international law</w:t>
      </w:r>
      <w:r>
        <w:t>.</w:t>
      </w:r>
      <w:r w:rsidR="004C4CBD">
        <w:t>”</w:t>
      </w:r>
      <w:r w:rsidRPr="00AB6514">
        <w:rPr>
          <w:rStyle w:val="FootnoteReference"/>
        </w:rPr>
        <w:footnoteReference w:id="5"/>
      </w:r>
      <w:r w:rsidRPr="00EA66DA">
        <w:t xml:space="preserve"> In September 2015, the Secretary</w:t>
      </w:r>
      <w:r>
        <w:t>-</w:t>
      </w:r>
      <w:r w:rsidRPr="00EA66DA">
        <w:t>General</w:t>
      </w:r>
      <w:r>
        <w:t>, in</w:t>
      </w:r>
      <w:r w:rsidRPr="00EA66DA">
        <w:t xml:space="preserve"> his report on </w:t>
      </w:r>
      <w:r>
        <w:t>to the General Assembly on p</w:t>
      </w:r>
      <w:r w:rsidRPr="00EA66DA">
        <w:t xml:space="preserve">eaceful settlement of the question of Palestine, addressed the situation of </w:t>
      </w:r>
      <w:r>
        <w:t>the alleged victims</w:t>
      </w:r>
      <w:r w:rsidRPr="00EA66DA">
        <w:t xml:space="preserve"> and called</w:t>
      </w:r>
      <w:r>
        <w:t xml:space="preserve"> on</w:t>
      </w:r>
      <w:r w:rsidRPr="00EA66DA">
        <w:t xml:space="preserve"> all relevant Palestinian actors in Gaza to provide information as to the possible whereabouts and conditions of the missing Israelis and to take prompt action to facilitate their safe return to their families</w:t>
      </w:r>
      <w:r>
        <w:t>.</w:t>
      </w:r>
      <w:r w:rsidRPr="00AB6514">
        <w:rPr>
          <w:rStyle w:val="FootnoteReference"/>
        </w:rPr>
        <w:footnoteReference w:id="6"/>
      </w:r>
    </w:p>
    <w:p w14:paraId="1C0C48CD" w14:textId="3B2F1923" w:rsidR="00F37149" w:rsidRDefault="00F37149" w:rsidP="00F37149">
      <w:pPr>
        <w:pStyle w:val="SingleTxtG"/>
      </w:pPr>
      <w:r>
        <w:t>2.9</w:t>
      </w:r>
      <w:r>
        <w:tab/>
        <w:t>The authors further note that, to the best of their knowledge, the State party has not taken any action to obtain information regarding the alleged victims</w:t>
      </w:r>
      <w:r w:rsidR="004C4CBD">
        <w:t>’</w:t>
      </w:r>
      <w:r>
        <w:t xml:space="preserve"> whereabouts and to prevent the continued violation of their rights under the Convention. They claim that the State party has failed to act despite being aware of the situation in a territory under its jurisdiction.</w:t>
      </w:r>
    </w:p>
    <w:p w14:paraId="1E51AD0D" w14:textId="314C363C" w:rsidR="00F37149" w:rsidRPr="00F75755" w:rsidRDefault="00F37149" w:rsidP="00F37149">
      <w:pPr>
        <w:pStyle w:val="SingleTxtG"/>
        <w:rPr>
          <w:bCs/>
        </w:rPr>
      </w:pPr>
      <w:r w:rsidRPr="00DC0642">
        <w:rPr>
          <w:bCs/>
        </w:rPr>
        <w:t>2.10</w:t>
      </w:r>
      <w:r>
        <w:rPr>
          <w:bCs/>
        </w:rPr>
        <w:tab/>
        <w:t>On the question of jurisdiction, the authors note that the alleged victims</w:t>
      </w:r>
      <w:r w:rsidRPr="00DC0642">
        <w:rPr>
          <w:bCs/>
        </w:rPr>
        <w:t xml:space="preserve"> disappeared after crossing into the Gaza Strip and </w:t>
      </w:r>
      <w:r>
        <w:rPr>
          <w:bCs/>
        </w:rPr>
        <w:t xml:space="preserve">that, </w:t>
      </w:r>
      <w:r w:rsidRPr="00DC0642">
        <w:rPr>
          <w:bCs/>
        </w:rPr>
        <w:t xml:space="preserve">according to the little evidence </w:t>
      </w:r>
      <w:r>
        <w:rPr>
          <w:bCs/>
        </w:rPr>
        <w:t>available, they</w:t>
      </w:r>
      <w:r w:rsidRPr="00DC0642">
        <w:rPr>
          <w:bCs/>
        </w:rPr>
        <w:t xml:space="preserve"> are</w:t>
      </w:r>
      <w:r>
        <w:rPr>
          <w:bCs/>
        </w:rPr>
        <w:t xml:space="preserve">, </w:t>
      </w:r>
      <w:r w:rsidRPr="00DC0642">
        <w:rPr>
          <w:bCs/>
        </w:rPr>
        <w:t>or were</w:t>
      </w:r>
      <w:r>
        <w:rPr>
          <w:bCs/>
        </w:rPr>
        <w:t>, being</w:t>
      </w:r>
      <w:r w:rsidRPr="00DC0642">
        <w:rPr>
          <w:bCs/>
        </w:rPr>
        <w:t xml:space="preserve"> held by Hamas in the Gaza Strip. </w:t>
      </w:r>
      <w:r>
        <w:rPr>
          <w:bCs/>
        </w:rPr>
        <w:t>T</w:t>
      </w:r>
      <w:r w:rsidRPr="00DC0642">
        <w:rPr>
          <w:bCs/>
        </w:rPr>
        <w:t xml:space="preserve">hey are </w:t>
      </w:r>
      <w:r>
        <w:rPr>
          <w:bCs/>
        </w:rPr>
        <w:t>thus under</w:t>
      </w:r>
      <w:r w:rsidRPr="00DC0642">
        <w:rPr>
          <w:bCs/>
        </w:rPr>
        <w:t xml:space="preserve"> </w:t>
      </w:r>
      <w:r>
        <w:rPr>
          <w:bCs/>
        </w:rPr>
        <w:t>the State party</w:t>
      </w:r>
      <w:r w:rsidR="004C4CBD">
        <w:rPr>
          <w:bCs/>
        </w:rPr>
        <w:t>’</w:t>
      </w:r>
      <w:r>
        <w:rPr>
          <w:bCs/>
        </w:rPr>
        <w:t>s</w:t>
      </w:r>
      <w:r w:rsidRPr="00DC0642">
        <w:rPr>
          <w:bCs/>
        </w:rPr>
        <w:t xml:space="preserve"> jurisdiction, as required </w:t>
      </w:r>
      <w:r>
        <w:rPr>
          <w:bCs/>
        </w:rPr>
        <w:t>under</w:t>
      </w:r>
      <w:r w:rsidRPr="00DC0642">
        <w:rPr>
          <w:bCs/>
        </w:rPr>
        <w:t xml:space="preserve"> article 1 of the Optional Protocol. </w:t>
      </w:r>
      <w:r>
        <w:rPr>
          <w:bCs/>
        </w:rPr>
        <w:t>The authors argue that t</w:t>
      </w:r>
      <w:r w:rsidRPr="00DC0642">
        <w:rPr>
          <w:bCs/>
        </w:rPr>
        <w:t xml:space="preserve">he fact that </w:t>
      </w:r>
      <w:r>
        <w:rPr>
          <w:bCs/>
        </w:rPr>
        <w:t>the alleged victims</w:t>
      </w:r>
      <w:r w:rsidRPr="00DC0642">
        <w:rPr>
          <w:bCs/>
        </w:rPr>
        <w:t xml:space="preserve"> are not nationals of </w:t>
      </w:r>
      <w:r>
        <w:rPr>
          <w:bCs/>
        </w:rPr>
        <w:t>the State party</w:t>
      </w:r>
      <w:r w:rsidRPr="00DC0642">
        <w:rPr>
          <w:bCs/>
        </w:rPr>
        <w:t xml:space="preserve"> does not change </w:t>
      </w:r>
      <w:r>
        <w:rPr>
          <w:bCs/>
        </w:rPr>
        <w:t>the State party</w:t>
      </w:r>
      <w:r w:rsidR="004C4CBD">
        <w:rPr>
          <w:bCs/>
        </w:rPr>
        <w:t>’</w:t>
      </w:r>
      <w:r>
        <w:rPr>
          <w:bCs/>
        </w:rPr>
        <w:t xml:space="preserve">s </w:t>
      </w:r>
      <w:r w:rsidRPr="00DC0642">
        <w:rPr>
          <w:bCs/>
        </w:rPr>
        <w:t>obligations towards them</w:t>
      </w:r>
      <w:r>
        <w:rPr>
          <w:bCs/>
        </w:rPr>
        <w:t xml:space="preserve"> as </w:t>
      </w:r>
      <w:r w:rsidRPr="00E6597B">
        <w:rPr>
          <w:bCs/>
        </w:rPr>
        <w:t xml:space="preserve">stipulated </w:t>
      </w:r>
      <w:r>
        <w:rPr>
          <w:bCs/>
        </w:rPr>
        <w:t>in</w:t>
      </w:r>
      <w:r w:rsidRPr="00E6597B">
        <w:rPr>
          <w:bCs/>
        </w:rPr>
        <w:t xml:space="preserve"> article 4 of the Convention, which does not</w:t>
      </w:r>
      <w:r w:rsidRPr="004C760F">
        <w:t xml:space="preserve"> </w:t>
      </w:r>
      <w:r w:rsidRPr="00C06F9A">
        <w:rPr>
          <w:bCs/>
        </w:rPr>
        <w:t>distinguis</w:t>
      </w:r>
      <w:r w:rsidRPr="00D7192E">
        <w:rPr>
          <w:bCs/>
        </w:rPr>
        <w:t>h between nationals and non-nationals</w:t>
      </w:r>
      <w:r w:rsidRPr="005F1CEA">
        <w:rPr>
          <w:bCs/>
        </w:rPr>
        <w:t>.</w:t>
      </w:r>
      <w:r w:rsidRPr="00961589">
        <w:t xml:space="preserve"> </w:t>
      </w:r>
      <w:r w:rsidRPr="00E6597B">
        <w:rPr>
          <w:bCs/>
        </w:rPr>
        <w:t>The authors argue that although the acts detailed above are primarily attribut</w:t>
      </w:r>
      <w:r>
        <w:rPr>
          <w:bCs/>
        </w:rPr>
        <w:t>able</w:t>
      </w:r>
      <w:r w:rsidRPr="00E6597B">
        <w:rPr>
          <w:bCs/>
        </w:rPr>
        <w:t xml:space="preserve"> to the military wing of Hamas, a non-</w:t>
      </w:r>
      <w:r>
        <w:rPr>
          <w:bCs/>
        </w:rPr>
        <w:t>S</w:t>
      </w:r>
      <w:r w:rsidRPr="00E6597B">
        <w:rPr>
          <w:bCs/>
        </w:rPr>
        <w:t xml:space="preserve">tate actor, the obligations of </w:t>
      </w:r>
      <w:r>
        <w:rPr>
          <w:bCs/>
        </w:rPr>
        <w:t xml:space="preserve">a </w:t>
      </w:r>
      <w:r w:rsidRPr="00E6597B">
        <w:rPr>
          <w:bCs/>
        </w:rPr>
        <w:t>State in international human rights law also include taking appropriate measures to prevent, investigate, prosecute and provide remedies for human rights abuses committed by non-</w:t>
      </w:r>
      <w:r>
        <w:rPr>
          <w:bCs/>
        </w:rPr>
        <w:t>S</w:t>
      </w:r>
      <w:r w:rsidRPr="00E6597B">
        <w:rPr>
          <w:bCs/>
        </w:rPr>
        <w:t xml:space="preserve">tate third parties on its territory. </w:t>
      </w:r>
      <w:r>
        <w:rPr>
          <w:bCs/>
        </w:rPr>
        <w:t>While</w:t>
      </w:r>
      <w:r w:rsidRPr="00E6597B">
        <w:rPr>
          <w:bCs/>
        </w:rPr>
        <w:t xml:space="preserve"> not</w:t>
      </w:r>
      <w:r>
        <w:rPr>
          <w:bCs/>
        </w:rPr>
        <w:t>ing</w:t>
      </w:r>
      <w:r w:rsidRPr="00E6597B">
        <w:rPr>
          <w:bCs/>
        </w:rPr>
        <w:t xml:space="preserve"> that the Gaza Strip is controlled by Hamas, the</w:t>
      </w:r>
      <w:r>
        <w:rPr>
          <w:bCs/>
        </w:rPr>
        <w:t xml:space="preserve"> authors</w:t>
      </w:r>
      <w:r w:rsidRPr="00E6597B">
        <w:rPr>
          <w:bCs/>
        </w:rPr>
        <w:t xml:space="preserve"> submit that the State party still bears responsibility for violations </w:t>
      </w:r>
      <w:r>
        <w:rPr>
          <w:bCs/>
        </w:rPr>
        <w:t>committed</w:t>
      </w:r>
      <w:r w:rsidRPr="00E6597B">
        <w:rPr>
          <w:bCs/>
        </w:rPr>
        <w:t xml:space="preserve"> in the Gaza Strip, which is part of its territory. They argue that international human rights courts and other human rights treaty bodies have recognized that even when a State has lost effective control over a part of its territory to a non-</w:t>
      </w:r>
      <w:r>
        <w:rPr>
          <w:bCs/>
        </w:rPr>
        <w:t>S</w:t>
      </w:r>
      <w:r w:rsidRPr="00E6597B">
        <w:rPr>
          <w:bCs/>
        </w:rPr>
        <w:t xml:space="preserve">tate group, the territory and the people in it </w:t>
      </w:r>
      <w:r>
        <w:rPr>
          <w:bCs/>
        </w:rPr>
        <w:t>cannot be</w:t>
      </w:r>
      <w:r w:rsidRPr="00E6597B">
        <w:rPr>
          <w:bCs/>
        </w:rPr>
        <w:t xml:space="preserve"> left in a legal vacuum </w:t>
      </w:r>
      <w:r>
        <w:rPr>
          <w:bCs/>
        </w:rPr>
        <w:t>whereby</w:t>
      </w:r>
      <w:r w:rsidRPr="00E6597B">
        <w:rPr>
          <w:bCs/>
        </w:rPr>
        <w:t xml:space="preserve"> the State is exempt from any responsibility to protect the human rights of</w:t>
      </w:r>
      <w:r>
        <w:rPr>
          <w:bCs/>
        </w:rPr>
        <w:t xml:space="preserve"> the persons in that territory</w:t>
      </w:r>
      <w:r w:rsidRPr="00F75755">
        <w:rPr>
          <w:bCs/>
        </w:rPr>
        <w:t xml:space="preserve">. The State </w:t>
      </w:r>
      <w:r>
        <w:rPr>
          <w:bCs/>
        </w:rPr>
        <w:t>must</w:t>
      </w:r>
      <w:r w:rsidRPr="00F75755">
        <w:rPr>
          <w:bCs/>
        </w:rPr>
        <w:t xml:space="preserve"> diligently seek to repress the abuses committed by non-</w:t>
      </w:r>
      <w:r>
        <w:rPr>
          <w:bCs/>
        </w:rPr>
        <w:t>S</w:t>
      </w:r>
      <w:r w:rsidRPr="00F75755">
        <w:rPr>
          <w:bCs/>
        </w:rPr>
        <w:t>tate group</w:t>
      </w:r>
      <w:r>
        <w:rPr>
          <w:bCs/>
        </w:rPr>
        <w:t>s</w:t>
      </w:r>
      <w:r w:rsidRPr="00F75755">
        <w:rPr>
          <w:bCs/>
        </w:rPr>
        <w:t xml:space="preserve"> and to implement its own international obligations to the extent of its authority.</w:t>
      </w:r>
      <w:r w:rsidRPr="00AB6514">
        <w:rPr>
          <w:rStyle w:val="FootnoteReference"/>
        </w:rPr>
        <w:footnoteReference w:id="7"/>
      </w:r>
    </w:p>
    <w:p w14:paraId="3E6897A0" w14:textId="707C795C" w:rsidR="00F37149" w:rsidRDefault="00F37149" w:rsidP="00F37149">
      <w:pPr>
        <w:pStyle w:val="SingleTxtG"/>
        <w:rPr>
          <w:bCs/>
        </w:rPr>
      </w:pPr>
      <w:r>
        <w:rPr>
          <w:bCs/>
        </w:rPr>
        <w:t>2.11</w:t>
      </w:r>
      <w:r>
        <w:rPr>
          <w:bCs/>
        </w:rPr>
        <w:tab/>
        <w:t xml:space="preserve">The authors refer to the European Court of Human Rights judgment in </w:t>
      </w:r>
      <w:proofErr w:type="spellStart"/>
      <w:r w:rsidRPr="00F75755">
        <w:rPr>
          <w:bCs/>
          <w:i/>
          <w:iCs/>
        </w:rPr>
        <w:t>Ila</w:t>
      </w:r>
      <w:r w:rsidRPr="00E82093">
        <w:rPr>
          <w:i/>
          <w:iCs/>
        </w:rPr>
        <w:t>ş</w:t>
      </w:r>
      <w:r w:rsidRPr="00F75755">
        <w:rPr>
          <w:bCs/>
          <w:i/>
          <w:iCs/>
        </w:rPr>
        <w:t>cu</w:t>
      </w:r>
      <w:proofErr w:type="spellEnd"/>
      <w:r w:rsidRPr="00F75755">
        <w:rPr>
          <w:bCs/>
          <w:i/>
          <w:iCs/>
        </w:rPr>
        <w:t xml:space="preserve"> and </w:t>
      </w:r>
      <w:r>
        <w:rPr>
          <w:bCs/>
          <w:i/>
          <w:iCs/>
        </w:rPr>
        <w:t>o</w:t>
      </w:r>
      <w:r w:rsidRPr="00F75755">
        <w:rPr>
          <w:bCs/>
          <w:i/>
          <w:iCs/>
        </w:rPr>
        <w:t>thers v. Moldova and Russia</w:t>
      </w:r>
      <w:r w:rsidRPr="00F75755">
        <w:rPr>
          <w:bCs/>
        </w:rPr>
        <w:t xml:space="preserve">, </w:t>
      </w:r>
      <w:r>
        <w:rPr>
          <w:bCs/>
        </w:rPr>
        <w:t>in which the Court found</w:t>
      </w:r>
      <w:r w:rsidRPr="00F75755">
        <w:rPr>
          <w:bCs/>
        </w:rPr>
        <w:t xml:space="preserve"> that the positive obligation</w:t>
      </w:r>
      <w:r>
        <w:rPr>
          <w:bCs/>
        </w:rPr>
        <w:t>s</w:t>
      </w:r>
      <w:r w:rsidRPr="00F75755">
        <w:rPr>
          <w:bCs/>
        </w:rPr>
        <w:t xml:space="preserve"> of a State to take appropriate steps to ensure respect for rights within its territory remain</w:t>
      </w:r>
      <w:r>
        <w:rPr>
          <w:bCs/>
        </w:rPr>
        <w:t>ed</w:t>
      </w:r>
      <w:r w:rsidRPr="00F75755">
        <w:rPr>
          <w:bCs/>
        </w:rPr>
        <w:t xml:space="preserve"> even where the exercise of the State</w:t>
      </w:r>
      <w:r w:rsidR="004C4CBD">
        <w:rPr>
          <w:bCs/>
        </w:rPr>
        <w:t>’</w:t>
      </w:r>
      <w:r w:rsidRPr="00F75755">
        <w:rPr>
          <w:bCs/>
        </w:rPr>
        <w:t xml:space="preserve">s authority </w:t>
      </w:r>
      <w:r>
        <w:rPr>
          <w:bCs/>
        </w:rPr>
        <w:t>was</w:t>
      </w:r>
      <w:r w:rsidRPr="00F75755">
        <w:rPr>
          <w:bCs/>
        </w:rPr>
        <w:t xml:space="preserve"> limited in part of its territory. </w:t>
      </w:r>
      <w:r>
        <w:rPr>
          <w:bCs/>
        </w:rPr>
        <w:t>The Court</w:t>
      </w:r>
      <w:r w:rsidRPr="00F75755">
        <w:rPr>
          <w:bCs/>
        </w:rPr>
        <w:t xml:space="preserve"> established that the State ha</w:t>
      </w:r>
      <w:r>
        <w:rPr>
          <w:bCs/>
        </w:rPr>
        <w:t>d</w:t>
      </w:r>
      <w:r w:rsidRPr="00F75755">
        <w:rPr>
          <w:bCs/>
        </w:rPr>
        <w:t xml:space="preserve"> a duty in such situation</w:t>
      </w:r>
      <w:r>
        <w:rPr>
          <w:bCs/>
        </w:rPr>
        <w:t>s</w:t>
      </w:r>
      <w:r w:rsidRPr="00F75755">
        <w:rPr>
          <w:bCs/>
        </w:rPr>
        <w:t xml:space="preserve"> to take all the appropriate measures still within its power.</w:t>
      </w:r>
      <w:r w:rsidRPr="00AB6514">
        <w:rPr>
          <w:rStyle w:val="FootnoteReference"/>
        </w:rPr>
        <w:footnoteReference w:id="8"/>
      </w:r>
      <w:r w:rsidRPr="00F75755">
        <w:rPr>
          <w:bCs/>
        </w:rPr>
        <w:t xml:space="preserve"> </w:t>
      </w:r>
    </w:p>
    <w:p w14:paraId="4D8DAF0A" w14:textId="77777777" w:rsidR="00F37149" w:rsidRDefault="00F37149" w:rsidP="00F37149">
      <w:pPr>
        <w:pStyle w:val="SingleTxtG"/>
        <w:rPr>
          <w:bCs/>
        </w:rPr>
      </w:pPr>
      <w:r>
        <w:rPr>
          <w:bCs/>
        </w:rPr>
        <w:t>2.12</w:t>
      </w:r>
      <w:r>
        <w:rPr>
          <w:bCs/>
        </w:rPr>
        <w:tab/>
        <w:t>The authors submit that even if the State party</w:t>
      </w:r>
      <w:r w:rsidRPr="001A06C5">
        <w:rPr>
          <w:bCs/>
        </w:rPr>
        <w:t xml:space="preserve"> does not have effective control over the Gaza Strip, it is </w:t>
      </w:r>
      <w:r>
        <w:rPr>
          <w:bCs/>
        </w:rPr>
        <w:t xml:space="preserve">still </w:t>
      </w:r>
      <w:r w:rsidRPr="001A06C5">
        <w:rPr>
          <w:bCs/>
        </w:rPr>
        <w:t xml:space="preserve">required to take all the reasonable measures at its disposal to ensure the application of human rights in the Gaza Strip. </w:t>
      </w:r>
      <w:r>
        <w:rPr>
          <w:bCs/>
        </w:rPr>
        <w:t>They argue that the State party</w:t>
      </w:r>
      <w:r w:rsidRPr="001A06C5">
        <w:rPr>
          <w:bCs/>
        </w:rPr>
        <w:t xml:space="preserve"> has several means</w:t>
      </w:r>
      <w:r>
        <w:rPr>
          <w:bCs/>
        </w:rPr>
        <w:t xml:space="preserve"> at its disposal</w:t>
      </w:r>
      <w:r w:rsidRPr="001A06C5">
        <w:rPr>
          <w:bCs/>
        </w:rPr>
        <w:t xml:space="preserve"> to influence the conduct of Hamas in the Gaza Strip. The</w:t>
      </w:r>
      <w:r>
        <w:rPr>
          <w:bCs/>
        </w:rPr>
        <w:t>y note that the</w:t>
      </w:r>
      <w:r w:rsidRPr="001A06C5">
        <w:rPr>
          <w:bCs/>
        </w:rPr>
        <w:t xml:space="preserve"> </w:t>
      </w:r>
      <w:r>
        <w:rPr>
          <w:bCs/>
        </w:rPr>
        <w:t>State party</w:t>
      </w:r>
      <w:r w:rsidRPr="001A06C5">
        <w:rPr>
          <w:bCs/>
        </w:rPr>
        <w:t xml:space="preserve"> </w:t>
      </w:r>
      <w:r>
        <w:rPr>
          <w:bCs/>
        </w:rPr>
        <w:t>a</w:t>
      </w:r>
      <w:r w:rsidRPr="001A06C5">
        <w:rPr>
          <w:bCs/>
        </w:rPr>
        <w:t>uthorit</w:t>
      </w:r>
      <w:r>
        <w:rPr>
          <w:bCs/>
        </w:rPr>
        <w:t>ies</w:t>
      </w:r>
      <w:r w:rsidRPr="001A06C5">
        <w:rPr>
          <w:bCs/>
        </w:rPr>
        <w:t xml:space="preserve"> and Hamas have been negotiating for reconciliation for several years, </w:t>
      </w:r>
      <w:r>
        <w:rPr>
          <w:bCs/>
        </w:rPr>
        <w:t>and that</w:t>
      </w:r>
      <w:r w:rsidRPr="001A06C5">
        <w:rPr>
          <w:bCs/>
        </w:rPr>
        <w:t xml:space="preserve"> several reconciliation agreements </w:t>
      </w:r>
      <w:r>
        <w:rPr>
          <w:bCs/>
        </w:rPr>
        <w:t xml:space="preserve">have been </w:t>
      </w:r>
      <w:r w:rsidRPr="001A06C5">
        <w:rPr>
          <w:bCs/>
        </w:rPr>
        <w:t xml:space="preserve">achieved, although not implemented. In addition, the Palestinian Authority pays wages to civil servants in the Gaza Strip, funds the </w:t>
      </w:r>
      <w:r w:rsidRPr="001A06C5">
        <w:rPr>
          <w:bCs/>
        </w:rPr>
        <w:lastRenderedPageBreak/>
        <w:t>electricity in the Gaza Strip and operates program</w:t>
      </w:r>
      <w:r>
        <w:rPr>
          <w:bCs/>
        </w:rPr>
        <w:t>me</w:t>
      </w:r>
      <w:r w:rsidRPr="001A06C5">
        <w:rPr>
          <w:bCs/>
        </w:rPr>
        <w:t>s that support Palestinians in the Gaza Strip, and ha</w:t>
      </w:r>
      <w:r>
        <w:rPr>
          <w:bCs/>
        </w:rPr>
        <w:t xml:space="preserve">s previously </w:t>
      </w:r>
      <w:r w:rsidRPr="001A06C5">
        <w:rPr>
          <w:bCs/>
        </w:rPr>
        <w:t>used its financial support to pressure Hamas to accede to certain political demands.</w:t>
      </w:r>
      <w:r w:rsidRPr="00AB6514">
        <w:rPr>
          <w:rStyle w:val="FootnoteReference"/>
        </w:rPr>
        <w:footnoteReference w:id="9"/>
      </w:r>
      <w:r w:rsidRPr="001A06C5">
        <w:rPr>
          <w:bCs/>
        </w:rPr>
        <w:t xml:space="preserve"> </w:t>
      </w:r>
    </w:p>
    <w:p w14:paraId="4F80EB46" w14:textId="77777777" w:rsidR="00F37149" w:rsidRDefault="00F37149" w:rsidP="00F37149">
      <w:pPr>
        <w:pStyle w:val="SingleTxtG"/>
        <w:rPr>
          <w:bCs/>
        </w:rPr>
      </w:pPr>
      <w:r>
        <w:rPr>
          <w:bCs/>
        </w:rPr>
        <w:t xml:space="preserve">2.13 </w:t>
      </w:r>
      <w:r>
        <w:rPr>
          <w:bCs/>
        </w:rPr>
        <w:tab/>
        <w:t xml:space="preserve">On the question of competence </w:t>
      </w:r>
      <w:proofErr w:type="spellStart"/>
      <w:r>
        <w:rPr>
          <w:bCs/>
          <w:i/>
          <w:iCs/>
        </w:rPr>
        <w:t>ratione</w:t>
      </w:r>
      <w:proofErr w:type="spellEnd"/>
      <w:r>
        <w:rPr>
          <w:bCs/>
          <w:i/>
          <w:iCs/>
        </w:rPr>
        <w:t xml:space="preserve"> </w:t>
      </w:r>
      <w:proofErr w:type="spellStart"/>
      <w:r>
        <w:rPr>
          <w:bCs/>
          <w:i/>
          <w:iCs/>
        </w:rPr>
        <w:t>temporis</w:t>
      </w:r>
      <w:proofErr w:type="spellEnd"/>
      <w:r>
        <w:rPr>
          <w:bCs/>
        </w:rPr>
        <w:t>, the authors emphasize</w:t>
      </w:r>
      <w:r w:rsidRPr="001A06C5">
        <w:rPr>
          <w:bCs/>
        </w:rPr>
        <w:t xml:space="preserve"> that while the events in question began before the Optional Protocol entered into force for the State </w:t>
      </w:r>
      <w:r>
        <w:rPr>
          <w:bCs/>
        </w:rPr>
        <w:t>party</w:t>
      </w:r>
      <w:r w:rsidRPr="001A06C5">
        <w:rPr>
          <w:bCs/>
        </w:rPr>
        <w:t xml:space="preserve">, </w:t>
      </w:r>
      <w:r>
        <w:rPr>
          <w:bCs/>
        </w:rPr>
        <w:t xml:space="preserve">the </w:t>
      </w:r>
      <w:r w:rsidRPr="001A06C5">
        <w:rPr>
          <w:bCs/>
        </w:rPr>
        <w:t>disappearance</w:t>
      </w:r>
      <w:r>
        <w:rPr>
          <w:bCs/>
        </w:rPr>
        <w:t xml:space="preserve"> of the alleged victims </w:t>
      </w:r>
      <w:r w:rsidRPr="001A06C5">
        <w:rPr>
          <w:bCs/>
        </w:rPr>
        <w:t>entail</w:t>
      </w:r>
      <w:r>
        <w:rPr>
          <w:bCs/>
        </w:rPr>
        <w:t>s</w:t>
      </w:r>
      <w:r w:rsidRPr="001A06C5">
        <w:rPr>
          <w:bCs/>
        </w:rPr>
        <w:t xml:space="preserve"> a continued violation of the Convention. </w:t>
      </w:r>
    </w:p>
    <w:p w14:paraId="1FCEB1B3" w14:textId="6CA327D6" w:rsidR="00F37149" w:rsidRDefault="00F37149" w:rsidP="00F37149">
      <w:pPr>
        <w:pStyle w:val="SingleTxtG"/>
        <w:rPr>
          <w:bCs/>
        </w:rPr>
      </w:pPr>
      <w:r>
        <w:rPr>
          <w:bCs/>
        </w:rPr>
        <w:t>2.14</w:t>
      </w:r>
      <w:r>
        <w:rPr>
          <w:bCs/>
        </w:rPr>
        <w:tab/>
        <w:t xml:space="preserve">On the question of exhaustion of domestic remedies, the authors argue that </w:t>
      </w:r>
      <w:r w:rsidRPr="002630DB">
        <w:rPr>
          <w:bCs/>
        </w:rPr>
        <w:t xml:space="preserve">there are no effective domestic remedies </w:t>
      </w:r>
      <w:r>
        <w:rPr>
          <w:bCs/>
        </w:rPr>
        <w:t>available to them</w:t>
      </w:r>
      <w:r w:rsidRPr="002630DB">
        <w:rPr>
          <w:bCs/>
        </w:rPr>
        <w:t xml:space="preserve"> in the State party</w:t>
      </w:r>
      <w:r>
        <w:rPr>
          <w:bCs/>
        </w:rPr>
        <w:t>, as I</w:t>
      </w:r>
      <w:r w:rsidRPr="002630DB">
        <w:rPr>
          <w:bCs/>
        </w:rPr>
        <w:t>sraeli</w:t>
      </w:r>
      <w:r>
        <w:rPr>
          <w:bCs/>
        </w:rPr>
        <w:t xml:space="preserve"> nationals</w:t>
      </w:r>
      <w:r w:rsidRPr="002630DB">
        <w:rPr>
          <w:bCs/>
        </w:rPr>
        <w:t xml:space="preserve"> do not have access to Palestin</w:t>
      </w:r>
      <w:r>
        <w:rPr>
          <w:bCs/>
        </w:rPr>
        <w:t>ian</w:t>
      </w:r>
      <w:r w:rsidRPr="002630DB">
        <w:rPr>
          <w:bCs/>
        </w:rPr>
        <w:t xml:space="preserve"> courts and cannot enter </w:t>
      </w:r>
      <w:r>
        <w:rPr>
          <w:bCs/>
        </w:rPr>
        <w:t xml:space="preserve">the territory of the State of </w:t>
      </w:r>
      <w:r w:rsidRPr="002630DB">
        <w:rPr>
          <w:bCs/>
        </w:rPr>
        <w:t xml:space="preserve">Palestine for that purpose. In addition, </w:t>
      </w:r>
      <w:r>
        <w:rPr>
          <w:bCs/>
        </w:rPr>
        <w:t>owing</w:t>
      </w:r>
      <w:r w:rsidRPr="002630DB">
        <w:rPr>
          <w:bCs/>
        </w:rPr>
        <w:t xml:space="preserve"> to Hamas</w:t>
      </w:r>
      <w:r w:rsidR="004C4CBD">
        <w:rPr>
          <w:bCs/>
        </w:rPr>
        <w:t>’</w:t>
      </w:r>
      <w:r>
        <w:rPr>
          <w:bCs/>
        </w:rPr>
        <w:t>s</w:t>
      </w:r>
      <w:r w:rsidRPr="002630DB">
        <w:rPr>
          <w:bCs/>
        </w:rPr>
        <w:t xml:space="preserve"> control of the Gaza </w:t>
      </w:r>
      <w:r>
        <w:rPr>
          <w:bCs/>
        </w:rPr>
        <w:t>S</w:t>
      </w:r>
      <w:r w:rsidRPr="002630DB">
        <w:rPr>
          <w:bCs/>
        </w:rPr>
        <w:t xml:space="preserve">trip, Palestinian courts cannot in practice exercise their jurisdiction and enforce judgments </w:t>
      </w:r>
      <w:r>
        <w:rPr>
          <w:bCs/>
        </w:rPr>
        <w:t>in the Gaza Strip</w:t>
      </w:r>
      <w:r w:rsidRPr="002630DB">
        <w:rPr>
          <w:bCs/>
        </w:rPr>
        <w:t>. The</w:t>
      </w:r>
      <w:r>
        <w:rPr>
          <w:bCs/>
        </w:rPr>
        <w:t xml:space="preserve"> authors also note that the</w:t>
      </w:r>
      <w:r w:rsidRPr="002630DB">
        <w:rPr>
          <w:bCs/>
        </w:rPr>
        <w:t xml:space="preserve"> fact that </w:t>
      </w:r>
      <w:r>
        <w:rPr>
          <w:bCs/>
        </w:rPr>
        <w:t>the alleged</w:t>
      </w:r>
      <w:r w:rsidRPr="002630DB">
        <w:rPr>
          <w:bCs/>
        </w:rPr>
        <w:t xml:space="preserve"> victims </w:t>
      </w:r>
      <w:r>
        <w:rPr>
          <w:bCs/>
        </w:rPr>
        <w:t>have been subjected to</w:t>
      </w:r>
      <w:r w:rsidRPr="002630DB">
        <w:rPr>
          <w:bCs/>
        </w:rPr>
        <w:t xml:space="preserve"> enforced disappearance prevents them from exercising any of their rights, including </w:t>
      </w:r>
      <w:r>
        <w:rPr>
          <w:bCs/>
        </w:rPr>
        <w:t xml:space="preserve">their right </w:t>
      </w:r>
      <w:r w:rsidRPr="002630DB">
        <w:rPr>
          <w:bCs/>
        </w:rPr>
        <w:t xml:space="preserve">to obtain </w:t>
      </w:r>
      <w:r>
        <w:rPr>
          <w:bCs/>
        </w:rPr>
        <w:t>any</w:t>
      </w:r>
      <w:r w:rsidRPr="002630DB">
        <w:rPr>
          <w:bCs/>
        </w:rPr>
        <w:t xml:space="preserve"> local remedies in the Gaza </w:t>
      </w:r>
      <w:r>
        <w:rPr>
          <w:bCs/>
        </w:rPr>
        <w:t>S</w:t>
      </w:r>
      <w:r w:rsidRPr="002630DB">
        <w:rPr>
          <w:bCs/>
        </w:rPr>
        <w:t>trip.</w:t>
      </w:r>
    </w:p>
    <w:p w14:paraId="5783EEA0" w14:textId="77777777" w:rsidR="00F37149" w:rsidRPr="001D70A6" w:rsidRDefault="00F37149" w:rsidP="00F37149">
      <w:pPr>
        <w:pStyle w:val="SingleTxtG"/>
        <w:rPr>
          <w:bCs/>
        </w:rPr>
      </w:pPr>
      <w:r>
        <w:rPr>
          <w:bCs/>
        </w:rPr>
        <w:t>2.15</w:t>
      </w:r>
      <w:r>
        <w:rPr>
          <w:bCs/>
        </w:rPr>
        <w:tab/>
        <w:t>On the question of e</w:t>
      </w:r>
      <w:r w:rsidRPr="00771D38">
        <w:rPr>
          <w:bCs/>
        </w:rPr>
        <w:t>xamination under another procedure of international investigation or settlement</w:t>
      </w:r>
      <w:r>
        <w:rPr>
          <w:bCs/>
        </w:rPr>
        <w:t>,</w:t>
      </w:r>
      <w:r w:rsidRPr="00771D38">
        <w:rPr>
          <w:bCs/>
        </w:rPr>
        <w:t xml:space="preserve"> </w:t>
      </w:r>
      <w:r>
        <w:rPr>
          <w:bCs/>
        </w:rPr>
        <w:t>the authors note that a</w:t>
      </w:r>
      <w:r w:rsidRPr="002630DB">
        <w:rPr>
          <w:bCs/>
        </w:rPr>
        <w:t xml:space="preserve"> communication on alleged enforced or involuntary disappearance was submitted to the Working Group on Enforced or Involuntary Disappearances on </w:t>
      </w:r>
      <w:r>
        <w:rPr>
          <w:bCs/>
        </w:rPr>
        <w:t xml:space="preserve">29 </w:t>
      </w:r>
      <w:r w:rsidRPr="002630DB">
        <w:rPr>
          <w:bCs/>
        </w:rPr>
        <w:t xml:space="preserve">January 2019 </w:t>
      </w:r>
      <w:r>
        <w:rPr>
          <w:bCs/>
        </w:rPr>
        <w:t>on behalf of the alleged victims</w:t>
      </w:r>
      <w:r w:rsidRPr="002630DB">
        <w:rPr>
          <w:bCs/>
        </w:rPr>
        <w:t xml:space="preserve">. </w:t>
      </w:r>
      <w:r>
        <w:rPr>
          <w:bCs/>
        </w:rPr>
        <w:t xml:space="preserve">The authors argue, however, that that communication cannot be considered as having been examined under </w:t>
      </w:r>
      <w:r w:rsidRPr="002630DB">
        <w:rPr>
          <w:bCs/>
        </w:rPr>
        <w:t>another procedure of international investigation or settlement</w:t>
      </w:r>
      <w:r>
        <w:rPr>
          <w:bCs/>
        </w:rPr>
        <w:t xml:space="preserve"> under article 2 (c) of the Optional Protocol. </w:t>
      </w:r>
      <w:r w:rsidRPr="001D70A6">
        <w:rPr>
          <w:bCs/>
        </w:rPr>
        <w:t>The</w:t>
      </w:r>
      <w:r>
        <w:rPr>
          <w:bCs/>
        </w:rPr>
        <w:t xml:space="preserve"> authors further argue that the </w:t>
      </w:r>
      <w:r w:rsidRPr="001D70A6">
        <w:rPr>
          <w:bCs/>
        </w:rPr>
        <w:t xml:space="preserve">request submitted to the Working Group </w:t>
      </w:r>
      <w:r>
        <w:rPr>
          <w:bCs/>
        </w:rPr>
        <w:t>does not concern the same matter, as it is</w:t>
      </w:r>
      <w:r w:rsidRPr="001D70A6">
        <w:rPr>
          <w:bCs/>
        </w:rPr>
        <w:t xml:space="preserve"> not based on the disabilit</w:t>
      </w:r>
      <w:r>
        <w:rPr>
          <w:bCs/>
        </w:rPr>
        <w:t>ies</w:t>
      </w:r>
      <w:r w:rsidRPr="001D70A6">
        <w:rPr>
          <w:bCs/>
        </w:rPr>
        <w:t xml:space="preserve"> of </w:t>
      </w:r>
      <w:r>
        <w:rPr>
          <w:bCs/>
        </w:rPr>
        <w:t>the alleged victims</w:t>
      </w:r>
      <w:r w:rsidRPr="001D70A6">
        <w:rPr>
          <w:bCs/>
        </w:rPr>
        <w:t xml:space="preserve"> and </w:t>
      </w:r>
      <w:r>
        <w:rPr>
          <w:bCs/>
        </w:rPr>
        <w:t>does</w:t>
      </w:r>
      <w:r w:rsidRPr="001D70A6">
        <w:rPr>
          <w:bCs/>
        </w:rPr>
        <w:t xml:space="preserve"> not raise claims relating to their rights as persons with disabilities</w:t>
      </w:r>
      <w:r>
        <w:rPr>
          <w:bCs/>
        </w:rPr>
        <w:t>,</w:t>
      </w:r>
      <w:r w:rsidRPr="001D70A6">
        <w:rPr>
          <w:bCs/>
        </w:rPr>
        <w:t xml:space="preserve"> </w:t>
      </w:r>
      <w:r>
        <w:rPr>
          <w:bCs/>
        </w:rPr>
        <w:t>but</w:t>
      </w:r>
      <w:r w:rsidRPr="001D70A6">
        <w:rPr>
          <w:bCs/>
        </w:rPr>
        <w:t xml:space="preserve"> deal</w:t>
      </w:r>
      <w:r>
        <w:rPr>
          <w:bCs/>
        </w:rPr>
        <w:t>s</w:t>
      </w:r>
      <w:r w:rsidRPr="001D70A6">
        <w:rPr>
          <w:bCs/>
        </w:rPr>
        <w:t xml:space="preserve"> with the issue of enforced disappearance</w:t>
      </w:r>
      <w:r>
        <w:rPr>
          <w:bCs/>
        </w:rPr>
        <w:t>.</w:t>
      </w:r>
      <w:r w:rsidRPr="001D70A6">
        <w:rPr>
          <w:bCs/>
        </w:rPr>
        <w:t xml:space="preserve"> </w:t>
      </w:r>
    </w:p>
    <w:p w14:paraId="7B665EB7" w14:textId="77777777" w:rsidR="00F37149" w:rsidRPr="000D01CD" w:rsidRDefault="00F37149" w:rsidP="00F37149">
      <w:pPr>
        <w:pStyle w:val="H23G"/>
      </w:pPr>
      <w:r>
        <w:tab/>
      </w:r>
      <w:r>
        <w:tab/>
      </w:r>
      <w:r w:rsidRPr="00AA3A37">
        <w:t>Complaint</w:t>
      </w:r>
    </w:p>
    <w:p w14:paraId="214C9695" w14:textId="7FC6C905" w:rsidR="00F37149" w:rsidRDefault="00F37149" w:rsidP="00F37149">
      <w:pPr>
        <w:pStyle w:val="SingleTxtG"/>
      </w:pPr>
      <w:r w:rsidRPr="000D01CD">
        <w:t>3.1</w:t>
      </w:r>
      <w:r w:rsidRPr="000D01CD">
        <w:tab/>
      </w:r>
      <w:r>
        <w:t>The authors claim a violation of the alleged victims</w:t>
      </w:r>
      <w:r w:rsidR="004C4CBD">
        <w:t>’</w:t>
      </w:r>
      <w:r>
        <w:t xml:space="preserve"> rights under</w:t>
      </w:r>
      <w:r w:rsidRPr="00F0686D">
        <w:t xml:space="preserve"> articles 4, 10, 11, 12, 14, 15, 16</w:t>
      </w:r>
      <w:r>
        <w:t xml:space="preserve"> and</w:t>
      </w:r>
      <w:r w:rsidRPr="00F0686D">
        <w:t xml:space="preserve"> 25 of the Convention</w:t>
      </w:r>
      <w:r>
        <w:t xml:space="preserve">. The authors claim that there is a </w:t>
      </w:r>
      <w:r w:rsidRPr="00F0686D">
        <w:t>causal relation</w:t>
      </w:r>
      <w:r>
        <w:t>ship</w:t>
      </w:r>
      <w:r w:rsidRPr="00F0686D">
        <w:t xml:space="preserve"> between </w:t>
      </w:r>
      <w:r>
        <w:t>the alleged victims</w:t>
      </w:r>
      <w:r w:rsidR="004C4CBD">
        <w:t>’</w:t>
      </w:r>
      <w:r>
        <w:t xml:space="preserve"> psychosocial disabilities</w:t>
      </w:r>
      <w:r w:rsidRPr="00F0686D">
        <w:t xml:space="preserve"> and the acts that amount to violations of the</w:t>
      </w:r>
      <w:r>
        <w:t>ir</w:t>
      </w:r>
      <w:r w:rsidRPr="00F0686D">
        <w:t xml:space="preserve"> rights </w:t>
      </w:r>
      <w:r>
        <w:t>under</w:t>
      </w:r>
      <w:r w:rsidRPr="00F0686D">
        <w:t xml:space="preserve"> the Convention. Their disabilit</w:t>
      </w:r>
      <w:r>
        <w:t>ies</w:t>
      </w:r>
      <w:r w:rsidRPr="00F0686D">
        <w:t xml:space="preserve"> </w:t>
      </w:r>
      <w:r>
        <w:t>are</w:t>
      </w:r>
      <w:r w:rsidRPr="00F0686D">
        <w:t xml:space="preserve"> what brought them to cross into the Gaza Strip, a hostile territory, which led to their enforced disappearance and related violations.</w:t>
      </w:r>
    </w:p>
    <w:p w14:paraId="12398E99" w14:textId="77777777" w:rsidR="00F37149" w:rsidRDefault="00F37149" w:rsidP="00F37149">
      <w:pPr>
        <w:pStyle w:val="SingleTxtG"/>
      </w:pPr>
      <w:r>
        <w:t>3.2</w:t>
      </w:r>
      <w:r>
        <w:tab/>
        <w:t>The authors further note that article 11 of the Convention requires States parties to take all necessary measures to ensure the protection and safety of persons with disabilities in situations of risk, including situations of armed conflict and humanitarian emergencies. The authors note that the alleged victims entered the Gaza Strip in conditions unrelated to the armed conflict between Israel and Hamas, and not during active hostilities. However, the authors argue that the ongoing armed conflict situation and the status of the Gaza Strip as an area under military siege or blockade place the alleged victims in a situation of heightened risk, which clearly falls within the purview of article 11 of the Convention. The authors argue that article 11 is based on the recognition of the special and heightened vulnerability of persons with disabilities during situations of risk, including armed conflict,</w:t>
      </w:r>
      <w:r w:rsidRPr="00AB6514">
        <w:rPr>
          <w:rStyle w:val="FootnoteReference"/>
        </w:rPr>
        <w:footnoteReference w:id="10"/>
      </w:r>
      <w:r>
        <w:t xml:space="preserve"> which implies a greater duty of care and protection for the State party. The authors submit that it thus follows that the State party also violated its special obligation to ensure the protection and safety of persons with disabilities in situations of risk, including situations of armed conflict, with respect to the rights invoked under articles </w:t>
      </w:r>
      <w:r w:rsidRPr="00CC07A0">
        <w:t xml:space="preserve">10, 12, 14, 15, 16 </w:t>
      </w:r>
      <w:r>
        <w:t xml:space="preserve">and </w:t>
      </w:r>
      <w:r w:rsidRPr="00CC07A0">
        <w:t>25</w:t>
      </w:r>
      <w:r>
        <w:t xml:space="preserve"> of the Convention.</w:t>
      </w:r>
      <w:r w:rsidRPr="00CC07A0">
        <w:t xml:space="preserve"> </w:t>
      </w:r>
    </w:p>
    <w:p w14:paraId="45204D76" w14:textId="28C1CF63" w:rsidR="00F37149" w:rsidRPr="00B04F76" w:rsidRDefault="00F37149" w:rsidP="00F37149">
      <w:pPr>
        <w:pStyle w:val="SingleTxtG"/>
      </w:pPr>
      <w:r>
        <w:lastRenderedPageBreak/>
        <w:t>3.3</w:t>
      </w:r>
      <w:r>
        <w:tab/>
        <w:t>The authors further submit</w:t>
      </w:r>
      <w:r w:rsidRPr="00CC07A0">
        <w:t xml:space="preserve"> </w:t>
      </w:r>
      <w:r>
        <w:t xml:space="preserve">that </w:t>
      </w:r>
      <w:r w:rsidRPr="00CC07A0">
        <w:t xml:space="preserve">it is important to understand that the facts described </w:t>
      </w:r>
      <w:r>
        <w:t>in the communication</w:t>
      </w:r>
      <w:r w:rsidRPr="00CC07A0">
        <w:t xml:space="preserve"> also amount to</w:t>
      </w:r>
      <w:r>
        <w:t xml:space="preserve"> </w:t>
      </w:r>
      <w:r w:rsidRPr="00CC07A0">
        <w:t>enforced disappearance</w:t>
      </w:r>
      <w:r>
        <w:t xml:space="preserve"> of the alleged victims, as they have been deprived of their liberty and their captors refuse to acknowledge their detention or to provide information about their fate and whereabouts, placing them outside the protection of the law. </w:t>
      </w:r>
      <w:r w:rsidRPr="00E6597B">
        <w:t>The authors argue that the deprivation of liberty was committed by Hamas</w:t>
      </w:r>
      <w:r w:rsidR="004C4CBD">
        <w:t>’</w:t>
      </w:r>
      <w:r>
        <w:t>s</w:t>
      </w:r>
      <w:r w:rsidRPr="00E6597B">
        <w:t xml:space="preserve"> military wing, with the acquiescence of the State party. The</w:t>
      </w:r>
      <w:r>
        <w:t xml:space="preserve"> authors</w:t>
      </w:r>
      <w:r w:rsidRPr="00E6597B">
        <w:t xml:space="preserve"> argue that the State party</w:t>
      </w:r>
      <w:r w:rsidR="004C4CBD">
        <w:t>’</w:t>
      </w:r>
      <w:r w:rsidRPr="00E6597B">
        <w:t>s jurisdiction, combined with its knowledge of the situation</w:t>
      </w:r>
      <w:r>
        <w:t xml:space="preserve"> and failure to take any action to protect the alleged victims</w:t>
      </w:r>
      <w:r w:rsidR="004C4CBD">
        <w:t>’</w:t>
      </w:r>
      <w:r>
        <w:t xml:space="preserve"> rights under the Convention, substantiate the State party</w:t>
      </w:r>
      <w:r w:rsidR="004C4CBD">
        <w:t>’</w:t>
      </w:r>
      <w:r>
        <w:t>s acquiescence to Hamas</w:t>
      </w:r>
      <w:r w:rsidR="004C4CBD">
        <w:t>’</w:t>
      </w:r>
      <w:r>
        <w:t>s conduct.</w:t>
      </w:r>
    </w:p>
    <w:p w14:paraId="03488575" w14:textId="12E5E0DA" w:rsidR="00F37149" w:rsidRDefault="00F37149" w:rsidP="00F37149">
      <w:pPr>
        <w:pStyle w:val="SingleTxtG"/>
      </w:pPr>
      <w:r>
        <w:t>3.4</w:t>
      </w:r>
      <w:r>
        <w:tab/>
        <w:t>The authors claim that the alleged victims are, or have been</w:t>
      </w:r>
      <w:r w:rsidRPr="00B04F76">
        <w:t xml:space="preserve"> held</w:t>
      </w:r>
      <w:r>
        <w:t>,</w:t>
      </w:r>
      <w:r w:rsidRPr="00B04F76">
        <w:t xml:space="preserve"> by Hamas with no information </w:t>
      </w:r>
      <w:r>
        <w:t xml:space="preserve">provided </w:t>
      </w:r>
      <w:r w:rsidRPr="00B04F76">
        <w:t xml:space="preserve">regarding their </w:t>
      </w:r>
      <w:r>
        <w:t>fate</w:t>
      </w:r>
      <w:r w:rsidRPr="00B04F76">
        <w:t xml:space="preserve"> and whereabouts and</w:t>
      </w:r>
      <w:r>
        <w:t xml:space="preserve"> with</w:t>
      </w:r>
      <w:r w:rsidRPr="00B04F76">
        <w:t xml:space="preserve"> no contact </w:t>
      </w:r>
      <w:r>
        <w:t>with</w:t>
      </w:r>
      <w:r w:rsidRPr="00B04F76">
        <w:t xml:space="preserve"> the outside world, </w:t>
      </w:r>
      <w:r>
        <w:t>amounting to grave abuse and cruel exploitation of their status as persons with disabilities. The authors argue that the alleged victims</w:t>
      </w:r>
      <w:r w:rsidR="004C4CBD">
        <w:t>’</w:t>
      </w:r>
      <w:r>
        <w:t xml:space="preserve"> crossing into the Gaza Strip due to their psychosocial disabilities was exploited by their captors to pressure Israel and promote Hamas</w:t>
      </w:r>
      <w:r w:rsidR="004C4CBD">
        <w:t>’</w:t>
      </w:r>
      <w:r>
        <w:t>s political interests in obtaining concessions, using the alleged victims as means to achieve those ends.</w:t>
      </w:r>
    </w:p>
    <w:p w14:paraId="103487F6" w14:textId="77777777" w:rsidR="00F37149" w:rsidRDefault="00F37149" w:rsidP="00F37149">
      <w:pPr>
        <w:pStyle w:val="SingleTxtG"/>
      </w:pPr>
      <w:r>
        <w:t>3.5</w:t>
      </w:r>
      <w:r>
        <w:tab/>
        <w:t xml:space="preserve">The authors argue that the State party did not take any measures to protect the alleged victims from their continued exploitation and abuse, to ensure access to medical care and to secure their prompt release. Even efforts to obtain information regarding their fate and whereabouts would assist in ceasing such exploitation and abuse. In failing to take any action regarding the situation, </w:t>
      </w:r>
      <w:bookmarkStart w:id="3" w:name="_Hlk135395443"/>
      <w:r>
        <w:t>the State party has violated its obligations under article 16, read alone and in conjunction with article 11, of the Convention</w:t>
      </w:r>
      <w:bookmarkEnd w:id="3"/>
      <w:r>
        <w:t>.</w:t>
      </w:r>
    </w:p>
    <w:p w14:paraId="4A50B386" w14:textId="77777777" w:rsidR="00F37149" w:rsidRDefault="00F37149" w:rsidP="00F37149">
      <w:pPr>
        <w:pStyle w:val="SingleTxtG"/>
      </w:pPr>
      <w:r>
        <w:t>3.6</w:t>
      </w:r>
      <w:r>
        <w:tab/>
        <w:t>The authors note that the Human Rights Committee, in its general comment No. 36 (2018),</w:t>
      </w:r>
      <w:r w:rsidRPr="00B04F76">
        <w:t xml:space="preserve"> </w:t>
      </w:r>
      <w:r>
        <w:t>observed that</w:t>
      </w:r>
      <w:r w:rsidRPr="00B04F76">
        <w:t xml:space="preserve"> enforced disappearance </w:t>
      </w:r>
      <w:r>
        <w:t>–</w:t>
      </w:r>
      <w:r w:rsidRPr="00B04F76">
        <w:t xml:space="preserve"> </w:t>
      </w:r>
      <w:r>
        <w:t>comprising</w:t>
      </w:r>
      <w:r w:rsidRPr="00B04F76">
        <w:t xml:space="preserve"> deprivation of liberty, followed by a refusal to acknowledge that deprivation of liberty or by</w:t>
      </w:r>
      <w:r>
        <w:t xml:space="preserve"> </w:t>
      </w:r>
      <w:r w:rsidRPr="00B04F76">
        <w:t>concealment of the fate of the disappeared person</w:t>
      </w:r>
      <w:r>
        <w:t xml:space="preserve"> –</w:t>
      </w:r>
      <w:r w:rsidRPr="00B04F76">
        <w:t xml:space="preserve"> </w:t>
      </w:r>
      <w:r w:rsidRPr="00457302">
        <w:t>in effect remove</w:t>
      </w:r>
      <w:r>
        <w:t>d</w:t>
      </w:r>
      <w:r w:rsidRPr="00457302">
        <w:t xml:space="preserve"> </w:t>
      </w:r>
      <w:r>
        <w:t>disappeared</w:t>
      </w:r>
      <w:r w:rsidRPr="00457302">
        <w:t xml:space="preserve"> person</w:t>
      </w:r>
      <w:r>
        <w:t>s</w:t>
      </w:r>
      <w:r w:rsidRPr="00457302">
        <w:t xml:space="preserve"> from the protection of the law and place</w:t>
      </w:r>
      <w:r>
        <w:t>d</w:t>
      </w:r>
      <w:r w:rsidRPr="00457302">
        <w:t xml:space="preserve"> </w:t>
      </w:r>
      <w:r>
        <w:t>their</w:t>
      </w:r>
      <w:r w:rsidRPr="00457302">
        <w:t xml:space="preserve"> life at serious and constant risk, for which the State </w:t>
      </w:r>
      <w:r>
        <w:t>was</w:t>
      </w:r>
      <w:r w:rsidRPr="00457302">
        <w:t xml:space="preserve"> accountable</w:t>
      </w:r>
      <w:r>
        <w:t>,</w:t>
      </w:r>
      <w:r w:rsidRPr="00457302">
        <w:t xml:space="preserve"> result</w:t>
      </w:r>
      <w:r>
        <w:t>ing</w:t>
      </w:r>
      <w:r w:rsidRPr="00457302">
        <w:t xml:space="preserve"> in </w:t>
      </w:r>
      <w:r>
        <w:t xml:space="preserve">a </w:t>
      </w:r>
      <w:r w:rsidRPr="00B04F76">
        <w:t>violat</w:t>
      </w:r>
      <w:r>
        <w:t>ion of</w:t>
      </w:r>
      <w:r w:rsidRPr="00457302">
        <w:t xml:space="preserve"> the right to life </w:t>
      </w:r>
      <w:r>
        <w:t>and</w:t>
      </w:r>
      <w:r w:rsidRPr="00457302">
        <w:t xml:space="preserve"> </w:t>
      </w:r>
      <w:r>
        <w:t xml:space="preserve">of </w:t>
      </w:r>
      <w:r w:rsidRPr="00457302">
        <w:t>other rights, in particular</w:t>
      </w:r>
      <w:r w:rsidRPr="00B04F76">
        <w:t xml:space="preserve"> the prohibition </w:t>
      </w:r>
      <w:r>
        <w:t>of</w:t>
      </w:r>
      <w:r w:rsidRPr="00B04F76">
        <w:t xml:space="preserve"> torture </w:t>
      </w:r>
      <w:r>
        <w:t>or</w:t>
      </w:r>
      <w:r w:rsidRPr="00B04F76">
        <w:t xml:space="preserve"> cruel, inhuman or degrading treatment or punishment</w:t>
      </w:r>
      <w:r>
        <w:t>.</w:t>
      </w:r>
      <w:r w:rsidRPr="00AB6514">
        <w:rPr>
          <w:rStyle w:val="FootnoteReference"/>
        </w:rPr>
        <w:footnoteReference w:id="11"/>
      </w:r>
      <w:r>
        <w:t xml:space="preserve"> The authors further note that</w:t>
      </w:r>
      <w:r w:rsidRPr="008A01F0">
        <w:t xml:space="preserve"> article 15</w:t>
      </w:r>
      <w:r>
        <w:t xml:space="preserve"> </w:t>
      </w:r>
      <w:r w:rsidRPr="008A01F0">
        <w:t>(2)</w:t>
      </w:r>
      <w:r>
        <w:t xml:space="preserve"> of</w:t>
      </w:r>
      <w:r w:rsidRPr="008A01F0">
        <w:t xml:space="preserve"> the Convention adds </w:t>
      </w:r>
      <w:r>
        <w:t>the requirement that</w:t>
      </w:r>
      <w:r w:rsidRPr="008A01F0">
        <w:t xml:space="preserve"> State</w:t>
      </w:r>
      <w:r>
        <w:t>s</w:t>
      </w:r>
      <w:r w:rsidRPr="008A01F0">
        <w:t xml:space="preserve"> parties take all effective measures to prevent persons with disabilities</w:t>
      </w:r>
      <w:r>
        <w:t xml:space="preserve">, </w:t>
      </w:r>
      <w:r w:rsidRPr="008A01F0">
        <w:t>on an equal basis with others</w:t>
      </w:r>
      <w:r>
        <w:t>,</w:t>
      </w:r>
      <w:r w:rsidRPr="008A01F0">
        <w:t xml:space="preserve"> from being subjected to </w:t>
      </w:r>
      <w:r>
        <w:t xml:space="preserve">torture or cruel, inhuman or degrading </w:t>
      </w:r>
      <w:r w:rsidRPr="008A01F0">
        <w:t>treatment or punishment. Th</w:t>
      </w:r>
      <w:r>
        <w:t>e authors submit that this</w:t>
      </w:r>
      <w:r w:rsidRPr="008A01F0">
        <w:t xml:space="preserve"> provision acknowledges that </w:t>
      </w:r>
      <w:r>
        <w:t>certain</w:t>
      </w:r>
      <w:r w:rsidRPr="008A01F0">
        <w:t xml:space="preserve"> treatment </w:t>
      </w:r>
      <w:r>
        <w:t>may qualify as inhuman in the case of victims with disabilities, whereas it</w:t>
      </w:r>
      <w:r w:rsidRPr="008A01F0">
        <w:t xml:space="preserve"> would not </w:t>
      </w:r>
      <w:r>
        <w:t>in the case of other victims</w:t>
      </w:r>
      <w:r w:rsidRPr="008A01F0">
        <w:t>.</w:t>
      </w:r>
      <w:r w:rsidRPr="00AB6514">
        <w:rPr>
          <w:rStyle w:val="FootnoteReference"/>
        </w:rPr>
        <w:footnoteReference w:id="12"/>
      </w:r>
    </w:p>
    <w:p w14:paraId="1503ED48" w14:textId="656107E9" w:rsidR="00F37149" w:rsidRDefault="00F37149" w:rsidP="00F37149">
      <w:pPr>
        <w:pStyle w:val="SingleTxtG"/>
      </w:pPr>
      <w:r>
        <w:t>3.7</w:t>
      </w:r>
      <w:r>
        <w:tab/>
      </w:r>
      <w:bookmarkStart w:id="4" w:name="_Hlk135395484"/>
      <w:r w:rsidRPr="008A01F0">
        <w:t xml:space="preserve">The </w:t>
      </w:r>
      <w:r>
        <w:t xml:space="preserve">authors claim that the </w:t>
      </w:r>
      <w:r w:rsidRPr="008A01F0">
        <w:t xml:space="preserve">enforced disappearance of </w:t>
      </w:r>
      <w:r>
        <w:t>the alleged victims</w:t>
      </w:r>
      <w:r w:rsidRPr="008A01F0">
        <w:t xml:space="preserve"> violate</w:t>
      </w:r>
      <w:r>
        <w:t>s</w:t>
      </w:r>
      <w:r w:rsidRPr="008A01F0">
        <w:t xml:space="preserve"> the prohibition </w:t>
      </w:r>
      <w:r>
        <w:t>of</w:t>
      </w:r>
      <w:r w:rsidRPr="008A01F0">
        <w:t xml:space="preserve"> torture or cruel, inhuman or degrading treatment, </w:t>
      </w:r>
      <w:r>
        <w:t xml:space="preserve">in violation of </w:t>
      </w:r>
      <w:r w:rsidRPr="008A01F0">
        <w:t>article 15</w:t>
      </w:r>
      <w:r>
        <w:t>, read alone and in conjunction with article 11, of the Convention</w:t>
      </w:r>
      <w:bookmarkEnd w:id="4"/>
      <w:r>
        <w:t>,</w:t>
      </w:r>
      <w:r w:rsidRPr="008A01F0">
        <w:t xml:space="preserve"> </w:t>
      </w:r>
      <w:r>
        <w:t>owing to the State party</w:t>
      </w:r>
      <w:r w:rsidR="004C4CBD">
        <w:t>’</w:t>
      </w:r>
      <w:r>
        <w:t>s failure to take</w:t>
      </w:r>
      <w:r w:rsidRPr="008A01F0">
        <w:t xml:space="preserve"> effective measure</w:t>
      </w:r>
      <w:r>
        <w:t xml:space="preserve">s in its power </w:t>
      </w:r>
      <w:r w:rsidRPr="008A01F0">
        <w:t xml:space="preserve">to prevent </w:t>
      </w:r>
      <w:r>
        <w:t>the victims</w:t>
      </w:r>
      <w:r w:rsidRPr="008A01F0">
        <w:t xml:space="preserve"> from being subjected to such treatment. </w:t>
      </w:r>
    </w:p>
    <w:p w14:paraId="52B28F37" w14:textId="77777777" w:rsidR="00F37149" w:rsidRDefault="00F37149" w:rsidP="00F37149">
      <w:pPr>
        <w:pStyle w:val="SingleTxtG"/>
      </w:pPr>
      <w:r>
        <w:t>3.8</w:t>
      </w:r>
      <w:r>
        <w:tab/>
        <w:t>The authors note that according to the Human Rights Committee, in its general comment No. 36 (2018), enforced disappearance constitutes a unique and integrated series of acts and omissions representing a grave threat to life, which places the life of the disappeared person at serious and constant risk.</w:t>
      </w:r>
      <w:r w:rsidRPr="00AB6514">
        <w:rPr>
          <w:rStyle w:val="FootnoteReference"/>
        </w:rPr>
        <w:footnoteReference w:id="13"/>
      </w:r>
      <w:r>
        <w:t xml:space="preserve"> The authors argue that it follows that the enforced disappearance of the alleged victims constitutes a violation of their right to life. The authors submit that by failing to take measures in its power to protect the lives of the alleged victims from the risks associated with their enforced disappearance, </w:t>
      </w:r>
      <w:bookmarkStart w:id="5" w:name="_Hlk135395553"/>
      <w:r>
        <w:t>the State party has violated their rights under article 10, read alone and in conjunction with article 11, of the Convention</w:t>
      </w:r>
      <w:bookmarkEnd w:id="5"/>
      <w:r>
        <w:t>.</w:t>
      </w:r>
    </w:p>
    <w:p w14:paraId="272D0354" w14:textId="09DC37D7" w:rsidR="00F37149" w:rsidRDefault="00F37149" w:rsidP="00F37149">
      <w:pPr>
        <w:pStyle w:val="SingleTxtG"/>
      </w:pPr>
      <w:r>
        <w:t>3.9</w:t>
      </w:r>
      <w:r>
        <w:tab/>
        <w:t xml:space="preserve">The authors note that the Committee, in its guidelines on the right to liberty and security of persons with disabilities, reaffirmed that all persons with disabilities, and especially persons with intellectual disabilities and psychosocial disabilities, were entitled to </w:t>
      </w:r>
      <w:r>
        <w:lastRenderedPageBreak/>
        <w:t>liberty pursuant to article 14 of the Convention.</w:t>
      </w:r>
      <w:r w:rsidRPr="00AB6514">
        <w:rPr>
          <w:rStyle w:val="FootnoteReference"/>
        </w:rPr>
        <w:footnoteReference w:id="14"/>
      </w:r>
      <w:r>
        <w:t xml:space="preserve"> The authors also refer to the Human Rights Committee</w:t>
      </w:r>
      <w:r w:rsidR="004C4CBD">
        <w:t>’</w:t>
      </w:r>
      <w:r>
        <w:t>s assertion, in its general comment No. 36 (2018), that enforced disappearance results in a violation of the right to liberty and security of person. The authors claim that the alleged victims</w:t>
      </w:r>
      <w:r w:rsidRPr="002630DB">
        <w:t xml:space="preserve"> were unlawfully and arbitrarily detained by Hamas </w:t>
      </w:r>
      <w:r>
        <w:t>as a result of</w:t>
      </w:r>
      <w:r w:rsidRPr="002630DB">
        <w:t xml:space="preserve"> their </w:t>
      </w:r>
      <w:r>
        <w:t>psychosocial disabilities</w:t>
      </w:r>
      <w:r w:rsidRPr="002630DB">
        <w:t xml:space="preserve">, without having committed any crime or posing any threat. </w:t>
      </w:r>
      <w:r>
        <w:t>The authors submit that, in</w:t>
      </w:r>
      <w:r w:rsidRPr="002630DB">
        <w:t xml:space="preserve"> addition, once the</w:t>
      </w:r>
      <w:r>
        <w:t xml:space="preserve"> alleged victims</w:t>
      </w:r>
      <w:r w:rsidRPr="002630DB">
        <w:t xml:space="preserve"> were deprived of their liberty, the State </w:t>
      </w:r>
      <w:r>
        <w:t>party</w:t>
      </w:r>
      <w:r w:rsidRPr="002630DB">
        <w:t xml:space="preserve"> breache</w:t>
      </w:r>
      <w:r>
        <w:t>d</w:t>
      </w:r>
      <w:r w:rsidRPr="002630DB">
        <w:t xml:space="preserve"> its obligation under article 14</w:t>
      </w:r>
      <w:r>
        <w:t xml:space="preserve"> </w:t>
      </w:r>
      <w:r w:rsidRPr="002630DB">
        <w:t xml:space="preserve">(2) </w:t>
      </w:r>
      <w:r>
        <w:t>of the Convention to</w:t>
      </w:r>
      <w:r w:rsidRPr="002630DB">
        <w:t xml:space="preserve"> ensure the implementation of proper safeguards </w:t>
      </w:r>
      <w:r>
        <w:t xml:space="preserve">to which they were entitled in </w:t>
      </w:r>
      <w:r w:rsidRPr="002630DB">
        <w:t>accord</w:t>
      </w:r>
      <w:r>
        <w:t>ance</w:t>
      </w:r>
      <w:r w:rsidRPr="002630DB">
        <w:t xml:space="preserve"> </w:t>
      </w:r>
      <w:r>
        <w:t>with</w:t>
      </w:r>
      <w:r w:rsidRPr="002630DB">
        <w:t xml:space="preserve"> international human rights law and the principles of the Convention, such as </w:t>
      </w:r>
      <w:r>
        <w:t xml:space="preserve">the </w:t>
      </w:r>
      <w:r w:rsidRPr="002630DB">
        <w:t>provision of information regarding the</w:t>
      </w:r>
      <w:r>
        <w:t>ir</w:t>
      </w:r>
      <w:r w:rsidRPr="002630DB">
        <w:t xml:space="preserve"> fate and whereabouts, contact with their families, and suitable detention conditions. </w:t>
      </w:r>
    </w:p>
    <w:p w14:paraId="04E578E6" w14:textId="7FF2BE25" w:rsidR="00F37149" w:rsidRPr="002630DB" w:rsidRDefault="00F37149" w:rsidP="00F37149">
      <w:pPr>
        <w:pStyle w:val="SingleTxtG"/>
      </w:pPr>
      <w:r>
        <w:t>3.10</w:t>
      </w:r>
      <w:r>
        <w:tab/>
        <w:t>The authors claim that t</w:t>
      </w:r>
      <w:r w:rsidRPr="00565F5A">
        <w:t xml:space="preserve">he enforced disappearance of </w:t>
      </w:r>
      <w:r>
        <w:t>the alleged victims</w:t>
      </w:r>
      <w:r w:rsidRPr="00565F5A">
        <w:t xml:space="preserve"> and their inability to exercise their rights under the Convention </w:t>
      </w:r>
      <w:r>
        <w:t xml:space="preserve">constitute </w:t>
      </w:r>
      <w:r w:rsidRPr="00565F5A">
        <w:t>violat</w:t>
      </w:r>
      <w:r>
        <w:t>ions of</w:t>
      </w:r>
      <w:r w:rsidRPr="00565F5A">
        <w:t xml:space="preserve"> their right to recognition as persons before the law</w:t>
      </w:r>
      <w:r>
        <w:t xml:space="preserve"> under article 12 of the Convention. The authors argue that, under</w:t>
      </w:r>
      <w:r w:rsidRPr="00565F5A">
        <w:t xml:space="preserve"> article 12</w:t>
      </w:r>
      <w:r>
        <w:t xml:space="preserve"> </w:t>
      </w:r>
      <w:r w:rsidRPr="00565F5A">
        <w:t xml:space="preserve">(3) </w:t>
      </w:r>
      <w:r>
        <w:t xml:space="preserve">of the Convention, the State party obliged </w:t>
      </w:r>
      <w:r w:rsidRPr="00565F5A">
        <w:t xml:space="preserve">to take appropriate measures to provide access by persons with disabilities to the support </w:t>
      </w:r>
      <w:r>
        <w:t xml:space="preserve">that </w:t>
      </w:r>
      <w:r w:rsidRPr="00565F5A">
        <w:t>they may require in exercising their legal capacity</w:t>
      </w:r>
      <w:r>
        <w:t>, and that the State party</w:t>
      </w:r>
      <w:r w:rsidR="004C4CBD">
        <w:t>’</w:t>
      </w:r>
      <w:r>
        <w:t>s failure to do so constitutes</w:t>
      </w:r>
      <w:r w:rsidRPr="00565F5A">
        <w:t xml:space="preserve"> a violation of this obligation. </w:t>
      </w:r>
    </w:p>
    <w:p w14:paraId="725BB8B0" w14:textId="1CFA145E" w:rsidR="00F37149" w:rsidRDefault="00F37149" w:rsidP="00F37149">
      <w:pPr>
        <w:pStyle w:val="SingleTxtG"/>
        <w:rPr>
          <w:bCs/>
          <w:lang w:val="en-AU"/>
        </w:rPr>
      </w:pPr>
      <w:r>
        <w:rPr>
          <w:bCs/>
          <w:lang w:val="en-AU"/>
        </w:rPr>
        <w:t>3.11</w:t>
      </w:r>
      <w:r>
        <w:rPr>
          <w:bCs/>
          <w:lang w:val="en-AU"/>
        </w:rPr>
        <w:tab/>
        <w:t>The authors note that they have n</w:t>
      </w:r>
      <w:r w:rsidRPr="007B4E58">
        <w:rPr>
          <w:bCs/>
          <w:lang w:val="en-AU"/>
        </w:rPr>
        <w:t xml:space="preserve">o information </w:t>
      </w:r>
      <w:r>
        <w:rPr>
          <w:bCs/>
          <w:lang w:val="en-AU"/>
        </w:rPr>
        <w:t xml:space="preserve">to </w:t>
      </w:r>
      <w:r w:rsidRPr="007B4E58">
        <w:rPr>
          <w:bCs/>
          <w:lang w:val="en-AU"/>
        </w:rPr>
        <w:t xml:space="preserve">suggest that </w:t>
      </w:r>
      <w:r>
        <w:rPr>
          <w:bCs/>
          <w:lang w:val="en-AU"/>
        </w:rPr>
        <w:t>the alleged victims</w:t>
      </w:r>
      <w:r w:rsidRPr="007B4E58">
        <w:rPr>
          <w:bCs/>
          <w:lang w:val="en-AU"/>
        </w:rPr>
        <w:t xml:space="preserve"> have</w:t>
      </w:r>
      <w:r>
        <w:rPr>
          <w:bCs/>
          <w:lang w:val="en-AU"/>
        </w:rPr>
        <w:t>,</w:t>
      </w:r>
      <w:r w:rsidRPr="007B4E58">
        <w:rPr>
          <w:bCs/>
          <w:lang w:val="en-AU"/>
        </w:rPr>
        <w:t xml:space="preserve"> </w:t>
      </w:r>
      <w:r>
        <w:rPr>
          <w:bCs/>
          <w:lang w:val="en-AU"/>
        </w:rPr>
        <w:t xml:space="preserve">or have had, </w:t>
      </w:r>
      <w:r w:rsidRPr="007B4E58">
        <w:rPr>
          <w:bCs/>
          <w:lang w:val="en-AU"/>
        </w:rPr>
        <w:t>any access to health service</w:t>
      </w:r>
      <w:r>
        <w:rPr>
          <w:bCs/>
          <w:lang w:val="en-AU"/>
        </w:rPr>
        <w:t>s</w:t>
      </w:r>
      <w:r w:rsidRPr="007B4E58">
        <w:rPr>
          <w:bCs/>
          <w:lang w:val="en-AU"/>
        </w:rPr>
        <w:t xml:space="preserve"> </w:t>
      </w:r>
      <w:r>
        <w:rPr>
          <w:bCs/>
          <w:lang w:val="en-AU"/>
        </w:rPr>
        <w:t>in</w:t>
      </w:r>
      <w:r w:rsidRPr="007B4E58">
        <w:rPr>
          <w:bCs/>
          <w:lang w:val="en-AU"/>
        </w:rPr>
        <w:t xml:space="preserve"> view </w:t>
      </w:r>
      <w:r>
        <w:rPr>
          <w:bCs/>
          <w:lang w:val="en-AU"/>
        </w:rPr>
        <w:t>of</w:t>
      </w:r>
      <w:r w:rsidRPr="007B4E58">
        <w:rPr>
          <w:bCs/>
          <w:lang w:val="en-AU"/>
        </w:rPr>
        <w:t xml:space="preserve"> their specific health needs</w:t>
      </w:r>
      <w:r>
        <w:rPr>
          <w:bCs/>
          <w:lang w:val="en-AU"/>
        </w:rPr>
        <w:t>, as no information has been provided as to their whereabouts or health condition</w:t>
      </w:r>
      <w:r w:rsidRPr="007B4E58">
        <w:rPr>
          <w:bCs/>
          <w:lang w:val="en-AU"/>
        </w:rPr>
        <w:t xml:space="preserve">. </w:t>
      </w:r>
      <w:r>
        <w:rPr>
          <w:bCs/>
          <w:lang w:val="en-AU"/>
        </w:rPr>
        <w:t>The authors argue that t</w:t>
      </w:r>
      <w:r w:rsidRPr="007B4E58">
        <w:rPr>
          <w:bCs/>
          <w:lang w:val="en-AU"/>
        </w:rPr>
        <w:t xml:space="preserve">here is therefore a serious concern that </w:t>
      </w:r>
      <w:r>
        <w:rPr>
          <w:bCs/>
          <w:lang w:val="en-AU"/>
        </w:rPr>
        <w:t>the alleged victims</w:t>
      </w:r>
      <w:r w:rsidRPr="007B4E58">
        <w:rPr>
          <w:bCs/>
          <w:lang w:val="en-AU"/>
        </w:rPr>
        <w:t xml:space="preserve">, detained indefinitely and incommunicado by a hostile armed group, </w:t>
      </w:r>
      <w:r>
        <w:rPr>
          <w:bCs/>
          <w:lang w:val="en-AU"/>
        </w:rPr>
        <w:t>are being deprived of their right to</w:t>
      </w:r>
      <w:r w:rsidRPr="007B4E58">
        <w:rPr>
          <w:bCs/>
          <w:lang w:val="en-AU"/>
        </w:rPr>
        <w:t xml:space="preserve"> enjoy</w:t>
      </w:r>
      <w:r>
        <w:rPr>
          <w:bCs/>
          <w:lang w:val="en-AU"/>
        </w:rPr>
        <w:t>ment of</w:t>
      </w:r>
      <w:r w:rsidRPr="007B4E58">
        <w:rPr>
          <w:bCs/>
          <w:lang w:val="en-AU"/>
        </w:rPr>
        <w:t xml:space="preserve"> the highest attainable standard of health. </w:t>
      </w:r>
      <w:r>
        <w:rPr>
          <w:bCs/>
          <w:lang w:val="en-AU"/>
        </w:rPr>
        <w:t>The alleged victims have been</w:t>
      </w:r>
      <w:r w:rsidRPr="007B4E58">
        <w:rPr>
          <w:bCs/>
          <w:lang w:val="en-AU"/>
        </w:rPr>
        <w:t xml:space="preserve"> diagnosed with </w:t>
      </w:r>
      <w:r>
        <w:rPr>
          <w:bCs/>
          <w:lang w:val="en-AU"/>
        </w:rPr>
        <w:t>psychosocial</w:t>
      </w:r>
      <w:r w:rsidRPr="007B4E58">
        <w:rPr>
          <w:bCs/>
          <w:lang w:val="en-AU"/>
        </w:rPr>
        <w:t xml:space="preserve"> disabilities </w:t>
      </w:r>
      <w:r>
        <w:rPr>
          <w:bCs/>
          <w:lang w:val="en-AU"/>
        </w:rPr>
        <w:t>that</w:t>
      </w:r>
      <w:r w:rsidRPr="007B4E58">
        <w:rPr>
          <w:bCs/>
          <w:lang w:val="en-AU"/>
        </w:rPr>
        <w:t xml:space="preserve"> require medical treatment. </w:t>
      </w:r>
      <w:r>
        <w:rPr>
          <w:bCs/>
          <w:lang w:val="en-AU"/>
        </w:rPr>
        <w:t>The authors submit that it</w:t>
      </w:r>
      <w:r w:rsidRPr="007B4E58">
        <w:rPr>
          <w:bCs/>
          <w:lang w:val="en-AU"/>
        </w:rPr>
        <w:t xml:space="preserve"> is reasonable to argue that the mere fact of being disconnected from their families and support systems, and from the outside world, is the opposite of the </w:t>
      </w:r>
      <w:r w:rsidR="004C4CBD">
        <w:rPr>
          <w:bCs/>
          <w:lang w:val="en-AU"/>
        </w:rPr>
        <w:t>“</w:t>
      </w:r>
      <w:r w:rsidRPr="007B4E58">
        <w:rPr>
          <w:bCs/>
          <w:lang w:val="en-AU"/>
        </w:rPr>
        <w:t>highest attainable standard of health</w:t>
      </w:r>
      <w:r w:rsidR="004C4CBD">
        <w:rPr>
          <w:bCs/>
          <w:lang w:val="en-AU"/>
        </w:rPr>
        <w:t>”</w:t>
      </w:r>
      <w:r w:rsidRPr="007B4E58">
        <w:rPr>
          <w:bCs/>
          <w:lang w:val="en-AU"/>
        </w:rPr>
        <w:t>.</w:t>
      </w:r>
      <w:r>
        <w:rPr>
          <w:bCs/>
          <w:lang w:val="en-AU"/>
        </w:rPr>
        <w:t xml:space="preserve"> The authors submit that the State party, in failing to take</w:t>
      </w:r>
      <w:r w:rsidRPr="007B4E58">
        <w:rPr>
          <w:bCs/>
          <w:lang w:val="en-AU"/>
        </w:rPr>
        <w:t xml:space="preserve"> </w:t>
      </w:r>
      <w:r>
        <w:rPr>
          <w:bCs/>
          <w:lang w:val="en-AU"/>
        </w:rPr>
        <w:t xml:space="preserve">the </w:t>
      </w:r>
      <w:r w:rsidRPr="007B4E58">
        <w:rPr>
          <w:bCs/>
          <w:lang w:val="en-AU"/>
        </w:rPr>
        <w:t>measure</w:t>
      </w:r>
      <w:r>
        <w:rPr>
          <w:bCs/>
          <w:lang w:val="en-AU"/>
        </w:rPr>
        <w:t>s</w:t>
      </w:r>
      <w:r w:rsidRPr="007B4E58">
        <w:rPr>
          <w:bCs/>
          <w:lang w:val="en-AU"/>
        </w:rPr>
        <w:t xml:space="preserve"> </w:t>
      </w:r>
      <w:r>
        <w:rPr>
          <w:bCs/>
          <w:lang w:val="en-AU"/>
        </w:rPr>
        <w:t>available to it</w:t>
      </w:r>
      <w:r w:rsidRPr="007B4E58">
        <w:rPr>
          <w:bCs/>
          <w:lang w:val="en-AU"/>
        </w:rPr>
        <w:t xml:space="preserve"> to </w:t>
      </w:r>
      <w:r>
        <w:rPr>
          <w:bCs/>
          <w:lang w:val="en-AU"/>
        </w:rPr>
        <w:t>prevent</w:t>
      </w:r>
      <w:r w:rsidRPr="007B4E58">
        <w:rPr>
          <w:bCs/>
          <w:lang w:val="en-AU"/>
        </w:rPr>
        <w:t xml:space="preserve"> </w:t>
      </w:r>
      <w:r>
        <w:rPr>
          <w:bCs/>
          <w:lang w:val="en-AU"/>
        </w:rPr>
        <w:t>a</w:t>
      </w:r>
      <w:r w:rsidRPr="007B4E58">
        <w:rPr>
          <w:bCs/>
          <w:lang w:val="en-AU"/>
        </w:rPr>
        <w:t xml:space="preserve"> worsening of the</w:t>
      </w:r>
      <w:r>
        <w:rPr>
          <w:bCs/>
          <w:lang w:val="en-AU"/>
        </w:rPr>
        <w:t xml:space="preserve"> alleged victims</w:t>
      </w:r>
      <w:r w:rsidR="004C4CBD">
        <w:rPr>
          <w:bCs/>
          <w:lang w:val="en-AU"/>
        </w:rPr>
        <w:t>’</w:t>
      </w:r>
      <w:r w:rsidRPr="007B4E58">
        <w:rPr>
          <w:bCs/>
          <w:lang w:val="en-AU"/>
        </w:rPr>
        <w:t xml:space="preserve"> mental </w:t>
      </w:r>
      <w:r>
        <w:rPr>
          <w:bCs/>
          <w:lang w:val="en-AU"/>
        </w:rPr>
        <w:t xml:space="preserve">health </w:t>
      </w:r>
      <w:r w:rsidRPr="007B4E58">
        <w:rPr>
          <w:bCs/>
          <w:lang w:val="en-AU"/>
        </w:rPr>
        <w:t>condition</w:t>
      </w:r>
      <w:r>
        <w:rPr>
          <w:bCs/>
          <w:lang w:val="en-AU"/>
        </w:rPr>
        <w:t>s, has violated its</w:t>
      </w:r>
      <w:r w:rsidRPr="007B4E58">
        <w:rPr>
          <w:bCs/>
          <w:lang w:val="en-AU"/>
        </w:rPr>
        <w:t xml:space="preserve"> obligations under article 25</w:t>
      </w:r>
      <w:r>
        <w:rPr>
          <w:bCs/>
          <w:lang w:val="en-AU"/>
        </w:rPr>
        <w:t xml:space="preserve"> of the Convention</w:t>
      </w:r>
      <w:r w:rsidRPr="007B4E58">
        <w:rPr>
          <w:bCs/>
          <w:lang w:val="en-AU"/>
        </w:rPr>
        <w:t>.</w:t>
      </w:r>
    </w:p>
    <w:p w14:paraId="43C92D6D" w14:textId="77777777" w:rsidR="00F37149" w:rsidRPr="007B4E58" w:rsidRDefault="00F37149" w:rsidP="00F37149">
      <w:pPr>
        <w:pStyle w:val="SingleTxtG"/>
        <w:rPr>
          <w:bCs/>
          <w:lang w:val="en-AU"/>
        </w:rPr>
      </w:pPr>
      <w:r>
        <w:rPr>
          <w:bCs/>
          <w:lang w:val="en-AU"/>
        </w:rPr>
        <w:t>3.12</w:t>
      </w:r>
      <w:r>
        <w:rPr>
          <w:bCs/>
          <w:lang w:val="en-AU"/>
        </w:rPr>
        <w:tab/>
      </w:r>
      <w:r w:rsidRPr="007B4E58">
        <w:rPr>
          <w:bCs/>
          <w:lang w:val="en-AU"/>
        </w:rPr>
        <w:t xml:space="preserve">The </w:t>
      </w:r>
      <w:r>
        <w:rPr>
          <w:bCs/>
          <w:lang w:val="en-AU"/>
        </w:rPr>
        <w:t xml:space="preserve">authors request the Committee to recommend that the </w:t>
      </w:r>
      <w:r w:rsidRPr="007B4E58">
        <w:rPr>
          <w:bCs/>
          <w:lang w:val="en-AU"/>
        </w:rPr>
        <w:t xml:space="preserve">State </w:t>
      </w:r>
      <w:r>
        <w:rPr>
          <w:bCs/>
          <w:lang w:val="en-AU"/>
        </w:rPr>
        <w:t>party</w:t>
      </w:r>
      <w:r w:rsidRPr="007B4E58">
        <w:rPr>
          <w:bCs/>
          <w:lang w:val="en-AU"/>
        </w:rPr>
        <w:t xml:space="preserve"> take all </w:t>
      </w:r>
      <w:r>
        <w:rPr>
          <w:bCs/>
          <w:lang w:val="en-AU"/>
        </w:rPr>
        <w:t xml:space="preserve">the </w:t>
      </w:r>
      <w:r w:rsidRPr="007B4E58">
        <w:rPr>
          <w:bCs/>
          <w:lang w:val="en-AU"/>
        </w:rPr>
        <w:t xml:space="preserve">measures at its disposal to </w:t>
      </w:r>
      <w:r>
        <w:rPr>
          <w:bCs/>
          <w:lang w:val="en-AU"/>
        </w:rPr>
        <w:t>safeguard</w:t>
      </w:r>
      <w:r w:rsidRPr="007B4E58">
        <w:rPr>
          <w:bCs/>
          <w:lang w:val="en-AU"/>
        </w:rPr>
        <w:t xml:space="preserve"> the rights of </w:t>
      </w:r>
      <w:r>
        <w:rPr>
          <w:bCs/>
          <w:lang w:val="en-AU"/>
        </w:rPr>
        <w:t>the alleged victims</w:t>
      </w:r>
      <w:r w:rsidRPr="007B4E58">
        <w:rPr>
          <w:bCs/>
          <w:lang w:val="en-AU"/>
        </w:rPr>
        <w:t xml:space="preserve"> and </w:t>
      </w:r>
      <w:r>
        <w:rPr>
          <w:bCs/>
          <w:lang w:val="en-AU"/>
        </w:rPr>
        <w:t xml:space="preserve">to </w:t>
      </w:r>
      <w:r w:rsidRPr="007B4E58">
        <w:rPr>
          <w:bCs/>
          <w:lang w:val="en-AU"/>
        </w:rPr>
        <w:t>end the continuing violations of their rights</w:t>
      </w:r>
      <w:r>
        <w:rPr>
          <w:bCs/>
          <w:lang w:val="en-AU"/>
        </w:rPr>
        <w:t>,</w:t>
      </w:r>
      <w:r w:rsidRPr="007B4E58">
        <w:rPr>
          <w:bCs/>
          <w:lang w:val="en-AU"/>
        </w:rPr>
        <w:t xml:space="preserve"> includ</w:t>
      </w:r>
      <w:r>
        <w:rPr>
          <w:bCs/>
          <w:lang w:val="en-AU"/>
        </w:rPr>
        <w:t>ing</w:t>
      </w:r>
      <w:r w:rsidRPr="007B4E58">
        <w:rPr>
          <w:bCs/>
          <w:lang w:val="en-AU"/>
        </w:rPr>
        <w:t xml:space="preserve"> taking all </w:t>
      </w:r>
      <w:r>
        <w:rPr>
          <w:bCs/>
          <w:lang w:val="en-AU"/>
        </w:rPr>
        <w:t xml:space="preserve">the </w:t>
      </w:r>
      <w:r w:rsidRPr="007B4E58">
        <w:rPr>
          <w:bCs/>
          <w:lang w:val="en-AU"/>
        </w:rPr>
        <w:t>measures within its power to investigate the</w:t>
      </w:r>
      <w:r>
        <w:rPr>
          <w:bCs/>
          <w:lang w:val="en-AU"/>
        </w:rPr>
        <w:t>ir</w:t>
      </w:r>
      <w:r w:rsidRPr="007B4E58">
        <w:rPr>
          <w:bCs/>
          <w:lang w:val="en-AU"/>
        </w:rPr>
        <w:t xml:space="preserve"> enforced</w:t>
      </w:r>
      <w:r w:rsidRPr="007B4E58">
        <w:rPr>
          <w:bCs/>
        </w:rPr>
        <w:t xml:space="preserve"> </w:t>
      </w:r>
      <w:r w:rsidRPr="007B4E58">
        <w:rPr>
          <w:bCs/>
          <w:lang w:val="en-AU"/>
        </w:rPr>
        <w:t>disappearance</w:t>
      </w:r>
      <w:r>
        <w:rPr>
          <w:bCs/>
          <w:lang w:val="en-AU"/>
        </w:rPr>
        <w:t>,</w:t>
      </w:r>
      <w:r w:rsidRPr="007B4E58">
        <w:rPr>
          <w:bCs/>
          <w:lang w:val="en-AU"/>
        </w:rPr>
        <w:t xml:space="preserve"> to obtain and release information regarding their fate and whereabouts, to guarantee their safety and access to medical care, including in relation to their disabilit</w:t>
      </w:r>
      <w:r>
        <w:rPr>
          <w:bCs/>
          <w:lang w:val="en-AU"/>
        </w:rPr>
        <w:t>ies</w:t>
      </w:r>
      <w:r w:rsidRPr="007B4E58">
        <w:rPr>
          <w:bCs/>
          <w:lang w:val="en-AU"/>
        </w:rPr>
        <w:t>, to re</w:t>
      </w:r>
      <w:r>
        <w:rPr>
          <w:bCs/>
          <w:lang w:val="en-AU"/>
        </w:rPr>
        <w:t>-</w:t>
      </w:r>
      <w:r w:rsidRPr="007B4E58">
        <w:rPr>
          <w:bCs/>
          <w:lang w:val="en-AU"/>
        </w:rPr>
        <w:t xml:space="preserve">establish </w:t>
      </w:r>
      <w:r>
        <w:rPr>
          <w:bCs/>
          <w:lang w:val="en-AU"/>
        </w:rPr>
        <w:t xml:space="preserve">contact </w:t>
      </w:r>
      <w:r w:rsidRPr="007B4E58">
        <w:rPr>
          <w:bCs/>
          <w:lang w:val="en-AU"/>
        </w:rPr>
        <w:t>as soon as possible with their families</w:t>
      </w:r>
      <w:r>
        <w:rPr>
          <w:bCs/>
          <w:lang w:val="en-AU"/>
        </w:rPr>
        <w:t>,</w:t>
      </w:r>
      <w:r w:rsidRPr="007B4E58">
        <w:rPr>
          <w:bCs/>
          <w:lang w:val="en-AU"/>
        </w:rPr>
        <w:t xml:space="preserve"> and to ensure their prompt release and safe return to Israel and to their families.</w:t>
      </w:r>
    </w:p>
    <w:p w14:paraId="17E0813F" w14:textId="3BBC5A52" w:rsidR="00F37149" w:rsidRPr="000D01CD" w:rsidRDefault="00F37149" w:rsidP="00F37149">
      <w:pPr>
        <w:pStyle w:val="H23G"/>
      </w:pPr>
      <w:r>
        <w:tab/>
      </w:r>
      <w:r>
        <w:tab/>
      </w:r>
      <w:r w:rsidRPr="000D01CD">
        <w:tab/>
      </w:r>
      <w:r w:rsidRPr="003F4A12">
        <w:t>State party</w:t>
      </w:r>
      <w:r w:rsidR="004C4CBD">
        <w:t>’</w:t>
      </w:r>
      <w:r w:rsidRPr="003F4A12">
        <w:t>s observations on admissibility and the merits</w:t>
      </w:r>
    </w:p>
    <w:p w14:paraId="1ACB0EC7" w14:textId="77777777" w:rsidR="00F37149" w:rsidRDefault="00F37149" w:rsidP="00F37149">
      <w:pPr>
        <w:pStyle w:val="SingleTxtG"/>
      </w:pPr>
      <w:r w:rsidRPr="000D01CD">
        <w:t>4.1</w:t>
      </w:r>
      <w:r w:rsidRPr="000D01CD">
        <w:tab/>
      </w:r>
      <w:r w:rsidRPr="007F7E49">
        <w:t xml:space="preserve">On </w:t>
      </w:r>
      <w:r>
        <w:t xml:space="preserve">22 January and 8 June </w:t>
      </w:r>
      <w:r w:rsidRPr="007F7E49">
        <w:t>2021, the State party submitted its observations on admissibility</w:t>
      </w:r>
      <w:r>
        <w:t xml:space="preserve"> and the merits</w:t>
      </w:r>
      <w:r w:rsidRPr="007F7E49">
        <w:t xml:space="preserve"> of the com</w:t>
      </w:r>
      <w:r>
        <w:t>munications</w:t>
      </w:r>
      <w:r w:rsidRPr="007F7E49">
        <w:t>. It submits that the communication</w:t>
      </w:r>
      <w:r>
        <w:t>s</w:t>
      </w:r>
      <w:r w:rsidRPr="007F7E49">
        <w:t xml:space="preserve"> should be found inadmissible </w:t>
      </w:r>
      <w:r>
        <w:t>because: (a)</w:t>
      </w:r>
      <w:r w:rsidRPr="00713B76">
        <w:rPr>
          <w:lang w:val="en-US"/>
        </w:rPr>
        <w:t xml:space="preserve"> </w:t>
      </w:r>
      <w:r>
        <w:rPr>
          <w:lang w:val="en-US"/>
        </w:rPr>
        <w:t>they have been</w:t>
      </w:r>
      <w:r w:rsidRPr="00713B76">
        <w:rPr>
          <w:lang w:val="en-US"/>
        </w:rPr>
        <w:t xml:space="preserve"> examined under </w:t>
      </w:r>
      <w:r>
        <w:rPr>
          <w:lang w:val="en-US"/>
        </w:rPr>
        <w:t>an</w:t>
      </w:r>
      <w:r w:rsidRPr="00713B76">
        <w:rPr>
          <w:lang w:val="en-US"/>
        </w:rPr>
        <w:t xml:space="preserve">other procedure </w:t>
      </w:r>
      <w:r>
        <w:rPr>
          <w:lang w:val="en-US"/>
        </w:rPr>
        <w:t>of</w:t>
      </w:r>
      <w:r w:rsidRPr="00713B76">
        <w:rPr>
          <w:lang w:val="en-US"/>
        </w:rPr>
        <w:t xml:space="preserve"> international investigation</w:t>
      </w:r>
      <w:r>
        <w:rPr>
          <w:lang w:val="en-US"/>
        </w:rPr>
        <w:t xml:space="preserve"> or settlement; (b) domestic remedies have not been exhausted; and (c) the complaints have</w:t>
      </w:r>
      <w:r w:rsidRPr="00713B76">
        <w:rPr>
          <w:lang w:val="en-US"/>
        </w:rPr>
        <w:t xml:space="preserve"> not</w:t>
      </w:r>
      <w:r>
        <w:rPr>
          <w:lang w:val="en-US"/>
        </w:rPr>
        <w:t xml:space="preserve"> been</w:t>
      </w:r>
      <w:r w:rsidRPr="00713B76">
        <w:rPr>
          <w:lang w:val="en-US"/>
        </w:rPr>
        <w:t xml:space="preserve"> sufficiently substantiated.</w:t>
      </w:r>
    </w:p>
    <w:p w14:paraId="7B02A74E" w14:textId="7C097F91" w:rsidR="00F37149" w:rsidRDefault="00F37149" w:rsidP="00F37149">
      <w:pPr>
        <w:pStyle w:val="SingleTxtG"/>
      </w:pPr>
      <w:r>
        <w:t>4.2</w:t>
      </w:r>
      <w:r>
        <w:tab/>
        <w:t xml:space="preserve">The State party notes that it is aware of conflicting media reports regarding the whereabouts of the alleged victims. It notes that Mr. </w:t>
      </w:r>
      <w:proofErr w:type="spellStart"/>
      <w:r>
        <w:t>Mangisto</w:t>
      </w:r>
      <w:proofErr w:type="spellEnd"/>
      <w:r>
        <w:t xml:space="preserve"> may have entered the Gaza Strip in September 2014 and Mr. Al-Sayed in April 2015 and that it is alleged that they are being held by non-State actors. It argues, however, that reports from Palestinian, Israeli and international organizations provide inconsistent and conflicting information as to their whereabouts. It notes that the media described the circumstances of</w:t>
      </w:r>
      <w:r w:rsidR="00F175B8">
        <w:t xml:space="preserve"> </w:t>
      </w:r>
      <w:r>
        <w:t>Mr. Al-Sayed</w:t>
      </w:r>
      <w:r w:rsidR="004C4CBD">
        <w:t>’</w:t>
      </w:r>
      <w:r>
        <w:t xml:space="preserve">s alleged disappearance as unclear and that his father – one of the authors – stated in a media interview that he was confident that his son was in safe hands in the Gaza Strip and his family wished </w:t>
      </w:r>
      <w:r>
        <w:lastRenderedPageBreak/>
        <w:t>that he would remain in Gaza and marry there.</w:t>
      </w:r>
      <w:r w:rsidRPr="00AB6514">
        <w:rPr>
          <w:rStyle w:val="FootnoteReference"/>
        </w:rPr>
        <w:footnoteReference w:id="15"/>
      </w:r>
      <w:r>
        <w:t xml:space="preserve"> The State party also notes that, in another media interview, the father stated that he would not negotiate to get his son back, and urged the Israeli authorities not to negotiate for the release of his son.</w:t>
      </w:r>
      <w:r w:rsidRPr="00AB6514">
        <w:rPr>
          <w:rStyle w:val="FootnoteReference"/>
        </w:rPr>
        <w:footnoteReference w:id="16"/>
      </w:r>
      <w:r>
        <w:t xml:space="preserve"> The State party further notes that, as reported by several media outlets, Mr. </w:t>
      </w:r>
      <w:proofErr w:type="spellStart"/>
      <w:r>
        <w:t>Mangisto</w:t>
      </w:r>
      <w:proofErr w:type="spellEnd"/>
      <w:r>
        <w:t xml:space="preserve"> allegedly walked into the occupied Gaza Strip in September 2014, and was seen crossing the border into Gaza of his own volition.</w:t>
      </w:r>
      <w:r w:rsidRPr="00AB6514">
        <w:rPr>
          <w:rStyle w:val="FootnoteReference"/>
        </w:rPr>
        <w:footnoteReference w:id="17"/>
      </w:r>
      <w:r>
        <w:t xml:space="preserve"> The State party notes that it was reported in the media that Israel did not consider Mr. </w:t>
      </w:r>
      <w:proofErr w:type="spellStart"/>
      <w:r>
        <w:t>Mangisto</w:t>
      </w:r>
      <w:proofErr w:type="spellEnd"/>
      <w:r>
        <w:t xml:space="preserve"> to be a captive, and that Israel was treating the matter as a humanitarian issue.</w:t>
      </w:r>
      <w:r w:rsidRPr="00AB6514">
        <w:rPr>
          <w:rStyle w:val="FootnoteReference"/>
        </w:rPr>
        <w:footnoteReference w:id="18"/>
      </w:r>
      <w:r>
        <w:t xml:space="preserve"> The State party notes that Hamas has publicly stated that Mr. </w:t>
      </w:r>
      <w:proofErr w:type="spellStart"/>
      <w:r>
        <w:t>Mangisto</w:t>
      </w:r>
      <w:proofErr w:type="spellEnd"/>
      <w:r>
        <w:t xml:space="preserve"> left Gaza through tunnels in Rafah and continued on to Egypt.</w:t>
      </w:r>
      <w:r w:rsidRPr="00AB6514">
        <w:rPr>
          <w:rStyle w:val="FootnoteReference"/>
        </w:rPr>
        <w:footnoteReference w:id="19"/>
      </w:r>
      <w:r>
        <w:t xml:space="preserve"> The State party notes that owing to the lack of information as to the alleged victims</w:t>
      </w:r>
      <w:r w:rsidR="004C4CBD">
        <w:t>’</w:t>
      </w:r>
      <w:r>
        <w:t xml:space="preserve"> fate and whereabouts, it has had to resort to media outlets to provide information on the victims</w:t>
      </w:r>
      <w:r w:rsidR="004C4CBD">
        <w:t>’</w:t>
      </w:r>
      <w:r>
        <w:t xml:space="preserve"> alleged disappearance. It notes that it reached out to its security forces, which were unable </w:t>
      </w:r>
      <w:r w:rsidR="00FD5730">
        <w:t xml:space="preserve">to </w:t>
      </w:r>
      <w:r>
        <w:t>confirm the alleged victims</w:t>
      </w:r>
      <w:r w:rsidR="004C4CBD">
        <w:t>’</w:t>
      </w:r>
      <w:r>
        <w:t xml:space="preserve"> whereabouts.</w:t>
      </w:r>
    </w:p>
    <w:p w14:paraId="2FD95253" w14:textId="6471AC6A" w:rsidR="00F37149" w:rsidRDefault="00F37149" w:rsidP="00F37149">
      <w:pPr>
        <w:pStyle w:val="SingleTxtG"/>
        <w:rPr>
          <w:lang w:val="en-US"/>
        </w:rPr>
      </w:pPr>
      <w:r>
        <w:t>4.3</w:t>
      </w:r>
      <w:r>
        <w:tab/>
      </w:r>
      <w:r w:rsidRPr="00E6597B">
        <w:rPr>
          <w:lang w:val="en-US"/>
        </w:rPr>
        <w:t xml:space="preserve">The State party claims that the </w:t>
      </w:r>
      <w:r>
        <w:rPr>
          <w:lang w:val="en-US"/>
        </w:rPr>
        <w:t>G</w:t>
      </w:r>
      <w:r w:rsidRPr="00E6597B">
        <w:rPr>
          <w:lang w:val="en-US"/>
        </w:rPr>
        <w:t>overnment</w:t>
      </w:r>
      <w:r>
        <w:rPr>
          <w:lang w:val="en-US"/>
        </w:rPr>
        <w:t xml:space="preserve"> of Israel</w:t>
      </w:r>
      <w:r w:rsidRPr="00E6597B">
        <w:rPr>
          <w:lang w:val="en-US"/>
        </w:rPr>
        <w:t xml:space="preserve"> employs indiscriminate and illegal measures to prevent entry</w:t>
      </w:r>
      <w:r>
        <w:rPr>
          <w:lang w:val="en-US"/>
        </w:rPr>
        <w:t xml:space="preserve"> to</w:t>
      </w:r>
      <w:r w:rsidRPr="00E6597B">
        <w:rPr>
          <w:lang w:val="en-US"/>
        </w:rPr>
        <w:t xml:space="preserve"> and exit from the occupied Gaza Strip and has erected so-called </w:t>
      </w:r>
      <w:r w:rsidR="004C4CBD">
        <w:rPr>
          <w:lang w:val="en-US"/>
        </w:rPr>
        <w:t>“</w:t>
      </w:r>
      <w:r w:rsidRPr="00E6597B">
        <w:rPr>
          <w:lang w:val="en-US"/>
        </w:rPr>
        <w:t>no-go</w:t>
      </w:r>
      <w:r>
        <w:rPr>
          <w:lang w:val="en-US"/>
        </w:rPr>
        <w:t xml:space="preserve"> </w:t>
      </w:r>
      <w:r w:rsidRPr="00E6597B">
        <w:rPr>
          <w:lang w:val="en-US"/>
        </w:rPr>
        <w:t>zones</w:t>
      </w:r>
      <w:r w:rsidR="004C4CBD">
        <w:rPr>
          <w:lang w:val="en-US"/>
        </w:rPr>
        <w:t>”</w:t>
      </w:r>
      <w:r w:rsidRPr="00E6597B">
        <w:rPr>
          <w:lang w:val="en-US"/>
        </w:rPr>
        <w:t xml:space="preserve"> to which it forbids access. </w:t>
      </w:r>
      <w:r>
        <w:rPr>
          <w:lang w:val="en-US"/>
        </w:rPr>
        <w:t>The State party</w:t>
      </w:r>
      <w:r w:rsidRPr="00E6597B">
        <w:rPr>
          <w:lang w:val="en-US"/>
        </w:rPr>
        <w:t xml:space="preserve"> argues that the practical effect of these zones is to do away with even the most basic safeguards of humanitarian law intended to protect civilians in conflict zones. Any person entering these zones automatically loses the benefits of those safeguards. They are presumed to be a military target and may be subject to indiscriminate lethal violence without regard to their status as a civilian. It argues that Israel is in effective control of the military buffer zone established on the territory of the occupied Gaza Strip and is thus responsible for investigating events that allegedly violate international law. It claims that</w:t>
      </w:r>
      <w:r>
        <w:rPr>
          <w:lang w:val="en-US"/>
        </w:rPr>
        <w:t>,</w:t>
      </w:r>
      <w:r w:rsidRPr="00E6597B">
        <w:rPr>
          <w:lang w:val="en-US"/>
        </w:rPr>
        <w:t xml:space="preserve"> in </w:t>
      </w:r>
      <w:r>
        <w:rPr>
          <w:lang w:val="en-US"/>
        </w:rPr>
        <w:t xml:space="preserve">the </w:t>
      </w:r>
      <w:r w:rsidRPr="00E6597B">
        <w:rPr>
          <w:lang w:val="en-US"/>
        </w:rPr>
        <w:t>light of this situation</w:t>
      </w:r>
      <w:r>
        <w:rPr>
          <w:lang w:val="en-US"/>
        </w:rPr>
        <w:t>,</w:t>
      </w:r>
      <w:r w:rsidRPr="00E6597B">
        <w:rPr>
          <w:lang w:val="en-US"/>
        </w:rPr>
        <w:t xml:space="preserve"> it is difficult to comprehend how the alleged disappearance of</w:t>
      </w:r>
      <w:r>
        <w:rPr>
          <w:lang w:val="en-US"/>
        </w:rPr>
        <w:t xml:space="preserve"> the alleged victims into the </w:t>
      </w:r>
      <w:r w:rsidRPr="00787529">
        <w:rPr>
          <w:lang w:val="en-US"/>
        </w:rPr>
        <w:t xml:space="preserve">Gaza Strip went unhindered and uninterrupted by Israeli forces. </w:t>
      </w:r>
    </w:p>
    <w:p w14:paraId="3F37FEB6" w14:textId="27951C12" w:rsidR="00F37149" w:rsidRDefault="00F37149" w:rsidP="00F37149">
      <w:pPr>
        <w:pStyle w:val="SingleTxtG"/>
        <w:rPr>
          <w:lang w:val="en-US"/>
        </w:rPr>
      </w:pPr>
      <w:r>
        <w:rPr>
          <w:lang w:val="en-US"/>
        </w:rPr>
        <w:t>4.4</w:t>
      </w:r>
      <w:r>
        <w:rPr>
          <w:lang w:val="en-US"/>
        </w:rPr>
        <w:tab/>
      </w:r>
      <w:r w:rsidRPr="00DC054B">
        <w:rPr>
          <w:lang w:val="en-US"/>
        </w:rPr>
        <w:t xml:space="preserve">The </w:t>
      </w:r>
      <w:r>
        <w:rPr>
          <w:lang w:val="en-US"/>
        </w:rPr>
        <w:t xml:space="preserve">State party notes that it has been unable to independently verify </w:t>
      </w:r>
      <w:r w:rsidRPr="00DC054B">
        <w:rPr>
          <w:lang w:val="en-US"/>
        </w:rPr>
        <w:t>information in the public domain</w:t>
      </w:r>
      <w:r>
        <w:rPr>
          <w:lang w:val="en-US"/>
        </w:rPr>
        <w:t xml:space="preserve"> regarding the alleged victims</w:t>
      </w:r>
      <w:r w:rsidR="004C4CBD">
        <w:rPr>
          <w:lang w:val="en-US"/>
        </w:rPr>
        <w:t>’</w:t>
      </w:r>
      <w:r>
        <w:rPr>
          <w:lang w:val="en-US"/>
        </w:rPr>
        <w:t xml:space="preserve"> disappearance</w:t>
      </w:r>
      <w:r w:rsidRPr="00DC054B">
        <w:rPr>
          <w:lang w:val="en-US"/>
        </w:rPr>
        <w:t xml:space="preserve">. </w:t>
      </w:r>
      <w:r>
        <w:rPr>
          <w:lang w:val="en-US"/>
        </w:rPr>
        <w:t>It claims that the</w:t>
      </w:r>
      <w:r w:rsidRPr="00DC054B">
        <w:rPr>
          <w:lang w:val="en-US"/>
        </w:rPr>
        <w:t xml:space="preserve"> continued illegal occupation and blockade of the occupied Gaza Strip</w:t>
      </w:r>
      <w:r>
        <w:rPr>
          <w:lang w:val="en-US"/>
        </w:rPr>
        <w:t xml:space="preserve"> by Israel</w:t>
      </w:r>
      <w:r w:rsidRPr="00DC054B">
        <w:rPr>
          <w:lang w:val="en-US"/>
        </w:rPr>
        <w:t xml:space="preserve"> undermines a</w:t>
      </w:r>
      <w:r>
        <w:rPr>
          <w:lang w:val="en-US"/>
        </w:rPr>
        <w:t>ny</w:t>
      </w:r>
      <w:r w:rsidRPr="00DC054B">
        <w:rPr>
          <w:lang w:val="en-US"/>
        </w:rPr>
        <w:t xml:space="preserve"> determination </w:t>
      </w:r>
      <w:r>
        <w:rPr>
          <w:lang w:val="en-US"/>
        </w:rPr>
        <w:t>of</w:t>
      </w:r>
      <w:r w:rsidRPr="00DC054B">
        <w:rPr>
          <w:lang w:val="en-US"/>
        </w:rPr>
        <w:t xml:space="preserve"> the veracity of th</w:t>
      </w:r>
      <w:r>
        <w:rPr>
          <w:lang w:val="en-US"/>
        </w:rPr>
        <w:t xml:space="preserve">e </w:t>
      </w:r>
      <w:r w:rsidRPr="00DC054B">
        <w:rPr>
          <w:lang w:val="en-US"/>
        </w:rPr>
        <w:t xml:space="preserve">claims </w:t>
      </w:r>
      <w:r>
        <w:rPr>
          <w:lang w:val="en-US"/>
        </w:rPr>
        <w:t>or</w:t>
      </w:r>
      <w:r w:rsidRPr="00DC054B">
        <w:rPr>
          <w:lang w:val="en-US"/>
        </w:rPr>
        <w:t xml:space="preserve"> the identification of any alleged perpetrators. </w:t>
      </w:r>
      <w:r>
        <w:rPr>
          <w:lang w:val="en-US"/>
        </w:rPr>
        <w:t xml:space="preserve">It further notes that it </w:t>
      </w:r>
      <w:r w:rsidRPr="00DC054B">
        <w:rPr>
          <w:lang w:val="en-US"/>
        </w:rPr>
        <w:t>continues to confront the consequences of the political division and Hamas</w:t>
      </w:r>
      <w:r w:rsidR="004C4CBD">
        <w:rPr>
          <w:lang w:val="en-US"/>
        </w:rPr>
        <w:t>’</w:t>
      </w:r>
      <w:r>
        <w:rPr>
          <w:lang w:val="en-US"/>
        </w:rPr>
        <w:t>s</w:t>
      </w:r>
      <w:r w:rsidRPr="00DC054B">
        <w:rPr>
          <w:lang w:val="en-US"/>
        </w:rPr>
        <w:t xml:space="preserve"> unlawful control over the occupied Gaza Strip</w:t>
      </w:r>
      <w:r>
        <w:rPr>
          <w:lang w:val="en-US"/>
        </w:rPr>
        <w:t>, which has</w:t>
      </w:r>
      <w:r w:rsidRPr="00DC054B">
        <w:rPr>
          <w:lang w:val="en-US"/>
        </w:rPr>
        <w:t xml:space="preserve"> led to the severance of </w:t>
      </w:r>
      <w:r>
        <w:rPr>
          <w:lang w:val="en-US"/>
        </w:rPr>
        <w:t>its</w:t>
      </w:r>
      <w:r w:rsidRPr="00DC054B">
        <w:rPr>
          <w:lang w:val="en-US"/>
        </w:rPr>
        <w:t xml:space="preserve"> security control in the Gaza Strip, further hampering the ability to verify the information. </w:t>
      </w:r>
      <w:r>
        <w:rPr>
          <w:lang w:val="en-US"/>
        </w:rPr>
        <w:t xml:space="preserve">It notes that </w:t>
      </w:r>
      <w:r w:rsidRPr="00DC054B">
        <w:rPr>
          <w:lang w:val="en-US"/>
        </w:rPr>
        <w:t xml:space="preserve">while Hamas entered </w:t>
      </w:r>
      <w:r>
        <w:rPr>
          <w:lang w:val="en-US"/>
        </w:rPr>
        <w:t xml:space="preserve">Palestinian </w:t>
      </w:r>
      <w:r w:rsidRPr="00DC054B">
        <w:rPr>
          <w:lang w:val="en-US"/>
        </w:rPr>
        <w:t xml:space="preserve">Legislative Council elections in 2006 and became part of the political system, it does not have members in the current </w:t>
      </w:r>
      <w:r>
        <w:rPr>
          <w:lang w:val="en-US"/>
        </w:rPr>
        <w:t>Government</w:t>
      </w:r>
      <w:r w:rsidRPr="00DC054B">
        <w:rPr>
          <w:lang w:val="en-US"/>
        </w:rPr>
        <w:t xml:space="preserve">, owing to its ongoing unlawful control of the occupied Gaza Strip. </w:t>
      </w:r>
      <w:r>
        <w:rPr>
          <w:lang w:val="en-US"/>
        </w:rPr>
        <w:t>The State party further notes that n</w:t>
      </w:r>
      <w:r w:rsidRPr="00DC054B">
        <w:rPr>
          <w:lang w:val="en-US"/>
        </w:rPr>
        <w:t>otwithstanding the lack of security control in the Gaza Strip</w:t>
      </w:r>
      <w:r>
        <w:rPr>
          <w:lang w:val="en-US"/>
        </w:rPr>
        <w:t>,</w:t>
      </w:r>
      <w:r w:rsidRPr="00DC054B">
        <w:rPr>
          <w:lang w:val="en-US"/>
        </w:rPr>
        <w:t xml:space="preserve"> and in </w:t>
      </w:r>
      <w:r>
        <w:rPr>
          <w:lang w:val="en-US"/>
        </w:rPr>
        <w:t>accordance</w:t>
      </w:r>
      <w:r w:rsidRPr="00DC054B">
        <w:rPr>
          <w:lang w:val="en-US"/>
        </w:rPr>
        <w:t xml:space="preserve"> with </w:t>
      </w:r>
      <w:r>
        <w:rPr>
          <w:lang w:val="en-US"/>
        </w:rPr>
        <w:t>its</w:t>
      </w:r>
      <w:r w:rsidRPr="00DC054B">
        <w:rPr>
          <w:lang w:val="en-US"/>
        </w:rPr>
        <w:t xml:space="preserve"> principled commitments to international law, </w:t>
      </w:r>
      <w:r>
        <w:rPr>
          <w:lang w:val="en-US"/>
        </w:rPr>
        <w:t>it has</w:t>
      </w:r>
      <w:r w:rsidRPr="00DC054B">
        <w:rPr>
          <w:lang w:val="en-US"/>
        </w:rPr>
        <w:t xml:space="preserve"> repeatedly and continually condemned any acts of violence against civilians. </w:t>
      </w:r>
      <w:r>
        <w:rPr>
          <w:lang w:val="en-US"/>
        </w:rPr>
        <w:t>W</w:t>
      </w:r>
      <w:r w:rsidRPr="00DC054B">
        <w:rPr>
          <w:lang w:val="en-US"/>
        </w:rPr>
        <w:t>hen the alleged disappearance of Mr.</w:t>
      </w:r>
      <w:r>
        <w:rPr>
          <w:lang w:val="en-US"/>
        </w:rPr>
        <w:t xml:space="preserve"> </w:t>
      </w:r>
      <w:proofErr w:type="spellStart"/>
      <w:r w:rsidRPr="00DC054B">
        <w:rPr>
          <w:lang w:val="en-US"/>
        </w:rPr>
        <w:t>Mangisto</w:t>
      </w:r>
      <w:proofErr w:type="spellEnd"/>
      <w:r w:rsidRPr="00DC054B">
        <w:rPr>
          <w:lang w:val="en-US"/>
        </w:rPr>
        <w:t xml:space="preserve"> was brought to the attention of </w:t>
      </w:r>
      <w:r>
        <w:rPr>
          <w:lang w:val="en-US"/>
        </w:rPr>
        <w:t xml:space="preserve">the </w:t>
      </w:r>
      <w:r w:rsidRPr="00DC054B">
        <w:rPr>
          <w:lang w:val="en-US"/>
        </w:rPr>
        <w:t>President</w:t>
      </w:r>
      <w:r>
        <w:rPr>
          <w:lang w:val="en-US"/>
        </w:rPr>
        <w:t>,</w:t>
      </w:r>
      <w:r w:rsidRPr="00DC054B">
        <w:rPr>
          <w:lang w:val="en-US"/>
        </w:rPr>
        <w:t xml:space="preserve"> Mahmoud Abbas, </w:t>
      </w:r>
      <w:r>
        <w:rPr>
          <w:lang w:val="en-US"/>
        </w:rPr>
        <w:t>he</w:t>
      </w:r>
      <w:r w:rsidRPr="00DC054B">
        <w:rPr>
          <w:lang w:val="en-US"/>
        </w:rPr>
        <w:t xml:space="preserve"> met with </w:t>
      </w:r>
      <w:r>
        <w:rPr>
          <w:lang w:val="en-US"/>
        </w:rPr>
        <w:t>his</w:t>
      </w:r>
      <w:r w:rsidRPr="00DC054B">
        <w:rPr>
          <w:lang w:val="en-US"/>
        </w:rPr>
        <w:t xml:space="preserve"> family and promised to do everything in his power to </w:t>
      </w:r>
      <w:r>
        <w:rPr>
          <w:lang w:val="en-US"/>
        </w:rPr>
        <w:t>enquire into his</w:t>
      </w:r>
      <w:r w:rsidRPr="00DC054B">
        <w:rPr>
          <w:lang w:val="en-US"/>
        </w:rPr>
        <w:t xml:space="preserve"> whereabouts</w:t>
      </w:r>
      <w:r>
        <w:rPr>
          <w:lang w:val="en-US"/>
        </w:rPr>
        <w:t>, stating that he saw the</w:t>
      </w:r>
      <w:r w:rsidRPr="00DC054B">
        <w:rPr>
          <w:lang w:val="en-US"/>
        </w:rPr>
        <w:t xml:space="preserve"> case as a humanitarian one.</w:t>
      </w:r>
      <w:r w:rsidRPr="00AB6514">
        <w:rPr>
          <w:rStyle w:val="FootnoteReference"/>
        </w:rPr>
        <w:footnoteReference w:id="20"/>
      </w:r>
      <w:r>
        <w:rPr>
          <w:lang w:val="en-US"/>
        </w:rPr>
        <w:t xml:space="preserve"> Following this meeting, </w:t>
      </w:r>
      <w:r w:rsidRPr="00DC054B">
        <w:rPr>
          <w:lang w:val="en-US"/>
        </w:rPr>
        <w:t xml:space="preserve">out of humanitarian concern, and in </w:t>
      </w:r>
      <w:r>
        <w:rPr>
          <w:lang w:val="en-US"/>
        </w:rPr>
        <w:t>accordance</w:t>
      </w:r>
      <w:r w:rsidRPr="00DC054B">
        <w:rPr>
          <w:lang w:val="en-US"/>
        </w:rPr>
        <w:t xml:space="preserve"> with the State </w:t>
      </w:r>
      <w:r>
        <w:rPr>
          <w:lang w:val="en-US"/>
        </w:rPr>
        <w:t>party</w:t>
      </w:r>
      <w:r w:rsidR="004C4CBD">
        <w:rPr>
          <w:lang w:val="en-US"/>
        </w:rPr>
        <w:t>’</w:t>
      </w:r>
      <w:r>
        <w:rPr>
          <w:lang w:val="en-US"/>
        </w:rPr>
        <w:t xml:space="preserve">s </w:t>
      </w:r>
      <w:r w:rsidRPr="00DC054B">
        <w:rPr>
          <w:lang w:val="en-US"/>
        </w:rPr>
        <w:t xml:space="preserve">obligations and duties under international law, </w:t>
      </w:r>
      <w:r>
        <w:rPr>
          <w:lang w:val="en-US"/>
        </w:rPr>
        <w:t>the President</w:t>
      </w:r>
      <w:r w:rsidRPr="00DC054B">
        <w:rPr>
          <w:lang w:val="en-US"/>
        </w:rPr>
        <w:t xml:space="preserve"> instructed the relevant authorities to provide all possible assistance to </w:t>
      </w:r>
      <w:r>
        <w:rPr>
          <w:lang w:val="en-US"/>
        </w:rPr>
        <w:t>establish</w:t>
      </w:r>
      <w:r w:rsidRPr="00DC054B">
        <w:rPr>
          <w:lang w:val="en-US"/>
        </w:rPr>
        <w:t xml:space="preserve"> the whereabouts of Mr.</w:t>
      </w:r>
      <w:r>
        <w:rPr>
          <w:lang w:val="en-US"/>
        </w:rPr>
        <w:t xml:space="preserve"> </w:t>
      </w:r>
      <w:proofErr w:type="spellStart"/>
      <w:r w:rsidRPr="00DC054B">
        <w:rPr>
          <w:lang w:val="en-US"/>
        </w:rPr>
        <w:t>Mangisto</w:t>
      </w:r>
      <w:proofErr w:type="spellEnd"/>
      <w:r>
        <w:rPr>
          <w:lang w:val="en-US"/>
        </w:rPr>
        <w:t>. These</w:t>
      </w:r>
      <w:r w:rsidRPr="00DC054B">
        <w:rPr>
          <w:lang w:val="en-US"/>
        </w:rPr>
        <w:t xml:space="preserve"> efforts are </w:t>
      </w:r>
      <w:r>
        <w:rPr>
          <w:lang w:val="en-US"/>
        </w:rPr>
        <w:t>ongoing</w:t>
      </w:r>
      <w:r w:rsidRPr="00DC054B">
        <w:rPr>
          <w:lang w:val="en-US"/>
        </w:rPr>
        <w:t xml:space="preserve">. </w:t>
      </w:r>
    </w:p>
    <w:p w14:paraId="62336DAC" w14:textId="3AE5C688" w:rsidR="00F37149" w:rsidRPr="00713B76" w:rsidRDefault="00F37149" w:rsidP="00F37149">
      <w:pPr>
        <w:pStyle w:val="SingleTxtG"/>
        <w:rPr>
          <w:lang w:val="en-US"/>
        </w:rPr>
      </w:pPr>
      <w:r w:rsidRPr="00713B76">
        <w:rPr>
          <w:lang w:val="en-US"/>
        </w:rPr>
        <w:t>4.5</w:t>
      </w:r>
      <w:r w:rsidRPr="00713B76">
        <w:rPr>
          <w:lang w:val="en-US"/>
        </w:rPr>
        <w:tab/>
      </w:r>
      <w:r w:rsidRPr="00E6597B">
        <w:rPr>
          <w:lang w:val="en-US"/>
        </w:rPr>
        <w:t>The State party notes that there exist important factors that directly affect the possibility of an effective investigation</w:t>
      </w:r>
      <w:r w:rsidRPr="00571B28">
        <w:rPr>
          <w:lang w:val="en-US"/>
        </w:rPr>
        <w:t xml:space="preserve"> </w:t>
      </w:r>
      <w:r w:rsidRPr="00E6597B">
        <w:rPr>
          <w:lang w:val="en-US"/>
        </w:rPr>
        <w:t>at the domestic level of the claims raised in the communications before the Committee</w:t>
      </w:r>
      <w:r>
        <w:rPr>
          <w:lang w:val="en-US"/>
        </w:rPr>
        <w:t>.</w:t>
      </w:r>
      <w:r w:rsidRPr="00E6597B">
        <w:rPr>
          <w:lang w:val="en-US"/>
        </w:rPr>
        <w:t xml:space="preserve"> </w:t>
      </w:r>
      <w:r>
        <w:rPr>
          <w:lang w:val="en-US"/>
        </w:rPr>
        <w:t>Owing</w:t>
      </w:r>
      <w:r w:rsidRPr="00E6597B">
        <w:rPr>
          <w:lang w:val="en-US"/>
        </w:rPr>
        <w:t xml:space="preserve"> to the blockade of the Gaza St</w:t>
      </w:r>
      <w:r>
        <w:rPr>
          <w:lang w:val="en-US"/>
        </w:rPr>
        <w:t>r</w:t>
      </w:r>
      <w:r w:rsidRPr="00E6597B">
        <w:rPr>
          <w:lang w:val="en-US"/>
        </w:rPr>
        <w:t>ip</w:t>
      </w:r>
      <w:r>
        <w:rPr>
          <w:lang w:val="en-US"/>
        </w:rPr>
        <w:t>,</w:t>
      </w:r>
      <w:r w:rsidRPr="00E6597B">
        <w:rPr>
          <w:lang w:val="en-US"/>
        </w:rPr>
        <w:t xml:space="preserve"> </w:t>
      </w:r>
      <w:r>
        <w:rPr>
          <w:lang w:val="en-US"/>
        </w:rPr>
        <w:t xml:space="preserve">the State </w:t>
      </w:r>
      <w:r>
        <w:rPr>
          <w:lang w:val="en-US"/>
        </w:rPr>
        <w:lastRenderedPageBreak/>
        <w:t>party</w:t>
      </w:r>
      <w:r w:rsidR="004C4CBD">
        <w:rPr>
          <w:lang w:val="en-US"/>
        </w:rPr>
        <w:t>’</w:t>
      </w:r>
      <w:r>
        <w:rPr>
          <w:lang w:val="en-US"/>
        </w:rPr>
        <w:t>s</w:t>
      </w:r>
      <w:r w:rsidRPr="00E6597B">
        <w:rPr>
          <w:lang w:val="en-US"/>
        </w:rPr>
        <w:t xml:space="preserve"> capacity to reach the occupied Gaza Strip and conduct investigations </w:t>
      </w:r>
      <w:r>
        <w:rPr>
          <w:lang w:val="en-US"/>
        </w:rPr>
        <w:t>is</w:t>
      </w:r>
      <w:r w:rsidRPr="00E6597B">
        <w:rPr>
          <w:lang w:val="en-US"/>
        </w:rPr>
        <w:t xml:space="preserve"> severely curtailed and sometimes completely undermined by the practices, limitations and prohibitions imposed by the Israeli occupation forces. It additionally notes that the blockade has thus far prevented all domestic </w:t>
      </w:r>
      <w:r>
        <w:rPr>
          <w:lang w:val="en-US"/>
        </w:rPr>
        <w:t>and</w:t>
      </w:r>
      <w:r w:rsidRPr="00E6597B">
        <w:rPr>
          <w:lang w:val="en-US"/>
        </w:rPr>
        <w:t xml:space="preserve"> international </w:t>
      </w:r>
      <w:r>
        <w:rPr>
          <w:lang w:val="en-US"/>
        </w:rPr>
        <w:t>attempts</w:t>
      </w:r>
      <w:r w:rsidRPr="00E6597B">
        <w:rPr>
          <w:lang w:val="en-US"/>
        </w:rPr>
        <w:t xml:space="preserve"> to enter the occupied Gaza Strip with a view to investigat</w:t>
      </w:r>
      <w:r>
        <w:rPr>
          <w:lang w:val="en-US"/>
        </w:rPr>
        <w:t>ing</w:t>
      </w:r>
      <w:r w:rsidRPr="00E6597B">
        <w:rPr>
          <w:lang w:val="en-US"/>
        </w:rPr>
        <w:t xml:space="preserve"> or verify</w:t>
      </w:r>
      <w:r>
        <w:rPr>
          <w:lang w:val="en-US"/>
        </w:rPr>
        <w:t>ing</w:t>
      </w:r>
      <w:r w:rsidRPr="00E6597B">
        <w:rPr>
          <w:lang w:val="en-US"/>
        </w:rPr>
        <w:t xml:space="preserve"> allegations of crimes committed by non-State actors, except for</w:t>
      </w:r>
      <w:r>
        <w:rPr>
          <w:lang w:val="en-US"/>
        </w:rPr>
        <w:t xml:space="preserve"> those attempts made by</w:t>
      </w:r>
      <w:r w:rsidRPr="00E6597B">
        <w:rPr>
          <w:lang w:val="en-US"/>
        </w:rPr>
        <w:t xml:space="preserve"> international organizations, including </w:t>
      </w:r>
      <w:r w:rsidRPr="0078009D">
        <w:rPr>
          <w:lang w:val="en-US"/>
        </w:rPr>
        <w:t>the International Committee of the Red Cross (ICRC).</w:t>
      </w:r>
      <w:r w:rsidRPr="00E6597B">
        <w:rPr>
          <w:lang w:val="en-US"/>
        </w:rPr>
        <w:t xml:space="preserve"> </w:t>
      </w:r>
      <w:r>
        <w:rPr>
          <w:lang w:val="en-US"/>
        </w:rPr>
        <w:t>The State party</w:t>
      </w:r>
      <w:r w:rsidRPr="00E6597B">
        <w:rPr>
          <w:lang w:val="en-US"/>
        </w:rPr>
        <w:t xml:space="preserve"> claims that so far Israel has completely failed to cooperate by, inter alia, denying access to the occupied Gaza Strip to any</w:t>
      </w:r>
      <w:r w:rsidRPr="00713B76">
        <w:rPr>
          <w:lang w:val="en-US"/>
        </w:rPr>
        <w:t xml:space="preserve"> official</w:t>
      </w:r>
      <w:r>
        <w:rPr>
          <w:lang w:val="en-US"/>
        </w:rPr>
        <w:t>s</w:t>
      </w:r>
      <w:r w:rsidRPr="00713B76">
        <w:rPr>
          <w:lang w:val="en-US"/>
        </w:rPr>
        <w:t>, organization</w:t>
      </w:r>
      <w:r>
        <w:rPr>
          <w:lang w:val="en-US"/>
        </w:rPr>
        <w:t>s</w:t>
      </w:r>
      <w:r w:rsidRPr="00713B76">
        <w:rPr>
          <w:lang w:val="en-US"/>
        </w:rPr>
        <w:t xml:space="preserve"> or group</w:t>
      </w:r>
      <w:r>
        <w:rPr>
          <w:lang w:val="en-US"/>
        </w:rPr>
        <w:t>s</w:t>
      </w:r>
      <w:r w:rsidRPr="00713B76">
        <w:rPr>
          <w:lang w:val="en-US"/>
        </w:rPr>
        <w:t xml:space="preserve"> investigating the matter. It argues that in so doing, Israel has directly contributed to the </w:t>
      </w:r>
      <w:r>
        <w:rPr>
          <w:lang w:val="en-US"/>
        </w:rPr>
        <w:t xml:space="preserve">fact that the </w:t>
      </w:r>
      <w:r w:rsidRPr="00713B76">
        <w:rPr>
          <w:lang w:val="en-US"/>
        </w:rPr>
        <w:t xml:space="preserve">alleged crimes remain unresolved. It notes that State party authorities have </w:t>
      </w:r>
      <w:r>
        <w:rPr>
          <w:lang w:val="en-US"/>
        </w:rPr>
        <w:t>made</w:t>
      </w:r>
      <w:r w:rsidRPr="00713B76">
        <w:rPr>
          <w:lang w:val="en-US"/>
        </w:rPr>
        <w:t xml:space="preserve"> efforts to secure justice for victims of alleged crimes </w:t>
      </w:r>
      <w:r>
        <w:rPr>
          <w:lang w:val="en-US"/>
        </w:rPr>
        <w:t>but</w:t>
      </w:r>
      <w:r w:rsidRPr="00713B76">
        <w:rPr>
          <w:lang w:val="en-US"/>
        </w:rPr>
        <w:t xml:space="preserve"> that</w:t>
      </w:r>
      <w:r>
        <w:rPr>
          <w:lang w:val="en-US"/>
        </w:rPr>
        <w:t>,</w:t>
      </w:r>
      <w:r w:rsidRPr="00713B76">
        <w:rPr>
          <w:lang w:val="en-US"/>
        </w:rPr>
        <w:t xml:space="preserve"> </w:t>
      </w:r>
      <w:r>
        <w:rPr>
          <w:lang w:val="en-US"/>
        </w:rPr>
        <w:t>owing</w:t>
      </w:r>
      <w:r w:rsidRPr="00713B76">
        <w:rPr>
          <w:lang w:val="en-US"/>
        </w:rPr>
        <w:t xml:space="preserve"> to the factors mentioned above</w:t>
      </w:r>
      <w:r>
        <w:rPr>
          <w:lang w:val="en-US"/>
        </w:rPr>
        <w:t>,</w:t>
      </w:r>
      <w:r w:rsidRPr="00713B76">
        <w:rPr>
          <w:lang w:val="en-US"/>
        </w:rPr>
        <w:t xml:space="preserve"> it has resorted to international bodies and mechanisms, including special procedures, to independently verify and investigate alleged crimes and violations of international humanitarian and human rights law perpetrated in the State party</w:t>
      </w:r>
      <w:r w:rsidRPr="00C01D69">
        <w:rPr>
          <w:lang w:val="en-US"/>
        </w:rPr>
        <w:t>.</w:t>
      </w:r>
      <w:r w:rsidRPr="00C01D69">
        <w:rPr>
          <w:rFonts w:ascii="Palatino Linotype" w:eastAsiaTheme="minorHAnsi" w:hAnsi="Palatino Linotype"/>
          <w:sz w:val="22"/>
          <w:szCs w:val="22"/>
          <w:lang w:val="en-US"/>
        </w:rPr>
        <w:t xml:space="preserve"> </w:t>
      </w:r>
      <w:r w:rsidRPr="00C01D69">
        <w:rPr>
          <w:lang w:val="en-US"/>
        </w:rPr>
        <w:t>It</w:t>
      </w:r>
      <w:r w:rsidRPr="00713B76">
        <w:rPr>
          <w:lang w:val="en-US"/>
        </w:rPr>
        <w:t xml:space="preserve"> notes that it is also aware and supportive of several international interventions to establish the whereabouts of the alleged victims, including by several States, </w:t>
      </w:r>
      <w:r>
        <w:rPr>
          <w:lang w:val="en-US"/>
        </w:rPr>
        <w:t>such as</w:t>
      </w:r>
      <w:r w:rsidRPr="00713B76">
        <w:rPr>
          <w:lang w:val="en-US"/>
        </w:rPr>
        <w:t xml:space="preserve"> Switzerland and Egypt, and most importantly </w:t>
      </w:r>
      <w:r w:rsidRPr="00DA4793">
        <w:rPr>
          <w:lang w:val="en-US"/>
        </w:rPr>
        <w:t>by ICRC.</w:t>
      </w:r>
      <w:r w:rsidRPr="00AB6514">
        <w:rPr>
          <w:rStyle w:val="FootnoteReference"/>
        </w:rPr>
        <w:footnoteReference w:id="21"/>
      </w:r>
      <w:r w:rsidRPr="00DA4793">
        <w:rPr>
          <w:lang w:val="en-US"/>
        </w:rPr>
        <w:t xml:space="preserve"> Out of concern, the State party authorities are in regular contact with ICRC and have expressed their willingness to cooperate when and if needed.</w:t>
      </w:r>
      <w:r w:rsidRPr="00AB6514">
        <w:rPr>
          <w:rStyle w:val="FootnoteReference"/>
        </w:rPr>
        <w:footnoteReference w:id="22"/>
      </w:r>
      <w:r w:rsidRPr="00DA4793">
        <w:rPr>
          <w:lang w:val="en-US"/>
        </w:rPr>
        <w:t xml:space="preserve"> Within its mandate, ICRC plays a crucial and interlocutory role on humanitarian issues, including those relating to detainees and prisoners. ICRC remains</w:t>
      </w:r>
      <w:r w:rsidRPr="00713B76">
        <w:rPr>
          <w:lang w:val="en-US"/>
        </w:rPr>
        <w:t xml:space="preserve"> in direct contact with the parties involved and </w:t>
      </w:r>
      <w:r>
        <w:rPr>
          <w:lang w:val="en-US"/>
        </w:rPr>
        <w:t xml:space="preserve">is examining </w:t>
      </w:r>
      <w:r w:rsidRPr="00713B76">
        <w:rPr>
          <w:lang w:val="en-US"/>
        </w:rPr>
        <w:t>the case.</w:t>
      </w:r>
    </w:p>
    <w:p w14:paraId="6A034C5A" w14:textId="01B8A3D8" w:rsidR="00F37149" w:rsidRPr="000D01CD" w:rsidRDefault="00F37149" w:rsidP="00F37149">
      <w:pPr>
        <w:pStyle w:val="H23G"/>
      </w:pPr>
      <w:r w:rsidRPr="000D01CD">
        <w:tab/>
      </w:r>
      <w:r>
        <w:tab/>
      </w:r>
      <w:r>
        <w:tab/>
      </w:r>
      <w:r w:rsidRPr="007309B9">
        <w:t>Authors</w:t>
      </w:r>
      <w:r w:rsidR="004C4CBD">
        <w:t>’</w:t>
      </w:r>
      <w:r w:rsidRPr="007309B9">
        <w:t xml:space="preserve"> comments on the State party</w:t>
      </w:r>
      <w:r w:rsidR="004C4CBD">
        <w:t>’</w:t>
      </w:r>
      <w:r w:rsidRPr="007309B9">
        <w:t>s observations on admissibility and the merits</w:t>
      </w:r>
    </w:p>
    <w:p w14:paraId="1B9515FA" w14:textId="133CDD41" w:rsidR="00F37149" w:rsidRDefault="00F37149" w:rsidP="00F37149">
      <w:pPr>
        <w:pStyle w:val="SingleTxtG"/>
        <w:keepNext/>
      </w:pPr>
      <w:r w:rsidRPr="000D01CD">
        <w:t>5.</w:t>
      </w:r>
      <w:r>
        <w:t>1</w:t>
      </w:r>
      <w:r w:rsidRPr="000D01CD">
        <w:tab/>
      </w:r>
      <w:r w:rsidRPr="00BB271E">
        <w:t xml:space="preserve">On </w:t>
      </w:r>
      <w:r>
        <w:t>25 May and 10 October 2021, the authors submitted their comments on the State party</w:t>
      </w:r>
      <w:r w:rsidR="004C4CBD">
        <w:t>’</w:t>
      </w:r>
      <w:r>
        <w:t>s observations. They maintain that the communications are admissible. They argue that many</w:t>
      </w:r>
      <w:r w:rsidRPr="0071063C">
        <w:t xml:space="preserve"> of the observations </w:t>
      </w:r>
      <w:r>
        <w:t xml:space="preserve">by the State party </w:t>
      </w:r>
      <w:r w:rsidRPr="0071063C">
        <w:t xml:space="preserve">focus on the responsibilities of Israel and imply that the communications were submitted in coordination with </w:t>
      </w:r>
      <w:r>
        <w:t>it</w:t>
      </w:r>
      <w:r w:rsidRPr="0071063C">
        <w:t xml:space="preserve">. </w:t>
      </w:r>
      <w:r>
        <w:t xml:space="preserve">The authors note that the </w:t>
      </w:r>
      <w:r w:rsidRPr="0071063C">
        <w:t xml:space="preserve">communications were submitted on behalf of the </w:t>
      </w:r>
      <w:r>
        <w:t xml:space="preserve">alleged </w:t>
      </w:r>
      <w:r w:rsidRPr="0071063C">
        <w:t>victims</w:t>
      </w:r>
      <w:r>
        <w:t xml:space="preserve"> </w:t>
      </w:r>
      <w:r w:rsidRPr="0071063C">
        <w:t xml:space="preserve">without any involvement of </w:t>
      </w:r>
      <w:r>
        <w:t xml:space="preserve">Israel, that the </w:t>
      </w:r>
      <w:r w:rsidRPr="0071063C">
        <w:t>clinic</w:t>
      </w:r>
      <w:r>
        <w:t xml:space="preserve"> representing them in the communications</w:t>
      </w:r>
      <w:r w:rsidRPr="0071063C">
        <w:t xml:space="preserve"> provides </w:t>
      </w:r>
      <w:r w:rsidRPr="005A7028">
        <w:t>pro bono</w:t>
      </w:r>
      <w:r w:rsidRPr="0071063C">
        <w:rPr>
          <w:i/>
          <w:iCs/>
        </w:rPr>
        <w:t xml:space="preserve"> </w:t>
      </w:r>
      <w:r w:rsidRPr="0071063C">
        <w:t xml:space="preserve">legal services every year to </w:t>
      </w:r>
      <w:r>
        <w:t>a l</w:t>
      </w:r>
      <w:r w:rsidRPr="0071063C">
        <w:t xml:space="preserve">arge number of victims, and </w:t>
      </w:r>
      <w:r>
        <w:t xml:space="preserve">that </w:t>
      </w:r>
      <w:r w:rsidRPr="0071063C">
        <w:t xml:space="preserve">most of these cases are </w:t>
      </w:r>
      <w:r>
        <w:t xml:space="preserve">in fact </w:t>
      </w:r>
      <w:r w:rsidRPr="0071063C">
        <w:t xml:space="preserve">directed against </w:t>
      </w:r>
      <w:r>
        <w:t>Israel</w:t>
      </w:r>
      <w:r w:rsidRPr="0071063C">
        <w:t xml:space="preserve">. The present communications are directed against </w:t>
      </w:r>
      <w:r>
        <w:t>the State party</w:t>
      </w:r>
      <w:r w:rsidRPr="0071063C">
        <w:t xml:space="preserve"> since it is internationally responsible for human rights</w:t>
      </w:r>
      <w:r>
        <w:t xml:space="preserve"> violations</w:t>
      </w:r>
      <w:r w:rsidRPr="0071063C">
        <w:t xml:space="preserve"> committed in the Gaza Strip by the </w:t>
      </w:r>
      <w:r w:rsidRPr="0090745F">
        <w:t>de facto</w:t>
      </w:r>
      <w:r w:rsidRPr="0071063C">
        <w:rPr>
          <w:i/>
          <w:iCs/>
        </w:rPr>
        <w:t xml:space="preserve"> </w:t>
      </w:r>
      <w:r w:rsidRPr="0071063C">
        <w:t>authorities.</w:t>
      </w:r>
      <w:r>
        <w:t xml:space="preserve"> The authors reiterate that they </w:t>
      </w:r>
      <w:r w:rsidRPr="0071063C">
        <w:t xml:space="preserve">stand firmly behind the </w:t>
      </w:r>
      <w:r>
        <w:t>c</w:t>
      </w:r>
      <w:r w:rsidRPr="0071063C">
        <w:t>ommunication</w:t>
      </w:r>
      <w:r>
        <w:t>s</w:t>
      </w:r>
      <w:r w:rsidRPr="0071063C">
        <w:t xml:space="preserve"> and </w:t>
      </w:r>
      <w:r>
        <w:t xml:space="preserve">assert </w:t>
      </w:r>
      <w:r w:rsidRPr="0071063C">
        <w:t xml:space="preserve">that </w:t>
      </w:r>
      <w:r>
        <w:t>media reports referred to in the State party</w:t>
      </w:r>
      <w:r w:rsidR="004C4CBD">
        <w:t>’</w:t>
      </w:r>
      <w:r>
        <w:t xml:space="preserve">s observations </w:t>
      </w:r>
      <w:r w:rsidRPr="008E02B4">
        <w:t xml:space="preserve">with regard to Shaaban al-Sayed, suggesting he </w:t>
      </w:r>
      <w:r>
        <w:t>did</w:t>
      </w:r>
      <w:r w:rsidRPr="008E02B4">
        <w:t xml:space="preserve"> not wish for the return of his son,</w:t>
      </w:r>
      <w:r>
        <w:t xml:space="preserve"> were misinterpreted and taken out of context.</w:t>
      </w:r>
    </w:p>
    <w:p w14:paraId="4178E645" w14:textId="77777777" w:rsidR="00F37149" w:rsidRDefault="00F37149" w:rsidP="005D2E3B">
      <w:pPr>
        <w:pStyle w:val="SingleTxtG"/>
      </w:pPr>
      <w:r>
        <w:t>5.2</w:t>
      </w:r>
      <w:r>
        <w:tab/>
      </w:r>
      <w:r w:rsidRPr="00334997">
        <w:t xml:space="preserve">The </w:t>
      </w:r>
      <w:r>
        <w:t xml:space="preserve">authors reiterate that the </w:t>
      </w:r>
      <w:r w:rsidRPr="00334997">
        <w:t xml:space="preserve">fact that </w:t>
      </w:r>
      <w:r>
        <w:t>these and other cases are</w:t>
      </w:r>
      <w:r w:rsidRPr="00334997">
        <w:t xml:space="preserve"> also pending before the Working Group on Enforced </w:t>
      </w:r>
      <w:r>
        <w:t xml:space="preserve">or Involuntary </w:t>
      </w:r>
      <w:r w:rsidRPr="00334997">
        <w:t>Disappearance</w:t>
      </w:r>
      <w:r>
        <w:t>s</w:t>
      </w:r>
      <w:r w:rsidRPr="00334997">
        <w:t xml:space="preserve"> do</w:t>
      </w:r>
      <w:r>
        <w:t>es</w:t>
      </w:r>
      <w:r w:rsidRPr="00334997">
        <w:t xml:space="preserve"> not bar the admissibility of </w:t>
      </w:r>
      <w:r>
        <w:t>the present communications,</w:t>
      </w:r>
      <w:r w:rsidRPr="00334997">
        <w:t xml:space="preserve"> given that </w:t>
      </w:r>
      <w:r>
        <w:t>the Working Group does</w:t>
      </w:r>
      <w:r w:rsidRPr="00334997">
        <w:t xml:space="preserve"> not exercise quasi-judicial authority</w:t>
      </w:r>
      <w:r>
        <w:t xml:space="preserve"> and as the cases before the Working Group do </w:t>
      </w:r>
      <w:r w:rsidRPr="00334997">
        <w:t>not involve the same claims.</w:t>
      </w:r>
    </w:p>
    <w:p w14:paraId="5626C5B9" w14:textId="36375BC6" w:rsidR="00F37149" w:rsidRDefault="00F37149" w:rsidP="005D2E3B">
      <w:pPr>
        <w:pStyle w:val="SingleTxtG"/>
      </w:pPr>
      <w:r>
        <w:t>5.3</w:t>
      </w:r>
      <w:r>
        <w:tab/>
        <w:t>Regarding the State party</w:t>
      </w:r>
      <w:r w:rsidR="004C4CBD">
        <w:t>’</w:t>
      </w:r>
      <w:r>
        <w:t xml:space="preserve">s submission that the communications should be found inadmissible for failure to exhaust domestic remedies, the authors note that the State party has not identified any remedies that would be available to them. They reiterate their argument that Israeli nationals cannot enter Palestinian territory and do not have access to Palestinian courts. They further argue that when the harms caused to the victims are as grave as in the present communications, States parties have </w:t>
      </w:r>
      <w:r w:rsidRPr="00F34593">
        <w:t xml:space="preserve">an </w:t>
      </w:r>
      <w:r w:rsidRPr="005A7028">
        <w:t>ex officio</w:t>
      </w:r>
      <w:r w:rsidRPr="00F34593">
        <w:t xml:space="preserve"> obligation</w:t>
      </w:r>
      <w:r>
        <w:t xml:space="preserve"> to investigate the alleged violations and to provide remedies to the victims.</w:t>
      </w:r>
      <w:r w:rsidRPr="00AB6514">
        <w:rPr>
          <w:rStyle w:val="FootnoteReference"/>
        </w:rPr>
        <w:footnoteReference w:id="23"/>
      </w:r>
    </w:p>
    <w:p w14:paraId="287C3030" w14:textId="77777777" w:rsidR="00F37149" w:rsidRDefault="00F37149" w:rsidP="00F37149">
      <w:pPr>
        <w:pStyle w:val="SingleTxtG"/>
      </w:pPr>
      <w:r>
        <w:t>5.4</w:t>
      </w:r>
      <w:r>
        <w:tab/>
      </w:r>
      <w:r w:rsidRPr="00327160">
        <w:t xml:space="preserve">The </w:t>
      </w:r>
      <w:r>
        <w:t xml:space="preserve">authors submit that the </w:t>
      </w:r>
      <w:r w:rsidRPr="00327160">
        <w:t>communication</w:t>
      </w:r>
      <w:r>
        <w:t>s</w:t>
      </w:r>
      <w:r w:rsidRPr="00327160">
        <w:t xml:space="preserve"> elaborate on the factual background </w:t>
      </w:r>
      <w:r>
        <w:t>to</w:t>
      </w:r>
      <w:r w:rsidRPr="00327160">
        <w:t xml:space="preserve"> the </w:t>
      </w:r>
      <w:r>
        <w:t xml:space="preserve">alleged </w:t>
      </w:r>
      <w:r w:rsidRPr="00327160">
        <w:t xml:space="preserve">enforced disappearance of </w:t>
      </w:r>
      <w:r>
        <w:t>the alleged victims</w:t>
      </w:r>
      <w:r w:rsidRPr="00327160">
        <w:t xml:space="preserve"> and provide substantive evidence </w:t>
      </w:r>
      <w:r w:rsidRPr="00327160">
        <w:lastRenderedPageBreak/>
        <w:t>in proof of the allegations. It is therefore sufficiently substantiated for the purpose</w:t>
      </w:r>
      <w:r>
        <w:t>s</w:t>
      </w:r>
      <w:r w:rsidRPr="00327160">
        <w:t xml:space="preserve"> of admissibility.</w:t>
      </w:r>
      <w:r>
        <w:t xml:space="preserve"> The authors note that the State party refers to alleged</w:t>
      </w:r>
      <w:r w:rsidRPr="00327160">
        <w:t xml:space="preserve"> violations of international law by </w:t>
      </w:r>
      <w:r>
        <w:t>Israel</w:t>
      </w:r>
      <w:r w:rsidRPr="00327160">
        <w:t xml:space="preserve">. </w:t>
      </w:r>
      <w:r>
        <w:t>They argue that alleged</w:t>
      </w:r>
      <w:r w:rsidRPr="00327160">
        <w:t xml:space="preserve"> violations of the Convention or other norms of international law by </w:t>
      </w:r>
      <w:r>
        <w:t>S</w:t>
      </w:r>
      <w:r w:rsidRPr="00327160">
        <w:t xml:space="preserve">tates other than </w:t>
      </w:r>
      <w:r>
        <w:t>the State party</w:t>
      </w:r>
      <w:r w:rsidRPr="00327160">
        <w:t xml:space="preserve"> have no relevance to the present </w:t>
      </w:r>
      <w:r w:rsidRPr="00D86A77">
        <w:t>communications</w:t>
      </w:r>
      <w:r>
        <w:t>, and that the</w:t>
      </w:r>
      <w:r w:rsidRPr="00327160">
        <w:t xml:space="preserve"> responsibility of other </w:t>
      </w:r>
      <w:r>
        <w:t>S</w:t>
      </w:r>
      <w:r w:rsidRPr="00327160">
        <w:t>tates for certain aspects of the chain of events that led to the claimed violations is not at issue before the Committee.</w:t>
      </w:r>
    </w:p>
    <w:p w14:paraId="3F515D15" w14:textId="2F6A2E4E" w:rsidR="00F37149" w:rsidRPr="00CA1F35" w:rsidRDefault="00F37149" w:rsidP="00F37149">
      <w:pPr>
        <w:pStyle w:val="SingleTxtG"/>
      </w:pPr>
      <w:r>
        <w:t>5.5</w:t>
      </w:r>
      <w:r>
        <w:tab/>
      </w:r>
      <w:r w:rsidRPr="00CA1F35">
        <w:t xml:space="preserve">The </w:t>
      </w:r>
      <w:r>
        <w:t>authors note that the situation</w:t>
      </w:r>
      <w:r w:rsidRPr="00CA1F35">
        <w:t xml:space="preserve"> in the Gaza Strip is complex</w:t>
      </w:r>
      <w:r>
        <w:t xml:space="preserve"> and that</w:t>
      </w:r>
      <w:r w:rsidRPr="00CA1F35">
        <w:t xml:space="preserve"> it is plausible that more than one </w:t>
      </w:r>
      <w:r>
        <w:t>S</w:t>
      </w:r>
      <w:r w:rsidRPr="00CA1F35">
        <w:t xml:space="preserve">tate </w:t>
      </w:r>
      <w:r>
        <w:t>or</w:t>
      </w:r>
      <w:r w:rsidRPr="00CA1F35">
        <w:t xml:space="preserve"> non-</w:t>
      </w:r>
      <w:r>
        <w:t>S</w:t>
      </w:r>
      <w:r w:rsidRPr="00CA1F35">
        <w:t>tate actor ha</w:t>
      </w:r>
      <w:r>
        <w:t>ve</w:t>
      </w:r>
      <w:r w:rsidRPr="00CA1F35">
        <w:t xml:space="preserve"> influence over certain events. </w:t>
      </w:r>
      <w:r>
        <w:t>They argue, however, that the present c</w:t>
      </w:r>
      <w:r w:rsidRPr="00CA1F35">
        <w:t>ommunication</w:t>
      </w:r>
      <w:r>
        <w:t>s</w:t>
      </w:r>
      <w:r w:rsidRPr="00CA1F35">
        <w:t xml:space="preserve"> do not require the Committee to delineate the division of responsibilities between all relevant parties. </w:t>
      </w:r>
      <w:r>
        <w:t>Rather, the c</w:t>
      </w:r>
      <w:r w:rsidRPr="00CA1F35">
        <w:t xml:space="preserve">ommunications seek to determine that </w:t>
      </w:r>
      <w:r>
        <w:t>the State party</w:t>
      </w:r>
      <w:r w:rsidRPr="00CA1F35">
        <w:t xml:space="preserve"> failed </w:t>
      </w:r>
      <w:r>
        <w:t xml:space="preserve">in </w:t>
      </w:r>
      <w:r w:rsidRPr="00CA1F35">
        <w:t>its responsibility under the Convention to take whatever measures in its power to protect the rights of persons with disabilit</w:t>
      </w:r>
      <w:r>
        <w:t>ies</w:t>
      </w:r>
      <w:r w:rsidRPr="00CA1F35">
        <w:t xml:space="preserve"> </w:t>
      </w:r>
      <w:r>
        <w:t>in</w:t>
      </w:r>
      <w:r w:rsidRPr="00CA1F35">
        <w:t xml:space="preserve"> its territory. </w:t>
      </w:r>
      <w:r>
        <w:t xml:space="preserve">The authors further note that the State party, </w:t>
      </w:r>
      <w:r w:rsidRPr="00CA1F35">
        <w:t>as a party to the Convention</w:t>
      </w:r>
      <w:r>
        <w:t>,</w:t>
      </w:r>
      <w:r w:rsidRPr="00CA1F35">
        <w:t xml:space="preserve"> reports on </w:t>
      </w:r>
      <w:r>
        <w:t xml:space="preserve">the </w:t>
      </w:r>
      <w:r w:rsidRPr="00CA1F35">
        <w:t xml:space="preserve">application </w:t>
      </w:r>
      <w:r>
        <w:t xml:space="preserve">of the Convention </w:t>
      </w:r>
      <w:r w:rsidRPr="00CA1F35">
        <w:t>in the Gaza Strip</w:t>
      </w:r>
      <w:r>
        <w:t>.</w:t>
      </w:r>
      <w:r w:rsidRPr="00AB6514">
        <w:rPr>
          <w:rStyle w:val="FootnoteReference"/>
        </w:rPr>
        <w:footnoteReference w:id="24"/>
      </w:r>
      <w:r w:rsidRPr="00CA1F35">
        <w:t xml:space="preserve"> </w:t>
      </w:r>
      <w:r>
        <w:t xml:space="preserve">The authors also note </w:t>
      </w:r>
      <w:r w:rsidRPr="00D86A77">
        <w:t>the</w:t>
      </w:r>
      <w:r>
        <w:t xml:space="preserve"> State party</w:t>
      </w:r>
      <w:r w:rsidR="004C4CBD">
        <w:t>’</w:t>
      </w:r>
      <w:r>
        <w:t>s claim that Hamas</w:t>
      </w:r>
      <w:r w:rsidR="004C4CBD">
        <w:t>’</w:t>
      </w:r>
      <w:r>
        <w:t>s control</w:t>
      </w:r>
      <w:r w:rsidRPr="00CA1F35">
        <w:t xml:space="preserve"> over the Gaza Strip prevents it from investigating the</w:t>
      </w:r>
      <w:r>
        <w:t xml:space="preserve"> facts presented</w:t>
      </w:r>
      <w:r w:rsidRPr="00CA1F35">
        <w:t xml:space="preserve">. </w:t>
      </w:r>
      <w:r>
        <w:t xml:space="preserve">They reiterate their argument that there are </w:t>
      </w:r>
      <w:r w:rsidRPr="00CA1F35">
        <w:t xml:space="preserve">constant political interactions and links between </w:t>
      </w:r>
      <w:r>
        <w:t xml:space="preserve">the State party authorities </w:t>
      </w:r>
      <w:r w:rsidRPr="00CA1F35">
        <w:t>and Hamas</w:t>
      </w:r>
      <w:r>
        <w:t>, and they note that the State party authorities are also involved in international discussions concerning the reconstruction of the Gaza Strip, humanitarian initiatives and border controls.</w:t>
      </w:r>
    </w:p>
    <w:p w14:paraId="2F6CB896" w14:textId="77777777" w:rsidR="00F37149" w:rsidRDefault="00F37149" w:rsidP="00F37149">
      <w:pPr>
        <w:pStyle w:val="SingleTxtG"/>
        <w:keepNext/>
      </w:pPr>
      <w:r>
        <w:t>5.6</w:t>
      </w:r>
      <w:r>
        <w:tab/>
        <w:t xml:space="preserve">The authors argue that the State party </w:t>
      </w:r>
      <w:r w:rsidRPr="000B3102">
        <w:t>does not specify any measure</w:t>
      </w:r>
      <w:r>
        <w:t>s</w:t>
      </w:r>
      <w:r w:rsidRPr="000B3102">
        <w:t xml:space="preserve"> taken to </w:t>
      </w:r>
      <w:r>
        <w:t>obtain</w:t>
      </w:r>
      <w:r w:rsidRPr="000B3102">
        <w:t xml:space="preserve"> more information concerning the fa</w:t>
      </w:r>
      <w:r>
        <w:t>te</w:t>
      </w:r>
      <w:r w:rsidRPr="000B3102">
        <w:t xml:space="preserve"> and whereabouts of </w:t>
      </w:r>
      <w:r>
        <w:t>the alleged victims or</w:t>
      </w:r>
      <w:r w:rsidRPr="000B3102">
        <w:t xml:space="preserve"> to facilitate </w:t>
      </w:r>
      <w:r>
        <w:t>their</w:t>
      </w:r>
      <w:r w:rsidRPr="000B3102">
        <w:t xml:space="preserve"> safe return. </w:t>
      </w:r>
    </w:p>
    <w:p w14:paraId="78F210AE" w14:textId="77777777" w:rsidR="00F37149" w:rsidRPr="00DC057C" w:rsidRDefault="00F37149" w:rsidP="00F37149">
      <w:pPr>
        <w:pStyle w:val="H23G"/>
      </w:pPr>
      <w:r>
        <w:tab/>
      </w:r>
      <w:r>
        <w:tab/>
      </w:r>
      <w:r w:rsidRPr="0091419A">
        <w:t>Additional observations from the authors</w:t>
      </w:r>
    </w:p>
    <w:p w14:paraId="7976DA45" w14:textId="6B2BD1A8" w:rsidR="00F37149" w:rsidRPr="00181D62" w:rsidRDefault="00F37149" w:rsidP="00F37149">
      <w:pPr>
        <w:pStyle w:val="SingleTxtG"/>
        <w:keepNext/>
      </w:pPr>
      <w:r>
        <w:t>6.</w:t>
      </w:r>
      <w:r>
        <w:tab/>
        <w:t xml:space="preserve">On 29 June 2022, the authors informed </w:t>
      </w:r>
      <w:r w:rsidRPr="0091419A">
        <w:t xml:space="preserve">the </w:t>
      </w:r>
      <w:r w:rsidRPr="0091419A">
        <w:rPr>
          <w:rFonts w:eastAsia="Times New Roman"/>
          <w:lang w:eastAsia="en-US"/>
        </w:rPr>
        <w:t xml:space="preserve">Committee </w:t>
      </w:r>
      <w:r w:rsidRPr="0091419A">
        <w:t>that</w:t>
      </w:r>
      <w:r>
        <w:t xml:space="preserve"> </w:t>
      </w:r>
      <w:r w:rsidRPr="00DC057C">
        <w:t xml:space="preserve">Hamas </w:t>
      </w:r>
      <w:r>
        <w:t xml:space="preserve">had </w:t>
      </w:r>
      <w:r w:rsidRPr="00DC057C">
        <w:t xml:space="preserve">published a short video showing </w:t>
      </w:r>
      <w:r w:rsidRPr="0091419A">
        <w:t>Hisham al-Sayed</w:t>
      </w:r>
      <w:r>
        <w:t xml:space="preserve"> </w:t>
      </w:r>
      <w:r w:rsidRPr="00DC057C">
        <w:t xml:space="preserve">lying </w:t>
      </w:r>
      <w:r>
        <w:t>in</w:t>
      </w:r>
      <w:r w:rsidRPr="00DC057C">
        <w:t xml:space="preserve"> what appear</w:t>
      </w:r>
      <w:r>
        <w:t>ed</w:t>
      </w:r>
      <w:r w:rsidRPr="00DC057C">
        <w:t xml:space="preserve"> to be a hospital bed and connected to what seem</w:t>
      </w:r>
      <w:r>
        <w:t>ed</w:t>
      </w:r>
      <w:r w:rsidRPr="00DC057C">
        <w:t xml:space="preserve"> to be an oxygen mask. The video was widely disseminated on social media and </w:t>
      </w:r>
      <w:r>
        <w:t xml:space="preserve">in </w:t>
      </w:r>
      <w:r w:rsidRPr="00DC057C">
        <w:t>the world press</w:t>
      </w:r>
      <w:r>
        <w:t>. A</w:t>
      </w:r>
      <w:r w:rsidRPr="00DC057C">
        <w:t xml:space="preserve"> </w:t>
      </w:r>
      <w:r>
        <w:t>television</w:t>
      </w:r>
      <w:r w:rsidRPr="00DC057C">
        <w:t xml:space="preserve"> broadcast in the background of the video show</w:t>
      </w:r>
      <w:r>
        <w:t>ed</w:t>
      </w:r>
      <w:r w:rsidRPr="00DC057C">
        <w:t xml:space="preserve"> images from </w:t>
      </w:r>
      <w:r>
        <w:t xml:space="preserve">the </w:t>
      </w:r>
      <w:r w:rsidRPr="00DC057C">
        <w:t xml:space="preserve">Qatar Economic Forum, which </w:t>
      </w:r>
      <w:r>
        <w:t xml:space="preserve">was held in June 2022, suggesting that </w:t>
      </w:r>
      <w:r w:rsidRPr="00DC057C">
        <w:t xml:space="preserve">the video was filmed </w:t>
      </w:r>
      <w:r>
        <w:t>in June 2022</w:t>
      </w:r>
      <w:r w:rsidRPr="00DC057C">
        <w:t>. T</w:t>
      </w:r>
      <w:r>
        <w:t>he authors note that the</w:t>
      </w:r>
      <w:r w:rsidRPr="00DC057C">
        <w:t xml:space="preserve"> publication of the video </w:t>
      </w:r>
      <w:r>
        <w:t>could have been in connection with</w:t>
      </w:r>
      <w:r w:rsidRPr="00DC057C">
        <w:t xml:space="preserve"> a statement by Hamas the previous day</w:t>
      </w:r>
      <w:r>
        <w:t>,</w:t>
      </w:r>
      <w:r w:rsidRPr="00DC057C">
        <w:t xml:space="preserve"> </w:t>
      </w:r>
      <w:r>
        <w:t xml:space="preserve">in which Hamas had </w:t>
      </w:r>
      <w:r w:rsidRPr="00DC057C">
        <w:t>indicat</w:t>
      </w:r>
      <w:r>
        <w:t>ed</w:t>
      </w:r>
      <w:r w:rsidRPr="00DC057C">
        <w:t xml:space="preserve"> that the health situation of one of the Israeli nationals </w:t>
      </w:r>
      <w:r>
        <w:t xml:space="preserve">that </w:t>
      </w:r>
      <w:r w:rsidRPr="00DC057C">
        <w:t xml:space="preserve">it </w:t>
      </w:r>
      <w:r>
        <w:t xml:space="preserve">was </w:t>
      </w:r>
      <w:r w:rsidRPr="00DC057C">
        <w:t>hold</w:t>
      </w:r>
      <w:r>
        <w:t>ing</w:t>
      </w:r>
      <w:r w:rsidRPr="00DC057C">
        <w:t xml:space="preserve"> </w:t>
      </w:r>
      <w:r>
        <w:t>had</w:t>
      </w:r>
      <w:r w:rsidRPr="00DC057C">
        <w:t xml:space="preserve"> deteriorated. </w:t>
      </w:r>
      <w:r>
        <w:t xml:space="preserve">The authors argue that the video </w:t>
      </w:r>
      <w:r w:rsidRPr="00DC057C">
        <w:t xml:space="preserve">provides clear proof that Mr. </w:t>
      </w:r>
      <w:r>
        <w:t>A</w:t>
      </w:r>
      <w:r w:rsidRPr="00DC057C">
        <w:t xml:space="preserve">l-Sayed is still being held by Hamas in </w:t>
      </w:r>
      <w:r>
        <w:t xml:space="preserve">the </w:t>
      </w:r>
      <w:r w:rsidRPr="00DC057C">
        <w:t>Gaza Strip</w:t>
      </w:r>
      <w:r>
        <w:t xml:space="preserve">. They argue that the </w:t>
      </w:r>
      <w:r w:rsidRPr="00DC057C">
        <w:t xml:space="preserve">new information is also essential </w:t>
      </w:r>
      <w:r>
        <w:t>to the communication submitted on behalf of Mr.</w:t>
      </w:r>
      <w:r w:rsidRPr="00DC057C">
        <w:t xml:space="preserve"> </w:t>
      </w:r>
      <w:proofErr w:type="spellStart"/>
      <w:r w:rsidRPr="00DC057C">
        <w:t>M</w:t>
      </w:r>
      <w:r>
        <w:t>a</w:t>
      </w:r>
      <w:r w:rsidRPr="00DC057C">
        <w:t>ngist</w:t>
      </w:r>
      <w:r>
        <w:t>o</w:t>
      </w:r>
      <w:proofErr w:type="spellEnd"/>
      <w:r>
        <w:t>, who is probably in the same situation</w:t>
      </w:r>
      <w:r w:rsidRPr="00DC057C">
        <w:t xml:space="preserve"> as Mr. </w:t>
      </w:r>
      <w:r>
        <w:t>A</w:t>
      </w:r>
      <w:r w:rsidRPr="00DC057C">
        <w:t>l-Sayed.</w:t>
      </w:r>
      <w:bookmarkStart w:id="6" w:name="_Hlk129263286"/>
      <w:r w:rsidRPr="00AB6514">
        <w:rPr>
          <w:rStyle w:val="FootnoteReference"/>
        </w:rPr>
        <w:footnoteReference w:id="25"/>
      </w:r>
      <w:bookmarkEnd w:id="6"/>
      <w:r w:rsidR="00F175B8">
        <w:t xml:space="preserve"> </w:t>
      </w:r>
    </w:p>
    <w:p w14:paraId="5FA07B08" w14:textId="77777777" w:rsidR="00F37149" w:rsidRPr="000A3579" w:rsidRDefault="00F37149" w:rsidP="00F37149">
      <w:pPr>
        <w:pStyle w:val="H1G"/>
      </w:pPr>
      <w:r w:rsidRPr="004F718E">
        <w:tab/>
      </w:r>
      <w:r w:rsidRPr="000A3579">
        <w:t>B.</w:t>
      </w:r>
      <w:r w:rsidRPr="000A3579">
        <w:tab/>
        <w:t>Issues and proceedings before the Committee</w:t>
      </w:r>
    </w:p>
    <w:p w14:paraId="2A9CC663" w14:textId="77777777" w:rsidR="00F37149" w:rsidRPr="000A3579" w:rsidRDefault="00F37149" w:rsidP="00F37149">
      <w:pPr>
        <w:pStyle w:val="H23G"/>
      </w:pPr>
      <w:r w:rsidRPr="000A3579">
        <w:tab/>
      </w:r>
      <w:r w:rsidRPr="000A3579">
        <w:tab/>
        <w:t>Consideration of admissibility</w:t>
      </w:r>
    </w:p>
    <w:p w14:paraId="5B738DB1" w14:textId="77777777" w:rsidR="00F37149" w:rsidRDefault="00F37149" w:rsidP="00F37149">
      <w:pPr>
        <w:pStyle w:val="SingleTxtG"/>
      </w:pPr>
      <w:r w:rsidRPr="000A3579">
        <w:t>7.1</w:t>
      </w:r>
      <w:r w:rsidRPr="000A3579">
        <w:tab/>
        <w:t>Before considering any claim contained in a communication, the Committee must decide, in accordance with article 2 of the Optional Protocol and rule 65 of its rules of procedure, whether the communication is admissible under the Optional Protocol.</w:t>
      </w:r>
    </w:p>
    <w:p w14:paraId="7B0FB54F" w14:textId="587EFE6A" w:rsidR="00F37149" w:rsidRDefault="00F37149" w:rsidP="00F37149">
      <w:pPr>
        <w:pStyle w:val="SingleTxtG"/>
      </w:pPr>
      <w:r>
        <w:t>7</w:t>
      </w:r>
      <w:r w:rsidRPr="004F718E">
        <w:t>.2</w:t>
      </w:r>
      <w:r w:rsidRPr="004F718E">
        <w:tab/>
      </w:r>
      <w:r w:rsidRPr="004053B7">
        <w:t>The Committee notes the State part</w:t>
      </w:r>
      <w:r>
        <w:t>y</w:t>
      </w:r>
      <w:r w:rsidR="004C4CBD">
        <w:t>’</w:t>
      </w:r>
      <w:r w:rsidRPr="004053B7">
        <w:t xml:space="preserve">s submission that </w:t>
      </w:r>
      <w:r>
        <w:t>the restrictions imposed by the blockade limits its ability to</w:t>
      </w:r>
      <w:r w:rsidRPr="004053B7">
        <w:t xml:space="preserve"> </w:t>
      </w:r>
      <w:r>
        <w:t xml:space="preserve">obtain </w:t>
      </w:r>
      <w:r w:rsidRPr="004053B7">
        <w:t>access</w:t>
      </w:r>
      <w:r>
        <w:t xml:space="preserve"> to</w:t>
      </w:r>
      <w:r w:rsidRPr="004053B7">
        <w:t xml:space="preserve"> the Gaza Strip</w:t>
      </w:r>
      <w:r>
        <w:t xml:space="preserve"> and conduct an effective investigation into the alleged violations, and that it is Israel that has effective control over the area. </w:t>
      </w:r>
      <w:r w:rsidRPr="004F718E">
        <w:t>The Committee</w:t>
      </w:r>
      <w:r>
        <w:t xml:space="preserve"> also</w:t>
      </w:r>
      <w:r w:rsidRPr="004F718E">
        <w:t xml:space="preserve"> </w:t>
      </w:r>
      <w:r>
        <w:t>notes the authors</w:t>
      </w:r>
      <w:r w:rsidR="004C4CBD">
        <w:t>’</w:t>
      </w:r>
      <w:r>
        <w:t xml:space="preserve"> submission that </w:t>
      </w:r>
      <w:r w:rsidRPr="00BB6A98">
        <w:rPr>
          <w:bCs/>
        </w:rPr>
        <w:t xml:space="preserve">although the </w:t>
      </w:r>
      <w:r>
        <w:rPr>
          <w:bCs/>
        </w:rPr>
        <w:t>disappearance of the alleged victims is</w:t>
      </w:r>
      <w:r w:rsidRPr="00BB6A98">
        <w:rPr>
          <w:bCs/>
        </w:rPr>
        <w:t xml:space="preserve"> primarily attribut</w:t>
      </w:r>
      <w:r>
        <w:rPr>
          <w:bCs/>
        </w:rPr>
        <w:t>able</w:t>
      </w:r>
      <w:r w:rsidRPr="00BB6A98">
        <w:rPr>
          <w:bCs/>
        </w:rPr>
        <w:t xml:space="preserve"> to the military wing of Hamas, a non-</w:t>
      </w:r>
      <w:r>
        <w:rPr>
          <w:bCs/>
        </w:rPr>
        <w:t>S</w:t>
      </w:r>
      <w:r w:rsidRPr="00BB6A98">
        <w:rPr>
          <w:bCs/>
        </w:rPr>
        <w:t xml:space="preserve">tate actor, the obligations of </w:t>
      </w:r>
      <w:r>
        <w:rPr>
          <w:bCs/>
        </w:rPr>
        <w:t xml:space="preserve">a </w:t>
      </w:r>
      <w:r w:rsidRPr="00BB6A98">
        <w:rPr>
          <w:bCs/>
        </w:rPr>
        <w:t xml:space="preserve">State in international human rights law also include taking appropriate </w:t>
      </w:r>
      <w:r w:rsidRPr="00BB6A98">
        <w:rPr>
          <w:bCs/>
        </w:rPr>
        <w:lastRenderedPageBreak/>
        <w:t>measures to prevent, investigate, prosecute and provide remedies for human rights abuses committed by non-</w:t>
      </w:r>
      <w:r>
        <w:rPr>
          <w:bCs/>
        </w:rPr>
        <w:t>S</w:t>
      </w:r>
      <w:r w:rsidRPr="00BB6A98">
        <w:rPr>
          <w:bCs/>
        </w:rPr>
        <w:t xml:space="preserve">tate third parties </w:t>
      </w:r>
      <w:r>
        <w:rPr>
          <w:bCs/>
        </w:rPr>
        <w:t>on its</w:t>
      </w:r>
      <w:r w:rsidRPr="00BB6A98">
        <w:rPr>
          <w:bCs/>
        </w:rPr>
        <w:t xml:space="preserve"> territory. </w:t>
      </w:r>
    </w:p>
    <w:p w14:paraId="24AB9B20" w14:textId="5CCD6031" w:rsidR="00F37149" w:rsidRPr="001E4F4B" w:rsidRDefault="00F37149" w:rsidP="00F37149">
      <w:pPr>
        <w:pStyle w:val="SingleTxtG"/>
      </w:pPr>
      <w:r>
        <w:t>7.3</w:t>
      </w:r>
      <w:r>
        <w:tab/>
        <w:t>The Committee recalls that under article 1 of the Optional Protocol, it has the competence</w:t>
      </w:r>
      <w:r w:rsidRPr="004E77BE">
        <w:t xml:space="preserve"> to receive and consider communications from or on behalf of individuals or groups of individuals subject to </w:t>
      </w:r>
      <w:r>
        <w:t>a State party</w:t>
      </w:r>
      <w:r w:rsidR="004C4CBD">
        <w:t>’</w:t>
      </w:r>
      <w:r>
        <w:t>s</w:t>
      </w:r>
      <w:r w:rsidRPr="004E77BE">
        <w:t xml:space="preserve"> jurisdiction who claim to be victims of a violation by that State </w:t>
      </w:r>
      <w:r>
        <w:t>p</w:t>
      </w:r>
      <w:r w:rsidRPr="004E77BE">
        <w:t>arty of the provisions of the Convention.</w:t>
      </w:r>
      <w:r>
        <w:t xml:space="preserve"> The Committee notes the judgment of the European Court of Human Rights in </w:t>
      </w:r>
      <w:proofErr w:type="spellStart"/>
      <w:r w:rsidRPr="003F77E4">
        <w:rPr>
          <w:i/>
          <w:iCs/>
        </w:rPr>
        <w:t>Ila</w:t>
      </w:r>
      <w:r w:rsidRPr="00E82093">
        <w:rPr>
          <w:i/>
          <w:iCs/>
        </w:rPr>
        <w:t>ş</w:t>
      </w:r>
      <w:r w:rsidRPr="003F77E4">
        <w:rPr>
          <w:i/>
          <w:iCs/>
        </w:rPr>
        <w:t>cu</w:t>
      </w:r>
      <w:proofErr w:type="spellEnd"/>
      <w:r w:rsidRPr="003F77E4">
        <w:rPr>
          <w:i/>
          <w:iCs/>
        </w:rPr>
        <w:t xml:space="preserve"> and others v. Moldova and Russia</w:t>
      </w:r>
      <w:r>
        <w:t>,</w:t>
      </w:r>
      <w:r w:rsidRPr="003F77E4">
        <w:t xml:space="preserve"> </w:t>
      </w:r>
      <w:r>
        <w:t xml:space="preserve">in which the Court observed that from the standpoint of public international law, the words </w:t>
      </w:r>
      <w:r w:rsidR="004C4CBD">
        <w:t>“</w:t>
      </w:r>
      <w:r>
        <w:t>within their jurisdiction</w:t>
      </w:r>
      <w:r w:rsidR="004C4CBD">
        <w:t>”</w:t>
      </w:r>
      <w:r>
        <w:t xml:space="preserve"> in article 1 of the </w:t>
      </w:r>
      <w:r w:rsidRPr="00C22CD7">
        <w:t xml:space="preserve">Convention for the Protection of Human Rights and Fundamental Freedoms (European Convention on Human Rights) </w:t>
      </w:r>
      <w:r>
        <w:t>must be understood to mean that a State</w:t>
      </w:r>
      <w:r w:rsidR="004C4CBD">
        <w:t>’</w:t>
      </w:r>
      <w:r>
        <w:t>s jurisdictional competence was primarily territorial, but also that jurisdiction was presumed to be exercised normally throughout the State</w:t>
      </w:r>
      <w:r w:rsidR="004C4CBD">
        <w:t>’</w:t>
      </w:r>
      <w:r>
        <w:t>s territory. That presumption might be limited in exceptional circumstances, particularly where a State was prevented from exercising its authority in part of its territory.</w:t>
      </w:r>
      <w:r w:rsidRPr="00AB6514">
        <w:rPr>
          <w:rStyle w:val="FootnoteReference"/>
        </w:rPr>
        <w:footnoteReference w:id="26"/>
      </w:r>
      <w:r>
        <w:t xml:space="preserve"> The Court went on to observe that t</w:t>
      </w:r>
      <w:r w:rsidRPr="007431FE">
        <w:t xml:space="preserve">he </w:t>
      </w:r>
      <w:r>
        <w:t xml:space="preserve">obligations by States to </w:t>
      </w:r>
      <w:r w:rsidRPr="007431FE">
        <w:t>refrain from interfering with the enjoyment of the</w:t>
      </w:r>
      <w:r>
        <w:t xml:space="preserve"> </w:t>
      </w:r>
      <w:r w:rsidRPr="007431FE">
        <w:t>rights and freedoms guaranteed</w:t>
      </w:r>
      <w:r>
        <w:t xml:space="preserve"> and the</w:t>
      </w:r>
      <w:r w:rsidRPr="007431FE">
        <w:t xml:space="preserve"> positive obligations to take appropriate</w:t>
      </w:r>
      <w:r>
        <w:t xml:space="preserve"> </w:t>
      </w:r>
      <w:r w:rsidRPr="007431FE">
        <w:t>steps to ensure respect for those rights and freedoms within its territory remain</w:t>
      </w:r>
      <w:r>
        <w:t>ed</w:t>
      </w:r>
      <w:r w:rsidRPr="007431FE">
        <w:t xml:space="preserve"> even where the exercise of the State</w:t>
      </w:r>
      <w:r w:rsidR="004C4CBD">
        <w:t>’</w:t>
      </w:r>
      <w:r w:rsidRPr="007431FE">
        <w:t>s authority</w:t>
      </w:r>
      <w:r>
        <w:t xml:space="preserve"> was</w:t>
      </w:r>
      <w:r w:rsidRPr="007431FE">
        <w:t xml:space="preserve"> limited in part of its territory</w:t>
      </w:r>
      <w:r>
        <w:t>,</w:t>
      </w:r>
      <w:r w:rsidRPr="007431FE">
        <w:t xml:space="preserve"> </w:t>
      </w:r>
      <w:r>
        <w:t>so that i</w:t>
      </w:r>
      <w:r w:rsidRPr="007431FE">
        <w:t xml:space="preserve">t </w:t>
      </w:r>
      <w:r>
        <w:t>had</w:t>
      </w:r>
      <w:r w:rsidRPr="007431FE">
        <w:t xml:space="preserve"> a duty to take all </w:t>
      </w:r>
      <w:r>
        <w:t xml:space="preserve">the </w:t>
      </w:r>
      <w:r w:rsidRPr="007431FE">
        <w:t>appropriate measures still within its power</w:t>
      </w:r>
      <w:r>
        <w:t>.</w:t>
      </w:r>
      <w:r w:rsidRPr="00AB6514">
        <w:rPr>
          <w:rStyle w:val="FootnoteReference"/>
        </w:rPr>
        <w:footnoteReference w:id="27"/>
      </w:r>
      <w:r w:rsidRPr="0093069F">
        <w:rPr>
          <w:rFonts w:ascii="TimesNewRomanPSMT" w:hAnsi="TimesNewRomanPSMT" w:cs="TimesNewRomanPSMT"/>
          <w:sz w:val="24"/>
          <w:szCs w:val="24"/>
        </w:rPr>
        <w:t xml:space="preserve"> </w:t>
      </w:r>
      <w:r>
        <w:t>The Court concluded that</w:t>
      </w:r>
      <w:r w:rsidRPr="0093069F">
        <w:t xml:space="preserve"> even in the absence of effective control </w:t>
      </w:r>
      <w:r>
        <w:t>over parts of its territory, a State</w:t>
      </w:r>
      <w:r w:rsidRPr="0093069F">
        <w:t xml:space="preserve"> still has a positive </w:t>
      </w:r>
      <w:r>
        <w:t xml:space="preserve">obligation </w:t>
      </w:r>
      <w:r w:rsidRPr="0093069F">
        <w:t>to take the diplomatic, economic, judicial or</w:t>
      </w:r>
      <w:r>
        <w:t xml:space="preserve"> </w:t>
      </w:r>
      <w:r w:rsidRPr="0093069F">
        <w:t xml:space="preserve">other measures that </w:t>
      </w:r>
      <w:r>
        <w:t>were</w:t>
      </w:r>
      <w:r w:rsidRPr="0093069F">
        <w:t xml:space="preserve"> in its power and </w:t>
      </w:r>
      <w:r>
        <w:t>were</w:t>
      </w:r>
      <w:r w:rsidRPr="0093069F">
        <w:t xml:space="preserve"> in accordance with</w:t>
      </w:r>
      <w:r>
        <w:t xml:space="preserve"> </w:t>
      </w:r>
      <w:r w:rsidRPr="0093069F">
        <w:t xml:space="preserve">international law to secure </w:t>
      </w:r>
      <w:r>
        <w:t>for</w:t>
      </w:r>
      <w:r w:rsidRPr="0093069F">
        <w:t xml:space="preserve"> </w:t>
      </w:r>
      <w:r>
        <w:t>persons in those parts of its territory</w:t>
      </w:r>
      <w:r w:rsidRPr="0093069F">
        <w:t xml:space="preserve"> the rights guaranteed by the</w:t>
      </w:r>
      <w:r>
        <w:t xml:space="preserve"> European </w:t>
      </w:r>
      <w:r w:rsidRPr="0093069F">
        <w:t>Convention</w:t>
      </w:r>
      <w:r>
        <w:t xml:space="preserve"> on Human Rights.</w:t>
      </w:r>
      <w:r w:rsidRPr="00AB6514">
        <w:rPr>
          <w:rStyle w:val="FootnoteReference"/>
        </w:rPr>
        <w:footnoteReference w:id="28"/>
      </w:r>
      <w:r w:rsidR="00F175B8">
        <w:t xml:space="preserve"> </w:t>
      </w:r>
      <w:r w:rsidRPr="00FD33E6">
        <w:t>Similarly, the Inter-American Court of Human Rights h</w:t>
      </w:r>
      <w:r>
        <w:t>as held</w:t>
      </w:r>
      <w:r w:rsidRPr="00FD33E6">
        <w:t xml:space="preserve"> that the State is obliged to prevent and react to human rights violations by paramilitary groups in areas controlled by </w:t>
      </w:r>
      <w:r>
        <w:t>those</w:t>
      </w:r>
      <w:r w:rsidRPr="00FD33E6">
        <w:t xml:space="preserve"> groups.</w:t>
      </w:r>
      <w:r w:rsidRPr="00AB6514">
        <w:rPr>
          <w:rStyle w:val="FootnoteReference"/>
        </w:rPr>
        <w:footnoteReference w:id="29"/>
      </w:r>
      <w:r>
        <w:t xml:space="preserve"> T</w:t>
      </w:r>
      <w:r w:rsidRPr="00FD33E6">
        <w:t>he Human Rights Committee</w:t>
      </w:r>
      <w:r>
        <w:t>,</w:t>
      </w:r>
      <w:r w:rsidRPr="00AB6514">
        <w:rPr>
          <w:rStyle w:val="FootnoteReference"/>
        </w:rPr>
        <w:footnoteReference w:id="30"/>
      </w:r>
      <w:r w:rsidRPr="00FD33E6">
        <w:t xml:space="preserve"> the Committee on the Elimination of Discrimination </w:t>
      </w:r>
      <w:r>
        <w:t>a</w:t>
      </w:r>
      <w:r w:rsidRPr="00FD33E6">
        <w:t>gainst Women</w:t>
      </w:r>
      <w:r>
        <w:t>,</w:t>
      </w:r>
      <w:r w:rsidRPr="00AB6514">
        <w:rPr>
          <w:rStyle w:val="FootnoteReference"/>
        </w:rPr>
        <w:footnoteReference w:id="31"/>
      </w:r>
      <w:r w:rsidRPr="00FD33E6">
        <w:t xml:space="preserve"> the Committee </w:t>
      </w:r>
      <w:r>
        <w:t>a</w:t>
      </w:r>
      <w:r w:rsidRPr="00FD33E6">
        <w:t>gainst Torture</w:t>
      </w:r>
      <w:r>
        <w:t>,</w:t>
      </w:r>
      <w:r w:rsidRPr="00AB6514">
        <w:rPr>
          <w:rStyle w:val="FootnoteReference"/>
        </w:rPr>
        <w:footnoteReference w:id="32"/>
      </w:r>
      <w:r w:rsidRPr="00FD33E6">
        <w:t xml:space="preserve"> the Committee </w:t>
      </w:r>
      <w:r>
        <w:t>on</w:t>
      </w:r>
      <w:r w:rsidRPr="00FD33E6">
        <w:t xml:space="preserve"> the Rights of the Child</w:t>
      </w:r>
      <w:r w:rsidRPr="00AB6514">
        <w:rPr>
          <w:rStyle w:val="FootnoteReference"/>
        </w:rPr>
        <w:footnoteReference w:id="33"/>
      </w:r>
      <w:r w:rsidRPr="00FD33E6">
        <w:t xml:space="preserve"> and the Committee on Economic, Social and Cultural Rights</w:t>
      </w:r>
      <w:r w:rsidRPr="00AB6514">
        <w:rPr>
          <w:rStyle w:val="FootnoteReference"/>
        </w:rPr>
        <w:footnoteReference w:id="34"/>
      </w:r>
      <w:r w:rsidRPr="00FD33E6">
        <w:t xml:space="preserve"> have </w:t>
      </w:r>
      <w:r>
        <w:t xml:space="preserve">also </w:t>
      </w:r>
      <w:r w:rsidRPr="00FD33E6">
        <w:t xml:space="preserve">recalled </w:t>
      </w:r>
      <w:r>
        <w:t>the</w:t>
      </w:r>
      <w:r w:rsidRPr="00FD33E6">
        <w:t xml:space="preserve"> obligations</w:t>
      </w:r>
      <w:r>
        <w:t xml:space="preserve"> of States parties</w:t>
      </w:r>
      <w:r w:rsidRPr="00FD33E6">
        <w:t xml:space="preserve"> to protect individuals </w:t>
      </w:r>
      <w:r>
        <w:t>within</w:t>
      </w:r>
      <w:r w:rsidRPr="00FD33E6">
        <w:t xml:space="preserve"> their territorial jurisdiction and prevent violations, including in areas </w:t>
      </w:r>
      <w:r>
        <w:t>in which</w:t>
      </w:r>
      <w:r w:rsidRPr="00FD33E6">
        <w:t xml:space="preserve"> they may not have effective control. </w:t>
      </w:r>
      <w:r>
        <w:t>The Committee therefore considers that, notwithstanding the existing limitations to the State party</w:t>
      </w:r>
      <w:r w:rsidR="004C4CBD">
        <w:t>’</w:t>
      </w:r>
      <w:r>
        <w:t xml:space="preserve">s ability to exercise its authority in the Gaza Strip, the alleged victims are within its jurisdiction within the meaning of article 1 of the Optional Protocol, and the Committee is therefore not precluded from considering the present communications. </w:t>
      </w:r>
    </w:p>
    <w:p w14:paraId="666AE52D" w14:textId="0FBF6DAE" w:rsidR="00F37149" w:rsidRDefault="00F37149" w:rsidP="00F37149">
      <w:pPr>
        <w:pStyle w:val="SingleTxtG"/>
      </w:pPr>
      <w:r>
        <w:t>7.4</w:t>
      </w:r>
      <w:r>
        <w:tab/>
        <w:t>The Committee notes the State party</w:t>
      </w:r>
      <w:r w:rsidR="004C4CBD">
        <w:t>’</w:t>
      </w:r>
      <w:r>
        <w:t>s submission that the communications are inadmissible under article 2 (c) of the Optional Protocol because</w:t>
      </w:r>
      <w:r w:rsidRPr="00947940">
        <w:t xml:space="preserve"> </w:t>
      </w:r>
      <w:r>
        <w:t>they have been</w:t>
      </w:r>
      <w:r w:rsidRPr="00947940">
        <w:t xml:space="preserve"> </w:t>
      </w:r>
      <w:r>
        <w:t xml:space="preserve">examined under another procedure of international investigation or settlement, namely by the </w:t>
      </w:r>
      <w:r w:rsidRPr="003F5858">
        <w:t>Working Group on Enforced or Involuntary Disappearances</w:t>
      </w:r>
      <w:r>
        <w:t>. The Committee notes, however, the authors</w:t>
      </w:r>
      <w:r w:rsidR="004C4CBD">
        <w:t>’</w:t>
      </w:r>
      <w:r w:rsidRPr="009C4EED">
        <w:t xml:space="preserve"> </w:t>
      </w:r>
      <w:r>
        <w:t>argument that the request submitted to the Working Group</w:t>
      </w:r>
      <w:r w:rsidRPr="009C4EED">
        <w:t xml:space="preserve"> cannot be considered as </w:t>
      </w:r>
      <w:r>
        <w:lastRenderedPageBreak/>
        <w:t xml:space="preserve">having been examined under </w:t>
      </w:r>
      <w:r w:rsidR="004C4CBD">
        <w:t>“</w:t>
      </w:r>
      <w:r w:rsidRPr="009C4EED">
        <w:t>another procedure of international investigation or settlement</w:t>
      </w:r>
      <w:r w:rsidR="004C4CBD">
        <w:t>”</w:t>
      </w:r>
      <w:r w:rsidRPr="009C4EED">
        <w:t xml:space="preserve"> </w:t>
      </w:r>
      <w:r>
        <w:t>within the meaning of</w:t>
      </w:r>
      <w:r w:rsidRPr="009C4EED">
        <w:t xml:space="preserve"> article 2 (c) of the Optional Protocol. The</w:t>
      </w:r>
      <w:r>
        <w:t xml:space="preserve"> Committee also notes the authors</w:t>
      </w:r>
      <w:r w:rsidR="004C4CBD">
        <w:t>’</w:t>
      </w:r>
      <w:r>
        <w:t xml:space="preserve"> argument</w:t>
      </w:r>
      <w:r w:rsidRPr="009C4EED">
        <w:t xml:space="preserve"> that the request submitted to the Working Group does not concern the same matter as the present communication</w:t>
      </w:r>
      <w:r>
        <w:t>s</w:t>
      </w:r>
      <w:r w:rsidRPr="009C4EED">
        <w:t xml:space="preserve">, as </w:t>
      </w:r>
      <w:r>
        <w:t>it</w:t>
      </w:r>
      <w:r w:rsidRPr="009C4EED">
        <w:t xml:space="preserve"> </w:t>
      </w:r>
      <w:r>
        <w:t>is</w:t>
      </w:r>
      <w:r w:rsidRPr="009C4EED">
        <w:t xml:space="preserve"> not based on the disabilit</w:t>
      </w:r>
      <w:r>
        <w:t>ies</w:t>
      </w:r>
      <w:r w:rsidRPr="009C4EED">
        <w:t xml:space="preserve"> of the alleged victims and </w:t>
      </w:r>
      <w:r>
        <w:t>does</w:t>
      </w:r>
      <w:r w:rsidRPr="009C4EED">
        <w:t xml:space="preserve"> not raise claims relating to their rights as persons with disabilities. </w:t>
      </w:r>
    </w:p>
    <w:p w14:paraId="2DE6E549" w14:textId="77777777" w:rsidR="00F37149" w:rsidRDefault="00F37149" w:rsidP="00F37149">
      <w:pPr>
        <w:pStyle w:val="SingleTxtG"/>
      </w:pPr>
      <w:r>
        <w:t>7.5</w:t>
      </w:r>
      <w:r>
        <w:tab/>
        <w:t xml:space="preserve">The Committee notes that the Human Rights Committee, in its jurisprudence, has observed that </w:t>
      </w:r>
      <w:r w:rsidRPr="00BE5447">
        <w:t>extra-conventional procedures or mechanisms established by the Human Rights Council</w:t>
      </w:r>
      <w:r>
        <w:t xml:space="preserve">, including </w:t>
      </w:r>
      <w:r w:rsidRPr="001341D5">
        <w:t>the Working Group on Enforced or Involuntary Disappearances, do not ge</w:t>
      </w:r>
      <w:r w:rsidRPr="00BE5447">
        <w:t xml:space="preserve">nerally constitute a procedure of international investigation or settlement within the meaning of </w:t>
      </w:r>
      <w:r>
        <w:t>article 5 (2) (a) of the</w:t>
      </w:r>
      <w:r w:rsidRPr="001341D5">
        <w:t xml:space="preserve"> Optional Protocol to the International Covenant on Civil and Political Rights</w:t>
      </w:r>
      <w:r>
        <w:t>.</w:t>
      </w:r>
      <w:r w:rsidRPr="00AB6514">
        <w:rPr>
          <w:rStyle w:val="FootnoteReference"/>
        </w:rPr>
        <w:footnoteReference w:id="35"/>
      </w:r>
      <w:r>
        <w:t xml:space="preserve"> Accordingly, the Committee considers that it is not precluded by article 2 (c) of the Optional Protocol, for purposes of admissibility, from examining the present communications.</w:t>
      </w:r>
    </w:p>
    <w:p w14:paraId="0DF6F79E" w14:textId="5342414D" w:rsidR="00F37149" w:rsidRDefault="00F37149" w:rsidP="00F37149">
      <w:pPr>
        <w:pStyle w:val="SingleTxtG"/>
        <w:numPr>
          <w:ilvl w:val="1"/>
          <w:numId w:val="27"/>
        </w:numPr>
        <w:tabs>
          <w:tab w:val="clear" w:pos="1701"/>
          <w:tab w:val="clear" w:pos="2268"/>
        </w:tabs>
        <w:ind w:left="1134" w:firstLine="0"/>
      </w:pPr>
      <w:r w:rsidRPr="000F380E">
        <w:t xml:space="preserve">The </w:t>
      </w:r>
      <w:r>
        <w:t>Committee notes the State party</w:t>
      </w:r>
      <w:r w:rsidR="004C4CBD">
        <w:t>’</w:t>
      </w:r>
      <w:r>
        <w:t xml:space="preserve">s submission that the communications are inadmissible for failure to exhaust domestic remedies. It notes the </w:t>
      </w:r>
      <w:r w:rsidRPr="000F380E">
        <w:t>authors</w:t>
      </w:r>
      <w:r w:rsidR="004C4CBD">
        <w:t>’</w:t>
      </w:r>
      <w:r w:rsidRPr="000F380E">
        <w:t xml:space="preserve"> argu</w:t>
      </w:r>
      <w:r>
        <w:t>ment</w:t>
      </w:r>
      <w:r w:rsidRPr="000F380E">
        <w:t xml:space="preserve"> that there are no effective domestic remedies available to them in the State party</w:t>
      </w:r>
      <w:r>
        <w:t>,</w:t>
      </w:r>
      <w:r w:rsidRPr="000F380E">
        <w:t xml:space="preserve"> as Israeli nationals cannot enter Palestin</w:t>
      </w:r>
      <w:r>
        <w:t>ian</w:t>
      </w:r>
      <w:r w:rsidRPr="000F380E">
        <w:t xml:space="preserve"> territory </w:t>
      </w:r>
      <w:r>
        <w:t xml:space="preserve">and </w:t>
      </w:r>
      <w:r w:rsidRPr="000F380E">
        <w:t>do not have access to Palestinian courts</w:t>
      </w:r>
      <w:r>
        <w:t>, and that</w:t>
      </w:r>
      <w:r w:rsidRPr="000F380E">
        <w:t xml:space="preserve">, </w:t>
      </w:r>
      <w:r>
        <w:t>owing</w:t>
      </w:r>
      <w:r w:rsidRPr="000F380E">
        <w:t xml:space="preserve"> to Hamas</w:t>
      </w:r>
      <w:r w:rsidR="004C4CBD">
        <w:t>’</w:t>
      </w:r>
      <w:r>
        <w:t>s</w:t>
      </w:r>
      <w:r w:rsidRPr="000F380E">
        <w:t xml:space="preserve"> control of the Gaza Strip, Palestinian courts cannot in practice exercise their jurisdiction and enforce judgments in the Gaza Strip. </w:t>
      </w:r>
      <w:r>
        <w:t>The Committee notes that the State party has not refuted the authors</w:t>
      </w:r>
      <w:r w:rsidR="004C4CBD">
        <w:t>’</w:t>
      </w:r>
      <w:r>
        <w:t xml:space="preserve"> claims, nor has it identified any specific domestic remedy that would be effective and available to the authors in order to address the situation of the alleged victims. In these circumstances, the Committee therefore finds that it is not precluded by article 2 (d) of the Optional Protocol from examining the present communications.</w:t>
      </w:r>
    </w:p>
    <w:p w14:paraId="5686108F" w14:textId="78C823EC" w:rsidR="00F37149" w:rsidRDefault="00F37149" w:rsidP="00F37149">
      <w:pPr>
        <w:pStyle w:val="SingleTxtG"/>
      </w:pPr>
      <w:r>
        <w:t xml:space="preserve">7.7 </w:t>
      </w:r>
      <w:r>
        <w:tab/>
        <w:t>The Committee notes the authors</w:t>
      </w:r>
      <w:r w:rsidR="004C4CBD">
        <w:t>’</w:t>
      </w:r>
      <w:r>
        <w:t xml:space="preserve"> submission that while the events in question began before the Optional Protocol entered into force for the State party, the disappearance of the alleged victims entails a continued violation of the Convention. The Committee notes that under article 2 (f) of the Optional Protocol a communication are to </w:t>
      </w:r>
      <w:r w:rsidR="00642871">
        <w:t xml:space="preserve">be </w:t>
      </w:r>
      <w:r>
        <w:t xml:space="preserve">considered inadmissible when the facts that are the subject of the communication occurred prior to the entry into force of the Optional Protocol for the State Party concerned unless those facts continued after that date. </w:t>
      </w:r>
      <w:bookmarkStart w:id="11" w:name="_Hlk123632717"/>
      <w:r>
        <w:t xml:space="preserve">The Committee notes that the alleged victims entered the Gaza Strip in 2014 and 2015 respectively, and that, according to the information available on file, it appears that they were possibly detained by the military wing of Hamas and held incommunicado. Although their alleged disappearance and/or arbitrary detention took place before the entry into force of the Optional Protocol for the State party, the Committee notes that, from the information on file, and in particular in the light of the video published by </w:t>
      </w:r>
      <w:r w:rsidRPr="008D6EAA">
        <w:t xml:space="preserve">Hamas </w:t>
      </w:r>
      <w:r>
        <w:t>in June 2022</w:t>
      </w:r>
      <w:r w:rsidRPr="008D6EAA">
        <w:t xml:space="preserve"> </w:t>
      </w:r>
      <w:r w:rsidRPr="00C06747">
        <w:t>showing Hisham al-Sayed lying</w:t>
      </w:r>
      <w:r w:rsidRPr="008D6EAA">
        <w:t xml:space="preserve"> </w:t>
      </w:r>
      <w:r>
        <w:t>in</w:t>
      </w:r>
      <w:r w:rsidRPr="008D6EAA">
        <w:t xml:space="preserve"> what appeared to be a hospital bed</w:t>
      </w:r>
      <w:r>
        <w:t>, the alleged victims might still be detained under such conditions. Considering the alleged victims</w:t>
      </w:r>
      <w:r w:rsidR="004C4CBD">
        <w:t>’</w:t>
      </w:r>
      <w:r>
        <w:t xml:space="preserve"> psychosocial disabilities and their detention conditions, in particular the lack of contact with the families and the lack of information regarding their whereabouts and health condition,</w:t>
      </w:r>
      <w:bookmarkEnd w:id="11"/>
      <w:r>
        <w:t xml:space="preserve"> all of which has continued after the date of entry into force, the Committee considers that it is not precluded by article 2 (f) of the Optional Protocol from considering the present communications.</w:t>
      </w:r>
    </w:p>
    <w:p w14:paraId="70362593" w14:textId="1D9A74A7" w:rsidR="00F37149" w:rsidRDefault="00F37149" w:rsidP="00F37149">
      <w:pPr>
        <w:pStyle w:val="SingleTxtG"/>
      </w:pPr>
      <w:r>
        <w:t>7.8</w:t>
      </w:r>
      <w:r>
        <w:tab/>
        <w:t>Lastly, the Committee notes the State party</w:t>
      </w:r>
      <w:r w:rsidR="004C4CBD">
        <w:t>’</w:t>
      </w:r>
      <w:r>
        <w:t xml:space="preserve">s submission that the communications should be considered inadmissible as manifestly ill-founded </w:t>
      </w:r>
      <w:r w:rsidRPr="00410E63">
        <w:t xml:space="preserve">under article 2 </w:t>
      </w:r>
      <w:r w:rsidR="00410E63">
        <w:t>(e)</w:t>
      </w:r>
      <w:r w:rsidRPr="00410E63">
        <w:t xml:space="preserve"> of the Optional</w:t>
      </w:r>
      <w:r>
        <w:t xml:space="preserve"> Protocol. It notes the authors</w:t>
      </w:r>
      <w:r w:rsidR="004C4CBD">
        <w:t>’</w:t>
      </w:r>
      <w:r>
        <w:t xml:space="preserve"> claims that the alleged disappearance of the victims is in violation of their rights under articles 10, 14, 15 and 25, read alone and in conjunction with article 11, of the Convention as their disappearance and incommunicado detention have exposed them to a risk to their lives and health, ill-treatment and deprivation of liberty. The Committee considers that the authors have sufficiently substantiated these claims for the purposes of admissibility. </w:t>
      </w:r>
    </w:p>
    <w:p w14:paraId="684C5A42" w14:textId="77777777" w:rsidR="00F37149" w:rsidRPr="004D2A9E" w:rsidRDefault="00F37149" w:rsidP="00F37149">
      <w:pPr>
        <w:pStyle w:val="SingleTxtG"/>
        <w:rPr>
          <w:i/>
          <w:iCs/>
        </w:rPr>
      </w:pPr>
      <w:r>
        <w:t>7.9</w:t>
      </w:r>
      <w:r>
        <w:tab/>
        <w:t xml:space="preserve">The Committee notes, however, that the authors have not provided </w:t>
      </w:r>
      <w:r w:rsidRPr="001D6B3E">
        <w:t xml:space="preserve">sufficient arguments </w:t>
      </w:r>
      <w:r>
        <w:t xml:space="preserve">regarding the violations invoked under articles 12 and 16 of the Convention that are not already encompassed within the claims as raised under articles 10, 14, 15 and 25. The </w:t>
      </w:r>
      <w:r>
        <w:lastRenderedPageBreak/>
        <w:t>Committee therefore finds, based on the information on file, that these claims are insufficiently substantiated and inadmissible under article 2 (e) of the Optional Protocol.</w:t>
      </w:r>
    </w:p>
    <w:p w14:paraId="542F7882" w14:textId="7911AE7E" w:rsidR="00F37149" w:rsidRDefault="00F37149" w:rsidP="00F37149">
      <w:pPr>
        <w:pStyle w:val="SingleTxtG"/>
        <w:rPr>
          <w:bCs/>
          <w:lang w:val="x-none"/>
        </w:rPr>
      </w:pPr>
      <w:r>
        <w:t>7.10</w:t>
      </w:r>
      <w:r>
        <w:tab/>
      </w:r>
      <w:r w:rsidRPr="00F877BA">
        <w:rPr>
          <w:bCs/>
          <w:lang w:val="x-none"/>
        </w:rPr>
        <w:t>In the absence of any other challenges to the admissibility</w:t>
      </w:r>
      <w:r w:rsidRPr="00F877BA">
        <w:rPr>
          <w:bCs/>
        </w:rPr>
        <w:t xml:space="preserve"> of the communications</w:t>
      </w:r>
      <w:r w:rsidRPr="00F877BA">
        <w:rPr>
          <w:bCs/>
          <w:lang w:val="x-none"/>
        </w:rPr>
        <w:t>, the Committee declares the communication</w:t>
      </w:r>
      <w:r w:rsidRPr="00CF311B">
        <w:rPr>
          <w:bCs/>
          <w:lang w:val="en-US"/>
        </w:rPr>
        <w:t>s</w:t>
      </w:r>
      <w:r w:rsidRPr="00F877BA">
        <w:rPr>
          <w:bCs/>
          <w:lang w:val="x-none"/>
        </w:rPr>
        <w:t xml:space="preserve"> admissible insofar as </w:t>
      </w:r>
      <w:r>
        <w:rPr>
          <w:bCs/>
        </w:rPr>
        <w:t>they</w:t>
      </w:r>
      <w:r w:rsidRPr="00F877BA">
        <w:rPr>
          <w:bCs/>
          <w:lang w:val="x-none"/>
        </w:rPr>
        <w:t xml:space="preserve"> </w:t>
      </w:r>
      <w:r w:rsidRPr="00F877BA">
        <w:rPr>
          <w:bCs/>
        </w:rPr>
        <w:t>concern the authors</w:t>
      </w:r>
      <w:r w:rsidR="004C4CBD">
        <w:rPr>
          <w:bCs/>
        </w:rPr>
        <w:t>’</w:t>
      </w:r>
      <w:r w:rsidRPr="00F877BA">
        <w:rPr>
          <w:bCs/>
        </w:rPr>
        <w:t xml:space="preserve"> claims</w:t>
      </w:r>
      <w:r w:rsidRPr="00F877BA">
        <w:rPr>
          <w:bCs/>
          <w:lang w:val="x-none"/>
        </w:rPr>
        <w:t xml:space="preserve"> under article</w:t>
      </w:r>
      <w:r w:rsidRPr="00F877BA">
        <w:rPr>
          <w:bCs/>
        </w:rPr>
        <w:t>s 1</w:t>
      </w:r>
      <w:r>
        <w:rPr>
          <w:bCs/>
        </w:rPr>
        <w:t xml:space="preserve">0, </w:t>
      </w:r>
      <w:r w:rsidRPr="00F877BA">
        <w:rPr>
          <w:bCs/>
        </w:rPr>
        <w:t>14, 15 and 25, read alone and in conjunction with article 11</w:t>
      </w:r>
      <w:r>
        <w:rPr>
          <w:bCs/>
        </w:rPr>
        <w:t>,</w:t>
      </w:r>
      <w:r w:rsidRPr="00F877BA">
        <w:rPr>
          <w:bCs/>
        </w:rPr>
        <w:t xml:space="preserve"> of the Convention</w:t>
      </w:r>
      <w:r w:rsidRPr="00F877BA">
        <w:rPr>
          <w:bCs/>
          <w:lang w:val="x-none"/>
        </w:rPr>
        <w:t xml:space="preserve">, </w:t>
      </w:r>
      <w:r>
        <w:rPr>
          <w:bCs/>
        </w:rPr>
        <w:t>related to the State party</w:t>
      </w:r>
      <w:r w:rsidR="004C4CBD">
        <w:rPr>
          <w:bCs/>
        </w:rPr>
        <w:t>’</w:t>
      </w:r>
      <w:r>
        <w:rPr>
          <w:bCs/>
        </w:rPr>
        <w:t xml:space="preserve">s failure to protect the alleged victims and to investigate their alleged disappearance and arbitrary detention, </w:t>
      </w:r>
      <w:r w:rsidRPr="00F877BA">
        <w:rPr>
          <w:bCs/>
          <w:lang w:val="x-none"/>
        </w:rPr>
        <w:t xml:space="preserve">and proceeds </w:t>
      </w:r>
      <w:r w:rsidRPr="00F877BA">
        <w:rPr>
          <w:bCs/>
        </w:rPr>
        <w:t>with</w:t>
      </w:r>
      <w:r w:rsidRPr="00F877BA">
        <w:rPr>
          <w:bCs/>
          <w:lang w:val="x-none"/>
        </w:rPr>
        <w:t xml:space="preserve"> </w:t>
      </w:r>
      <w:r w:rsidRPr="00F877BA">
        <w:rPr>
          <w:bCs/>
        </w:rPr>
        <w:t>its</w:t>
      </w:r>
      <w:r w:rsidRPr="00F877BA">
        <w:rPr>
          <w:bCs/>
          <w:lang w:val="x-none"/>
        </w:rPr>
        <w:t xml:space="preserve"> consideration o</w:t>
      </w:r>
      <w:r w:rsidRPr="00F877BA">
        <w:rPr>
          <w:bCs/>
        </w:rPr>
        <w:t>f</w:t>
      </w:r>
      <w:r w:rsidRPr="00F877BA">
        <w:rPr>
          <w:bCs/>
          <w:lang w:val="x-none"/>
        </w:rPr>
        <w:t xml:space="preserve"> the merits.</w:t>
      </w:r>
    </w:p>
    <w:p w14:paraId="3C2EE799" w14:textId="77777777" w:rsidR="00F37149" w:rsidRPr="0073032D" w:rsidRDefault="00F37149" w:rsidP="00F37149">
      <w:pPr>
        <w:pStyle w:val="H23G"/>
      </w:pPr>
      <w:r>
        <w:tab/>
      </w:r>
      <w:r>
        <w:tab/>
      </w:r>
      <w:r w:rsidRPr="0073032D">
        <w:t>Consideration of the merits</w:t>
      </w:r>
    </w:p>
    <w:p w14:paraId="6E77A049" w14:textId="77777777" w:rsidR="00F37149" w:rsidRDefault="00F37149" w:rsidP="00F37149">
      <w:pPr>
        <w:pStyle w:val="SingleTxtG"/>
      </w:pPr>
      <w:r w:rsidRPr="0073032D">
        <w:t>8.1</w:t>
      </w:r>
      <w:r w:rsidRPr="0073032D">
        <w:tab/>
        <w:t>The Committee has considered the communications in the light of all the information that it has received, in accordance with article 5 of the Optional Protocol and rule 73 (1) of its rules of procedure.</w:t>
      </w:r>
    </w:p>
    <w:p w14:paraId="7E4D0A33" w14:textId="173D4CAB" w:rsidR="00F37149" w:rsidRDefault="00F37149" w:rsidP="00F37149">
      <w:pPr>
        <w:pStyle w:val="SingleTxtG"/>
      </w:pPr>
      <w:r>
        <w:t xml:space="preserve">8.2 </w:t>
      </w:r>
      <w:r>
        <w:tab/>
      </w:r>
      <w:r w:rsidRPr="008D6EAA">
        <w:t>The</w:t>
      </w:r>
      <w:r>
        <w:t xml:space="preserve"> Committee notes the</w:t>
      </w:r>
      <w:r w:rsidRPr="008D6EAA">
        <w:t xml:space="preserve"> authors</w:t>
      </w:r>
      <w:r w:rsidR="004C4CBD">
        <w:t>’</w:t>
      </w:r>
      <w:r>
        <w:t xml:space="preserve"> claim</w:t>
      </w:r>
      <w:r w:rsidRPr="008D6EAA">
        <w:t xml:space="preserve"> that </w:t>
      </w:r>
      <w:r>
        <w:t xml:space="preserve">the alleged victims have been subjected to enforced disappearance and incommunicado detention </w:t>
      </w:r>
      <w:r w:rsidRPr="008D6EAA">
        <w:t xml:space="preserve">in </w:t>
      </w:r>
      <w:r>
        <w:t>the Gaza Strip. The Committee further notes the authors</w:t>
      </w:r>
      <w:r w:rsidR="004C4CBD">
        <w:t>’</w:t>
      </w:r>
      <w:r>
        <w:t xml:space="preserve"> claims that by failing to take any action to try to determine the fate and whereabouts </w:t>
      </w:r>
      <w:r w:rsidRPr="00671154">
        <w:t xml:space="preserve">of the alleged victims </w:t>
      </w:r>
      <w:r w:rsidRPr="008D6EAA">
        <w:t>or to facilitate their safe return</w:t>
      </w:r>
      <w:r>
        <w:t>,</w:t>
      </w:r>
      <w:r w:rsidRPr="00E06F2D">
        <w:t xml:space="preserve"> </w:t>
      </w:r>
      <w:r>
        <w:t>the State party has violated their rights under articles 10, 14, 15 and 25, read alone and in conjunction with article 11,</w:t>
      </w:r>
      <w:r w:rsidRPr="00E06F2D">
        <w:rPr>
          <w:rFonts w:eastAsia="Times New Roman"/>
          <w:lang w:eastAsia="en-US"/>
        </w:rPr>
        <w:t xml:space="preserve"> </w:t>
      </w:r>
      <w:r w:rsidRPr="00E06F2D">
        <w:t>of the Convention</w:t>
      </w:r>
      <w:r>
        <w:t xml:space="preserve">. </w:t>
      </w:r>
    </w:p>
    <w:p w14:paraId="6C8D4621" w14:textId="31A0FE08" w:rsidR="00F37149" w:rsidRPr="008D6EAA" w:rsidRDefault="00F37149" w:rsidP="00F37149">
      <w:pPr>
        <w:pStyle w:val="SingleTxtG"/>
      </w:pPr>
      <w:r>
        <w:t>8.3</w:t>
      </w:r>
      <w:r>
        <w:tab/>
        <w:t>The Committee notes the State party</w:t>
      </w:r>
      <w:r w:rsidR="004C4CBD">
        <w:t>’</w:t>
      </w:r>
      <w:r>
        <w:t>s submission that it has been unable to independently verify the alleged victims</w:t>
      </w:r>
      <w:r w:rsidR="004C4CBD">
        <w:t>’</w:t>
      </w:r>
      <w:r>
        <w:t xml:space="preserve"> whereabouts or fate, and its argument that there is conflicting </w:t>
      </w:r>
      <w:r w:rsidRPr="008D6EAA">
        <w:rPr>
          <w:lang w:val="en-US"/>
        </w:rPr>
        <w:t xml:space="preserve">information in the public domain regarding </w:t>
      </w:r>
      <w:r>
        <w:rPr>
          <w:lang w:val="en-US"/>
        </w:rPr>
        <w:t>their</w:t>
      </w:r>
      <w:r w:rsidRPr="008D6EAA">
        <w:rPr>
          <w:lang w:val="en-US"/>
        </w:rPr>
        <w:t xml:space="preserve"> disappearance. It </w:t>
      </w:r>
      <w:r>
        <w:rPr>
          <w:lang w:val="en-US"/>
        </w:rPr>
        <w:t>notes the State party</w:t>
      </w:r>
      <w:r w:rsidR="004C4CBD">
        <w:rPr>
          <w:lang w:val="en-US"/>
        </w:rPr>
        <w:t>’</w:t>
      </w:r>
      <w:r>
        <w:rPr>
          <w:lang w:val="en-US"/>
        </w:rPr>
        <w:t xml:space="preserve">s </w:t>
      </w:r>
      <w:r w:rsidRPr="008D6EAA">
        <w:rPr>
          <w:lang w:val="en-US"/>
        </w:rPr>
        <w:t xml:space="preserve">claims </w:t>
      </w:r>
      <w:r>
        <w:rPr>
          <w:lang w:val="en-US"/>
        </w:rPr>
        <w:t>that the</w:t>
      </w:r>
      <w:r w:rsidRPr="008D6EAA">
        <w:rPr>
          <w:lang w:val="en-US"/>
        </w:rPr>
        <w:t xml:space="preserve"> blockade of the occupied Gaza Strip undermines a</w:t>
      </w:r>
      <w:r>
        <w:rPr>
          <w:lang w:val="en-US"/>
        </w:rPr>
        <w:t>ny</w:t>
      </w:r>
      <w:r w:rsidRPr="008D6EAA">
        <w:rPr>
          <w:lang w:val="en-US"/>
        </w:rPr>
        <w:t xml:space="preserve"> determination </w:t>
      </w:r>
      <w:r>
        <w:rPr>
          <w:lang w:val="en-US"/>
        </w:rPr>
        <w:t>of</w:t>
      </w:r>
      <w:r w:rsidRPr="008D6EAA">
        <w:rPr>
          <w:lang w:val="en-US"/>
        </w:rPr>
        <w:t xml:space="preserve"> the veracity of the claims </w:t>
      </w:r>
      <w:r>
        <w:rPr>
          <w:lang w:val="en-US"/>
        </w:rPr>
        <w:t>or</w:t>
      </w:r>
      <w:r w:rsidRPr="008D6EAA">
        <w:rPr>
          <w:lang w:val="en-US"/>
        </w:rPr>
        <w:t xml:space="preserve"> the identification of any alleged perpetrators. </w:t>
      </w:r>
      <w:r>
        <w:rPr>
          <w:lang w:val="en-US"/>
        </w:rPr>
        <w:t>However,</w:t>
      </w:r>
      <w:r w:rsidRPr="00947940">
        <w:rPr>
          <w:lang w:val="en-US"/>
        </w:rPr>
        <w:t xml:space="preserve"> </w:t>
      </w:r>
      <w:r>
        <w:rPr>
          <w:lang w:val="en-US"/>
        </w:rPr>
        <w:t>the Committee</w:t>
      </w:r>
      <w:r w:rsidRPr="00947940">
        <w:rPr>
          <w:lang w:val="en-US"/>
        </w:rPr>
        <w:t xml:space="preserve"> notes the authors</w:t>
      </w:r>
      <w:r w:rsidR="004C4CBD">
        <w:rPr>
          <w:lang w:val="en-US"/>
        </w:rPr>
        <w:t>’</w:t>
      </w:r>
      <w:r w:rsidRPr="00947940">
        <w:rPr>
          <w:lang w:val="en-US"/>
        </w:rPr>
        <w:t xml:space="preserve"> </w:t>
      </w:r>
      <w:r>
        <w:rPr>
          <w:lang w:val="en-US"/>
        </w:rPr>
        <w:t>uncontested claim</w:t>
      </w:r>
      <w:r w:rsidRPr="00947940">
        <w:rPr>
          <w:lang w:val="en-US"/>
        </w:rPr>
        <w:t xml:space="preserve"> that statements and a video published by Hamas</w:t>
      </w:r>
      <w:r w:rsidRPr="00947940">
        <w:t xml:space="preserve"> indicate that the alleged victims are</w:t>
      </w:r>
      <w:r>
        <w:t>,</w:t>
      </w:r>
      <w:r w:rsidRPr="00947940">
        <w:t xml:space="preserve"> or </w:t>
      </w:r>
      <w:r>
        <w:t>have been,</w:t>
      </w:r>
      <w:r w:rsidRPr="00947940">
        <w:t xml:space="preserve"> held by Hamas in the Gaza Strip.</w:t>
      </w:r>
      <w:r>
        <w:t xml:space="preserve"> The Committee </w:t>
      </w:r>
      <w:r w:rsidRPr="008D6EAA">
        <w:rPr>
          <w:lang w:val="en-US"/>
        </w:rPr>
        <w:t xml:space="preserve">further notes </w:t>
      </w:r>
      <w:r>
        <w:rPr>
          <w:lang w:val="en-US"/>
        </w:rPr>
        <w:t>the State party</w:t>
      </w:r>
      <w:r w:rsidR="004C4CBD">
        <w:rPr>
          <w:lang w:val="en-US"/>
        </w:rPr>
        <w:t>’</w:t>
      </w:r>
      <w:r>
        <w:rPr>
          <w:lang w:val="en-US"/>
        </w:rPr>
        <w:t xml:space="preserve">s argument that </w:t>
      </w:r>
      <w:r w:rsidRPr="008D6EAA">
        <w:rPr>
          <w:lang w:val="en-US"/>
        </w:rPr>
        <w:t>Hamas</w:t>
      </w:r>
      <w:r w:rsidR="004C4CBD">
        <w:rPr>
          <w:lang w:val="en-US"/>
        </w:rPr>
        <w:t>’</w:t>
      </w:r>
      <w:r>
        <w:rPr>
          <w:lang w:val="en-US"/>
        </w:rPr>
        <w:t>s</w:t>
      </w:r>
      <w:r w:rsidRPr="008D6EAA">
        <w:rPr>
          <w:lang w:val="en-US"/>
        </w:rPr>
        <w:t xml:space="preserve"> control over the Gaza Strip</w:t>
      </w:r>
      <w:r>
        <w:rPr>
          <w:lang w:val="en-US"/>
        </w:rPr>
        <w:t xml:space="preserve"> </w:t>
      </w:r>
      <w:r w:rsidRPr="008D6EAA">
        <w:rPr>
          <w:lang w:val="en-US"/>
        </w:rPr>
        <w:t xml:space="preserve">has led to the severance of </w:t>
      </w:r>
      <w:r>
        <w:rPr>
          <w:lang w:val="en-US"/>
        </w:rPr>
        <w:t>the State party</w:t>
      </w:r>
      <w:r w:rsidR="004C4CBD">
        <w:rPr>
          <w:lang w:val="en-US"/>
        </w:rPr>
        <w:t>’</w:t>
      </w:r>
      <w:r>
        <w:rPr>
          <w:lang w:val="en-US"/>
        </w:rPr>
        <w:t>s</w:t>
      </w:r>
      <w:r w:rsidRPr="008D6EAA">
        <w:rPr>
          <w:lang w:val="en-US"/>
        </w:rPr>
        <w:t xml:space="preserve"> security control in the Gaza Strip, further hampering </w:t>
      </w:r>
      <w:r>
        <w:rPr>
          <w:lang w:val="en-US"/>
        </w:rPr>
        <w:t xml:space="preserve">its </w:t>
      </w:r>
      <w:r w:rsidRPr="008D6EAA">
        <w:rPr>
          <w:lang w:val="en-US"/>
        </w:rPr>
        <w:t xml:space="preserve">ability to verify the </w:t>
      </w:r>
      <w:r>
        <w:rPr>
          <w:lang w:val="en-US"/>
        </w:rPr>
        <w:t>claims raised by the authors. It also notes the State party</w:t>
      </w:r>
      <w:r w:rsidR="004C4CBD">
        <w:rPr>
          <w:lang w:val="en-US"/>
        </w:rPr>
        <w:t>’</w:t>
      </w:r>
      <w:r>
        <w:rPr>
          <w:lang w:val="en-US"/>
        </w:rPr>
        <w:t>s argument that such</w:t>
      </w:r>
      <w:r w:rsidRPr="008D6EAA">
        <w:rPr>
          <w:lang w:val="en-US"/>
        </w:rPr>
        <w:t xml:space="preserve"> factors directly affect the possibility of an effective investigation</w:t>
      </w:r>
      <w:r w:rsidRPr="00A22721">
        <w:rPr>
          <w:lang w:val="en-US"/>
        </w:rPr>
        <w:t xml:space="preserve"> </w:t>
      </w:r>
      <w:r w:rsidRPr="008D6EAA">
        <w:rPr>
          <w:lang w:val="en-US"/>
        </w:rPr>
        <w:t xml:space="preserve">at the domestic level of the claims raised in the communications, as its capacity to reach the Gaza Strip and conduct investigations </w:t>
      </w:r>
      <w:r>
        <w:rPr>
          <w:lang w:val="en-US"/>
        </w:rPr>
        <w:t>is</w:t>
      </w:r>
      <w:r w:rsidRPr="008D6EAA">
        <w:rPr>
          <w:lang w:val="en-US"/>
        </w:rPr>
        <w:t xml:space="preserve"> severely curtailed</w:t>
      </w:r>
      <w:r>
        <w:rPr>
          <w:lang w:val="en-US"/>
        </w:rPr>
        <w:t xml:space="preserve">. </w:t>
      </w:r>
    </w:p>
    <w:p w14:paraId="02C846B8" w14:textId="5D940308" w:rsidR="00F37149" w:rsidRDefault="00F37149" w:rsidP="00F37149">
      <w:pPr>
        <w:pStyle w:val="SingleTxtG"/>
      </w:pPr>
      <w:r>
        <w:t>8.4</w:t>
      </w:r>
      <w:r>
        <w:tab/>
        <w:t>Concerning the State party</w:t>
      </w:r>
      <w:r w:rsidR="004C4CBD">
        <w:t>’</w:t>
      </w:r>
      <w:r>
        <w:t xml:space="preserve">s ability in practice to make attempts to verify the whereabouts and fate of the alleged victims and to attempt to facilitate their safe return to their families, given the situation in the Gaza Strip, the Committee notes the jurisprudence of </w:t>
      </w:r>
      <w:r w:rsidRPr="00913111">
        <w:t xml:space="preserve">the European Court of Human Rights in </w:t>
      </w:r>
      <w:proofErr w:type="spellStart"/>
      <w:r w:rsidRPr="00913111">
        <w:rPr>
          <w:i/>
          <w:iCs/>
        </w:rPr>
        <w:t>Ila</w:t>
      </w:r>
      <w:r w:rsidRPr="00E82093">
        <w:rPr>
          <w:i/>
          <w:iCs/>
        </w:rPr>
        <w:t>ş</w:t>
      </w:r>
      <w:r w:rsidRPr="00913111">
        <w:rPr>
          <w:i/>
          <w:iCs/>
        </w:rPr>
        <w:t>cu</w:t>
      </w:r>
      <w:proofErr w:type="spellEnd"/>
      <w:r w:rsidRPr="00913111">
        <w:rPr>
          <w:i/>
          <w:iCs/>
        </w:rPr>
        <w:t xml:space="preserve"> and </w:t>
      </w:r>
      <w:r>
        <w:rPr>
          <w:i/>
          <w:iCs/>
        </w:rPr>
        <w:t>o</w:t>
      </w:r>
      <w:r w:rsidRPr="00913111">
        <w:rPr>
          <w:i/>
          <w:iCs/>
        </w:rPr>
        <w:t>thers v. Moldova</w:t>
      </w:r>
      <w:r w:rsidRPr="00913111">
        <w:t xml:space="preserve"> </w:t>
      </w:r>
      <w:r w:rsidRPr="00913111">
        <w:rPr>
          <w:i/>
          <w:iCs/>
        </w:rPr>
        <w:t>and Russia</w:t>
      </w:r>
      <w:r w:rsidRPr="00913111">
        <w:t xml:space="preserve">, </w:t>
      </w:r>
      <w:r>
        <w:t>in which the Court held</w:t>
      </w:r>
      <w:r w:rsidRPr="00913111">
        <w:t xml:space="preserve"> that a State party </w:t>
      </w:r>
      <w:r>
        <w:t>did</w:t>
      </w:r>
      <w:r w:rsidRPr="00913111">
        <w:t xml:space="preserve"> not cease to have jurisdiction over </w:t>
      </w:r>
      <w:r>
        <w:t>any</w:t>
      </w:r>
      <w:r w:rsidRPr="00913111">
        <w:t xml:space="preserve"> part of its territory in which it </w:t>
      </w:r>
      <w:r>
        <w:t>was</w:t>
      </w:r>
      <w:r w:rsidRPr="00913111">
        <w:t xml:space="preserve"> prevented from exercising its authority </w:t>
      </w:r>
      <w:r w:rsidRPr="003D77FA">
        <w:t>by a constraining</w:t>
      </w:r>
      <w:r>
        <w:t xml:space="preserve"> </w:t>
      </w:r>
      <w:r w:rsidRPr="005A7028">
        <w:t>de facto</w:t>
      </w:r>
      <w:r w:rsidRPr="003D77FA">
        <w:rPr>
          <w:i/>
          <w:iCs/>
        </w:rPr>
        <w:t xml:space="preserve"> </w:t>
      </w:r>
      <w:r w:rsidRPr="003D77FA">
        <w:t xml:space="preserve">situation, such as when a separatist regime </w:t>
      </w:r>
      <w:r>
        <w:t>was</w:t>
      </w:r>
      <w:r w:rsidRPr="003D77FA">
        <w:t xml:space="preserve"> set up</w:t>
      </w:r>
      <w:r>
        <w:t>.</w:t>
      </w:r>
      <w:r w:rsidRPr="00AB6514">
        <w:rPr>
          <w:rStyle w:val="FootnoteReference"/>
        </w:rPr>
        <w:footnoteReference w:id="36"/>
      </w:r>
      <w:r>
        <w:t xml:space="preserve"> However, </w:t>
      </w:r>
      <w:r w:rsidRPr="003D77FA">
        <w:t xml:space="preserve">such a factual situation </w:t>
      </w:r>
      <w:r>
        <w:t xml:space="preserve">may </w:t>
      </w:r>
      <w:r w:rsidRPr="003D77FA">
        <w:t>reduce the scope of th</w:t>
      </w:r>
      <w:r>
        <w:t>e State party</w:t>
      </w:r>
      <w:r w:rsidR="004C4CBD">
        <w:t>’</w:t>
      </w:r>
      <w:r>
        <w:t>s substantive obligations under the Convention.</w:t>
      </w:r>
      <w:r w:rsidRPr="003D77FA">
        <w:t xml:space="preserve"> </w:t>
      </w:r>
      <w:r w:rsidRPr="00A97F64">
        <w:t>The focus of the analysis is</w:t>
      </w:r>
      <w:r>
        <w:t xml:space="preserve"> therefore</w:t>
      </w:r>
      <w:r w:rsidRPr="00A97F64">
        <w:t xml:space="preserve"> on the State party</w:t>
      </w:r>
      <w:r w:rsidR="004C4CBD">
        <w:t>’</w:t>
      </w:r>
      <w:r w:rsidRPr="00A97F64">
        <w:t xml:space="preserve">s positive obligations. In the current context, the State party </w:t>
      </w:r>
      <w:r w:rsidRPr="003D77FA">
        <w:t xml:space="preserve">must endeavour </w:t>
      </w:r>
      <w:bookmarkStart w:id="12" w:name="_Hlk130300340"/>
      <w:r w:rsidRPr="00844816">
        <w:t xml:space="preserve">to take </w:t>
      </w:r>
      <w:r>
        <w:t xml:space="preserve">all </w:t>
      </w:r>
      <w:r w:rsidRPr="00844816">
        <w:t>the diplomatic, economic, judicial or</w:t>
      </w:r>
      <w:r>
        <w:t xml:space="preserve"> </w:t>
      </w:r>
      <w:r w:rsidRPr="00811BF2">
        <w:t>other measures that are within its power and are in</w:t>
      </w:r>
      <w:r w:rsidRPr="00844816">
        <w:t xml:space="preserve"> accordance with</w:t>
      </w:r>
      <w:r>
        <w:t xml:space="preserve"> </w:t>
      </w:r>
      <w:r w:rsidRPr="00844816">
        <w:t xml:space="preserve">international law to secure </w:t>
      </w:r>
      <w:r>
        <w:t>for</w:t>
      </w:r>
      <w:r w:rsidRPr="00844816">
        <w:t xml:space="preserve"> the </w:t>
      </w:r>
      <w:r>
        <w:t>authors</w:t>
      </w:r>
      <w:r w:rsidRPr="00844816">
        <w:t xml:space="preserve"> the rights guaranteed by the</w:t>
      </w:r>
      <w:r>
        <w:t xml:space="preserve"> </w:t>
      </w:r>
      <w:r w:rsidRPr="00844816">
        <w:t>Convention</w:t>
      </w:r>
      <w:bookmarkEnd w:id="12"/>
      <w:r>
        <w:t>.</w:t>
      </w:r>
      <w:r w:rsidRPr="00AB6514">
        <w:rPr>
          <w:rStyle w:val="FootnoteReference"/>
        </w:rPr>
        <w:footnoteReference w:id="37"/>
      </w:r>
      <w:r>
        <w:t xml:space="preserve"> The European Court of Human Rights observed that a</w:t>
      </w:r>
      <w:r w:rsidRPr="003D77FA">
        <w:t xml:space="preserve">lthough it </w:t>
      </w:r>
      <w:r>
        <w:t>was</w:t>
      </w:r>
      <w:r w:rsidRPr="003D77FA">
        <w:t xml:space="preserve"> not for </w:t>
      </w:r>
      <w:r>
        <w:t>it</w:t>
      </w:r>
      <w:r w:rsidRPr="003D77FA">
        <w:t xml:space="preserve"> to indicate which measures the</w:t>
      </w:r>
      <w:r>
        <w:t xml:space="preserve"> </w:t>
      </w:r>
      <w:r w:rsidRPr="003D77FA">
        <w:t>authorities should take to comply with their obligations most</w:t>
      </w:r>
      <w:r>
        <w:t xml:space="preserve"> </w:t>
      </w:r>
      <w:r w:rsidRPr="003D77FA">
        <w:t>effectively, it must verify that the measures actually taken were appropriate</w:t>
      </w:r>
      <w:r>
        <w:t xml:space="preserve"> </w:t>
      </w:r>
      <w:r w:rsidRPr="003D77FA">
        <w:t xml:space="preserve">and sufficient. </w:t>
      </w:r>
      <w:r>
        <w:t>The Court noted that w</w:t>
      </w:r>
      <w:r w:rsidRPr="003D77FA">
        <w:t>hen faced with a partial or total failure</w:t>
      </w:r>
      <w:r>
        <w:t xml:space="preserve"> </w:t>
      </w:r>
      <w:r w:rsidRPr="003D77FA">
        <w:t xml:space="preserve">to act, </w:t>
      </w:r>
      <w:r>
        <w:t>its</w:t>
      </w:r>
      <w:r w:rsidRPr="003D77FA">
        <w:t xml:space="preserve"> task </w:t>
      </w:r>
      <w:r>
        <w:t>was</w:t>
      </w:r>
      <w:r w:rsidRPr="003D77FA">
        <w:t xml:space="preserve"> to determine to what extent a minimum effort was</w:t>
      </w:r>
      <w:r>
        <w:t xml:space="preserve"> </w:t>
      </w:r>
      <w:r w:rsidRPr="003D77FA">
        <w:t>nevertheless possible and whether it should have been made</w:t>
      </w:r>
      <w:r>
        <w:t>, and that d</w:t>
      </w:r>
      <w:r w:rsidRPr="003D77FA">
        <w:t>etermining</w:t>
      </w:r>
      <w:r>
        <w:t xml:space="preserve"> </w:t>
      </w:r>
      <w:r w:rsidRPr="003D77FA">
        <w:t xml:space="preserve">that question </w:t>
      </w:r>
      <w:r>
        <w:t>was</w:t>
      </w:r>
      <w:r w:rsidRPr="003D77FA">
        <w:t xml:space="preserve"> especially </w:t>
      </w:r>
      <w:r w:rsidRPr="003D77FA">
        <w:lastRenderedPageBreak/>
        <w:t>necessary in cases concerning an alleged</w:t>
      </w:r>
      <w:r>
        <w:t xml:space="preserve"> </w:t>
      </w:r>
      <w:r w:rsidRPr="003D77FA">
        <w:t xml:space="preserve">infringement of absolute rights such as </w:t>
      </w:r>
      <w:r w:rsidRPr="00A97F64">
        <w:t>the right to life and the prohibition of torture or inhuman or degrading treatment or punishmen</w:t>
      </w:r>
      <w:r>
        <w:t>t.</w:t>
      </w:r>
      <w:r w:rsidRPr="00AB6514">
        <w:rPr>
          <w:rStyle w:val="FootnoteReference"/>
        </w:rPr>
        <w:footnoteReference w:id="38"/>
      </w:r>
      <w:r>
        <w:t xml:space="preserve"> </w:t>
      </w:r>
    </w:p>
    <w:p w14:paraId="584DB584" w14:textId="01E66326" w:rsidR="00F37149" w:rsidRDefault="00F37149" w:rsidP="00F37149">
      <w:pPr>
        <w:pStyle w:val="SingleTxtG"/>
      </w:pPr>
      <w:r>
        <w:t>8.5</w:t>
      </w:r>
      <w:r>
        <w:tab/>
      </w:r>
      <w:r w:rsidRPr="00190518">
        <w:t xml:space="preserve">Following </w:t>
      </w:r>
      <w:r>
        <w:t>this</w:t>
      </w:r>
      <w:r w:rsidRPr="00190518">
        <w:t xml:space="preserve"> jurisprudence</w:t>
      </w:r>
      <w:r>
        <w:t>, t</w:t>
      </w:r>
      <w:r w:rsidRPr="00697216">
        <w:t xml:space="preserve">he Committee </w:t>
      </w:r>
      <w:r>
        <w:t>considers</w:t>
      </w:r>
      <w:r w:rsidRPr="00697216">
        <w:t xml:space="preserve"> that in the present case</w:t>
      </w:r>
      <w:r>
        <w:t>s,</w:t>
      </w:r>
      <w:r w:rsidRPr="00697216">
        <w:t xml:space="preserve"> the question before it is therefore to determine whether the State party </w:t>
      </w:r>
      <w:r w:rsidRPr="00C95C71">
        <w:t xml:space="preserve">discharged </w:t>
      </w:r>
      <w:r w:rsidRPr="00697216">
        <w:t>its</w:t>
      </w:r>
      <w:r w:rsidRPr="00C95C71">
        <w:t xml:space="preserve"> positive obligation to </w:t>
      </w:r>
      <w:r w:rsidRPr="00844816">
        <w:t>take</w:t>
      </w:r>
      <w:r>
        <w:t xml:space="preserve"> appropriate and sufficient measures – including</w:t>
      </w:r>
      <w:r w:rsidRPr="00844816">
        <w:t xml:space="preserve"> diplomatic, economic, judicial </w:t>
      </w:r>
      <w:r>
        <w:t>and</w:t>
      </w:r>
      <w:r w:rsidRPr="007A680E">
        <w:t xml:space="preserve"> </w:t>
      </w:r>
      <w:r w:rsidRPr="00844816">
        <w:t>other measures</w:t>
      </w:r>
      <w:r>
        <w:t xml:space="preserve"> –</w:t>
      </w:r>
      <w:r w:rsidRPr="00844816">
        <w:t xml:space="preserve"> </w:t>
      </w:r>
      <w:r w:rsidRPr="00972FC3">
        <w:t>within its power</w:t>
      </w:r>
      <w:r w:rsidRPr="00844816">
        <w:t xml:space="preserve"> </w:t>
      </w:r>
      <w:r w:rsidRPr="00697216">
        <w:t xml:space="preserve">to </w:t>
      </w:r>
      <w:r w:rsidRPr="00C95C71">
        <w:t xml:space="preserve">secure the </w:t>
      </w:r>
      <w:r w:rsidRPr="00697216">
        <w:t>alleged victims</w:t>
      </w:r>
      <w:r w:rsidR="004C4CBD">
        <w:t>’</w:t>
      </w:r>
      <w:r w:rsidRPr="00697216">
        <w:t xml:space="preserve"> </w:t>
      </w:r>
      <w:r w:rsidRPr="00C95C71">
        <w:t xml:space="preserve">rights </w:t>
      </w:r>
      <w:r>
        <w:t xml:space="preserve">as </w:t>
      </w:r>
      <w:r w:rsidRPr="00C95C71">
        <w:t>guaranteed by the</w:t>
      </w:r>
      <w:r w:rsidRPr="00697216">
        <w:t xml:space="preserve"> </w:t>
      </w:r>
      <w:r w:rsidRPr="00C95C71">
        <w:t>Convention</w:t>
      </w:r>
      <w:r w:rsidRPr="00697216">
        <w:t>.</w:t>
      </w:r>
      <w:r>
        <w:t xml:space="preserve"> </w:t>
      </w:r>
    </w:p>
    <w:p w14:paraId="38397D65" w14:textId="7F71D966" w:rsidR="00F37149" w:rsidRDefault="00F37149" w:rsidP="00F37149">
      <w:pPr>
        <w:pStyle w:val="SingleTxtG"/>
      </w:pPr>
      <w:r>
        <w:t>8.6</w:t>
      </w:r>
      <w:r>
        <w:tab/>
        <w:t>T</w:t>
      </w:r>
      <w:r w:rsidRPr="00947940">
        <w:t>he Committee notes the authors</w:t>
      </w:r>
      <w:r w:rsidR="004C4CBD">
        <w:t>’</w:t>
      </w:r>
      <w:r w:rsidRPr="00947940">
        <w:t xml:space="preserve"> </w:t>
      </w:r>
      <w:r>
        <w:t xml:space="preserve">specific </w:t>
      </w:r>
      <w:r w:rsidRPr="00947940">
        <w:t>claim</w:t>
      </w:r>
      <w:r>
        <w:t>s</w:t>
      </w:r>
      <w:r w:rsidRPr="00947940">
        <w:t xml:space="preserve"> that </w:t>
      </w:r>
      <w:r>
        <w:t xml:space="preserve">the </w:t>
      </w:r>
      <w:r w:rsidRPr="0081586A">
        <w:t>alleged victims were unlawfully and arbitrarily detained</w:t>
      </w:r>
      <w:r>
        <w:t>,</w:t>
      </w:r>
      <w:r w:rsidRPr="0081586A">
        <w:t xml:space="preserve"> in violation of their rights under article 14 of the Convention</w:t>
      </w:r>
      <w:r>
        <w:t xml:space="preserve">, that the </w:t>
      </w:r>
      <w:r w:rsidRPr="00947940">
        <w:t>State party violate</w:t>
      </w:r>
      <w:r>
        <w:t>d</w:t>
      </w:r>
      <w:r w:rsidRPr="00947940">
        <w:t xml:space="preserve"> </w:t>
      </w:r>
      <w:r>
        <w:t>their</w:t>
      </w:r>
      <w:r w:rsidRPr="00947940">
        <w:t xml:space="preserve"> rights under article 15</w:t>
      </w:r>
      <w:r>
        <w:t xml:space="preserve"> </w:t>
      </w:r>
      <w:r w:rsidRPr="00947940">
        <w:t>by failing to take effective measure</w:t>
      </w:r>
      <w:r>
        <w:t>s</w:t>
      </w:r>
      <w:r w:rsidRPr="00947940">
        <w:t xml:space="preserve"> in its power to prevent the </w:t>
      </w:r>
      <w:r>
        <w:t xml:space="preserve">alleged </w:t>
      </w:r>
      <w:r w:rsidRPr="00947940">
        <w:t>victims from being subjected to torture or cruel, inhuman or degrading treatment</w:t>
      </w:r>
      <w:r>
        <w:t>, and that the State party,</w:t>
      </w:r>
      <w:r w:rsidRPr="00947940">
        <w:t xml:space="preserve"> by </w:t>
      </w:r>
      <w:r>
        <w:t>failing to</w:t>
      </w:r>
      <w:r w:rsidRPr="00947940">
        <w:t xml:space="preserve"> tak</w:t>
      </w:r>
      <w:r>
        <w:t>e</w:t>
      </w:r>
      <w:r w:rsidRPr="00947940">
        <w:t xml:space="preserve"> measures in its power to protect the lives of the alleged victims </w:t>
      </w:r>
      <w:r>
        <w:t>from</w:t>
      </w:r>
      <w:r w:rsidRPr="00947940">
        <w:t xml:space="preserve"> the risks </w:t>
      </w:r>
      <w:r>
        <w:t>associated with</w:t>
      </w:r>
      <w:r w:rsidRPr="00947940">
        <w:t xml:space="preserve"> their disappearance, violated their rights under article 10</w:t>
      </w:r>
      <w:r>
        <w:t xml:space="preserve"> </w:t>
      </w:r>
      <w:r w:rsidRPr="00947940">
        <w:t xml:space="preserve">of the Convention. The Committee </w:t>
      </w:r>
      <w:r>
        <w:t>also</w:t>
      </w:r>
      <w:r w:rsidRPr="00947940">
        <w:t xml:space="preserve"> notes the authors</w:t>
      </w:r>
      <w:r w:rsidR="004C4CBD">
        <w:t>’</w:t>
      </w:r>
      <w:r w:rsidRPr="00947940">
        <w:t xml:space="preserve"> claim that the alleged victims</w:t>
      </w:r>
      <w:r w:rsidR="004C4CBD">
        <w:t>’</w:t>
      </w:r>
      <w:r w:rsidRPr="00947940">
        <w:t xml:space="preserve"> rights under article 25 of the Convention were violated </w:t>
      </w:r>
      <w:r>
        <w:t>owing</w:t>
      </w:r>
      <w:r w:rsidRPr="00947940">
        <w:t xml:space="preserve"> to </w:t>
      </w:r>
      <w:r>
        <w:t>their lack of access to</w:t>
      </w:r>
      <w:r w:rsidRPr="00947940">
        <w:t xml:space="preserve"> adequate medical care and the State party</w:t>
      </w:r>
      <w:r w:rsidR="004C4CBD">
        <w:t>’</w:t>
      </w:r>
      <w:r w:rsidRPr="00947940">
        <w:t xml:space="preserve">s failure to make any attempt to remedy their situation. </w:t>
      </w:r>
      <w:r w:rsidRPr="0081586A">
        <w:t>In this regard</w:t>
      </w:r>
      <w:r>
        <w:t>,</w:t>
      </w:r>
      <w:r w:rsidRPr="0081586A">
        <w:t xml:space="preserve"> the Committee notes the information</w:t>
      </w:r>
      <w:r>
        <w:t xml:space="preserve"> provided by the authors</w:t>
      </w:r>
      <w:r w:rsidRPr="0081586A">
        <w:t xml:space="preserve"> that according to a statement released by Hamas</w:t>
      </w:r>
      <w:r>
        <w:t>,</w:t>
      </w:r>
      <w:r w:rsidRPr="0081586A">
        <w:t xml:space="preserve"> the health situation of one of the Israeli nationals </w:t>
      </w:r>
      <w:r>
        <w:t xml:space="preserve">that </w:t>
      </w:r>
      <w:r w:rsidRPr="0081586A">
        <w:t xml:space="preserve">it </w:t>
      </w:r>
      <w:r>
        <w:t xml:space="preserve">was </w:t>
      </w:r>
      <w:r w:rsidRPr="0081586A">
        <w:t>hold</w:t>
      </w:r>
      <w:r>
        <w:t>ing</w:t>
      </w:r>
      <w:r w:rsidRPr="0081586A">
        <w:t xml:space="preserve"> </w:t>
      </w:r>
      <w:r>
        <w:t>had</w:t>
      </w:r>
      <w:r w:rsidRPr="0081586A">
        <w:t xml:space="preserve"> deteriorated, </w:t>
      </w:r>
      <w:r>
        <w:t>and that</w:t>
      </w:r>
      <w:r w:rsidRPr="0081586A">
        <w:t xml:space="preserve"> a video </w:t>
      </w:r>
      <w:r>
        <w:t>had been</w:t>
      </w:r>
      <w:r w:rsidRPr="0081586A">
        <w:t xml:space="preserve"> posted of </w:t>
      </w:r>
      <w:r>
        <w:t>Hisham</w:t>
      </w:r>
      <w:r w:rsidRPr="0081586A">
        <w:t xml:space="preserve"> al-Sayed in a hospital bed.</w:t>
      </w:r>
      <w:r w:rsidRPr="00735F60">
        <w:rPr>
          <w:rFonts w:eastAsia="Times New Roman"/>
          <w:spacing w:val="4"/>
          <w:lang w:eastAsia="en-US"/>
        </w:rPr>
        <w:t xml:space="preserve"> </w:t>
      </w:r>
      <w:r w:rsidRPr="00735F60">
        <w:t>A</w:t>
      </w:r>
      <w:r>
        <w:t>dditionally, a</w:t>
      </w:r>
      <w:r w:rsidRPr="00735F60">
        <w:t>s concerns the authors</w:t>
      </w:r>
      <w:r w:rsidR="004C4CBD">
        <w:t>’</w:t>
      </w:r>
      <w:r w:rsidRPr="00735F60">
        <w:t xml:space="preserve"> claim under article 10 of the Convention</w:t>
      </w:r>
      <w:r>
        <w:t>,</w:t>
      </w:r>
      <w:r w:rsidRPr="00735F60">
        <w:t xml:space="preserve"> the Committee notes </w:t>
      </w:r>
      <w:r>
        <w:t>that</w:t>
      </w:r>
      <w:r w:rsidRPr="00735F60">
        <w:t xml:space="preserve"> the Human Rights Committee </w:t>
      </w:r>
      <w:r>
        <w:t xml:space="preserve">has stated </w:t>
      </w:r>
      <w:r w:rsidRPr="00735F60">
        <w:t>that the right to life, including the right to protection of life, may overlap with the right to security of person</w:t>
      </w:r>
      <w:r>
        <w:t>,</w:t>
      </w:r>
      <w:r w:rsidRPr="00735F60">
        <w:t xml:space="preserve"> and that extreme forms of arbitrary detention that are themselves life-threatening violate the right to personal liberty and personal security and are incompatible with the right to life.</w:t>
      </w:r>
      <w:r w:rsidRPr="00AB6514">
        <w:rPr>
          <w:rStyle w:val="FootnoteReference"/>
        </w:rPr>
        <w:footnoteReference w:id="39"/>
      </w:r>
    </w:p>
    <w:p w14:paraId="108C6083" w14:textId="056FFE96" w:rsidR="00F37149" w:rsidRDefault="00F37149" w:rsidP="00F37149">
      <w:pPr>
        <w:pStyle w:val="SingleTxtG"/>
      </w:pPr>
      <w:r>
        <w:t>8.7</w:t>
      </w:r>
      <w:r>
        <w:tab/>
      </w:r>
      <w:r w:rsidRPr="00947940">
        <w:t xml:space="preserve">The Committee </w:t>
      </w:r>
      <w:r>
        <w:t xml:space="preserve">further </w:t>
      </w:r>
      <w:r w:rsidRPr="00947940">
        <w:t>notes the authors</w:t>
      </w:r>
      <w:r w:rsidR="004C4CBD">
        <w:t>’</w:t>
      </w:r>
      <w:r w:rsidRPr="00947940">
        <w:t xml:space="preserve"> submission that the substantive claims raised </w:t>
      </w:r>
      <w:r>
        <w:t xml:space="preserve">above </w:t>
      </w:r>
      <w:r w:rsidRPr="00947940">
        <w:t xml:space="preserve">should be read </w:t>
      </w:r>
      <w:r>
        <w:t xml:space="preserve">alone and </w:t>
      </w:r>
      <w:r w:rsidRPr="00947940">
        <w:t>in conjunction with the State party</w:t>
      </w:r>
      <w:r w:rsidR="004C4CBD">
        <w:t>’</w:t>
      </w:r>
      <w:r w:rsidRPr="00947940">
        <w:t xml:space="preserve">s obligations under article 11 of the Convention. The Committee recalls that </w:t>
      </w:r>
      <w:r>
        <w:t>under</w:t>
      </w:r>
      <w:r w:rsidRPr="00947940">
        <w:t xml:space="preserve"> article 11</w:t>
      </w:r>
      <w:r>
        <w:t>,</w:t>
      </w:r>
      <w:r w:rsidRPr="00947940">
        <w:t xml:space="preserve"> States parties </w:t>
      </w:r>
      <w:r>
        <w:t>are required to</w:t>
      </w:r>
      <w:r w:rsidRPr="00947940">
        <w:t xml:space="preserve">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 </w:t>
      </w:r>
      <w:r>
        <w:t xml:space="preserve">Regarding the application of article 11 to the present communications, the Committee notes the general human rights and humanitarian situation in the Gaza Strip, whose nature causes a particular situation of risk. This situation was described, for example, in the annual report of the </w:t>
      </w:r>
      <w:r w:rsidRPr="00D175CD">
        <w:t>United Nations High Commissioner for Human Rights</w:t>
      </w:r>
      <w:r>
        <w:t xml:space="preserve"> </w:t>
      </w:r>
      <w:r w:rsidRPr="00395897">
        <w:rPr>
          <w:iCs/>
          <w:lang w:val="en-US"/>
        </w:rPr>
        <w:t>on the implementation of Human Rights Council resolution</w:t>
      </w:r>
      <w:r>
        <w:rPr>
          <w:iCs/>
          <w:lang w:val="en-US"/>
        </w:rPr>
        <w:t>s</w:t>
      </w:r>
      <w:r w:rsidRPr="00395897">
        <w:rPr>
          <w:iCs/>
          <w:lang w:val="en-US"/>
        </w:rPr>
        <w:t xml:space="preserve"> S-9/1 and S-12/1</w:t>
      </w:r>
      <w:r w:rsidRPr="00085AF2">
        <w:t xml:space="preserve">, </w:t>
      </w:r>
      <w:r w:rsidRPr="00395897">
        <w:rPr>
          <w:iCs/>
          <w:lang w:val="en-US"/>
        </w:rPr>
        <w:t>cover</w:t>
      </w:r>
      <w:r>
        <w:rPr>
          <w:iCs/>
          <w:lang w:val="en-US"/>
        </w:rPr>
        <w:t>ing</w:t>
      </w:r>
      <w:r w:rsidRPr="00395897">
        <w:rPr>
          <w:iCs/>
          <w:lang w:val="en-US"/>
        </w:rPr>
        <w:t xml:space="preserve"> the period from 1 November 2020 to 31 October 2021</w:t>
      </w:r>
      <w:r>
        <w:rPr>
          <w:iCs/>
          <w:lang w:val="en-US"/>
        </w:rPr>
        <w:t xml:space="preserve">, in which it was noted that in May 2021, </w:t>
      </w:r>
      <w:r w:rsidRPr="00085AF2">
        <w:t xml:space="preserve">the most significant escalation in hostilities between Israel and Palestinian armed groups since 2014 </w:t>
      </w:r>
      <w:r>
        <w:t xml:space="preserve">had </w:t>
      </w:r>
      <w:r w:rsidRPr="00085AF2">
        <w:t>caused significant civilian casualties and destruction of civilian infrastructure, and worsened the humanitarian situation in Gaza, already heavily affected by 15 years of blockade</w:t>
      </w:r>
      <w:r>
        <w:t>.</w:t>
      </w:r>
      <w:r w:rsidRPr="00AB6514">
        <w:rPr>
          <w:rStyle w:val="FootnoteReference"/>
        </w:rPr>
        <w:footnoteReference w:id="40"/>
      </w:r>
      <w:r>
        <w:t xml:space="preserve"> It was also reported that several </w:t>
      </w:r>
      <w:r w:rsidRPr="00303322">
        <w:t xml:space="preserve">individuals arrested by </w:t>
      </w:r>
      <w:r>
        <w:t>the security forces of the</w:t>
      </w:r>
      <w:r w:rsidRPr="00303322">
        <w:t xml:space="preserve"> </w:t>
      </w:r>
      <w:r w:rsidRPr="005A7028">
        <w:t>de facto</w:t>
      </w:r>
      <w:r w:rsidRPr="00303322">
        <w:t xml:space="preserve"> authorities </w:t>
      </w:r>
      <w:r>
        <w:t>in Gaza</w:t>
      </w:r>
      <w:r w:rsidRPr="00303322">
        <w:t xml:space="preserve"> </w:t>
      </w:r>
      <w:r>
        <w:t>had</w:t>
      </w:r>
      <w:r w:rsidRPr="00303322">
        <w:t xml:space="preserve"> </w:t>
      </w:r>
      <w:r>
        <w:t>alleged</w:t>
      </w:r>
      <w:r w:rsidRPr="00303322">
        <w:t xml:space="preserve"> ill-treatment or torture</w:t>
      </w:r>
      <w:r>
        <w:t xml:space="preserve"> and</w:t>
      </w:r>
      <w:r w:rsidRPr="00303322">
        <w:t xml:space="preserve"> restricted access to legal aid and other concerns </w:t>
      </w:r>
      <w:r>
        <w:t>over</w:t>
      </w:r>
      <w:r w:rsidRPr="00303322">
        <w:t xml:space="preserve"> fair trial guarantees.</w:t>
      </w:r>
      <w:r w:rsidRPr="00AB6514">
        <w:rPr>
          <w:rStyle w:val="FootnoteReference"/>
        </w:rPr>
        <w:footnoteReference w:id="41"/>
      </w:r>
      <w:r w:rsidRPr="00303322">
        <w:t xml:space="preserve"> </w:t>
      </w:r>
      <w:r w:rsidRPr="00303322">
        <w:rPr>
          <w:lang w:val="en-US"/>
        </w:rPr>
        <w:t xml:space="preserve">In particular, a number of people detained by the Internal Security Agency </w:t>
      </w:r>
      <w:r>
        <w:rPr>
          <w:lang w:val="en-US"/>
        </w:rPr>
        <w:t xml:space="preserve">had </w:t>
      </w:r>
      <w:r w:rsidRPr="00303322">
        <w:rPr>
          <w:lang w:val="en-US"/>
        </w:rPr>
        <w:t xml:space="preserve">alleged </w:t>
      </w:r>
      <w:r>
        <w:rPr>
          <w:lang w:val="en-US"/>
        </w:rPr>
        <w:t>that they had</w:t>
      </w:r>
      <w:r w:rsidRPr="00303322">
        <w:rPr>
          <w:lang w:val="en-US"/>
        </w:rPr>
        <w:t xml:space="preserve"> been held in incommunicado detention and subjected to </w:t>
      </w:r>
      <w:r w:rsidRPr="00303322">
        <w:t xml:space="preserve">beating, suspension, sleep deprivation, stress positions and forced exercise with the aim </w:t>
      </w:r>
      <w:r w:rsidRPr="001D5FC0">
        <w:t>of extracting confessions from them</w:t>
      </w:r>
      <w:r w:rsidRPr="00303322">
        <w:t xml:space="preserve">. They </w:t>
      </w:r>
      <w:r>
        <w:t>had no</w:t>
      </w:r>
      <w:r w:rsidRPr="00303322">
        <w:t xml:space="preserve"> access to legal counsel and there </w:t>
      </w:r>
      <w:r>
        <w:t>had been</w:t>
      </w:r>
      <w:r w:rsidRPr="00303322">
        <w:t xml:space="preserve"> no judicial review of their detention despite multiple extensions by a military prosecutor</w:t>
      </w:r>
      <w:r>
        <w:t>.</w:t>
      </w:r>
      <w:r w:rsidRPr="00AB6514">
        <w:rPr>
          <w:rStyle w:val="FootnoteReference"/>
        </w:rPr>
        <w:footnoteReference w:id="42"/>
      </w:r>
      <w:r>
        <w:t xml:space="preserve"> As concerns the </w:t>
      </w:r>
      <w:r w:rsidRPr="008F5EE7">
        <w:rPr>
          <w:rFonts w:ascii="TimesNewRomanPSMT" w:hAnsi="TimesNewRomanPSMT"/>
          <w:lang w:eastAsia="en-GB"/>
        </w:rPr>
        <w:t xml:space="preserve">health-care system in </w:t>
      </w:r>
      <w:r w:rsidRPr="00704AE3">
        <w:rPr>
          <w:rFonts w:ascii="TimesNewRomanPSMT" w:hAnsi="TimesNewRomanPSMT"/>
          <w:lang w:val="en-US" w:eastAsia="en-GB"/>
        </w:rPr>
        <w:t xml:space="preserve">the </w:t>
      </w:r>
      <w:r w:rsidRPr="008F5EE7">
        <w:rPr>
          <w:rFonts w:ascii="TimesNewRomanPSMT" w:hAnsi="TimesNewRomanPSMT"/>
          <w:lang w:eastAsia="en-GB"/>
        </w:rPr>
        <w:t xml:space="preserve">Gaza </w:t>
      </w:r>
      <w:r w:rsidRPr="00704AE3">
        <w:rPr>
          <w:rFonts w:ascii="TimesNewRomanPSMT" w:hAnsi="TimesNewRomanPSMT"/>
          <w:lang w:val="en-US" w:eastAsia="en-GB"/>
        </w:rPr>
        <w:t>Str</w:t>
      </w:r>
      <w:r>
        <w:rPr>
          <w:rFonts w:ascii="TimesNewRomanPSMT" w:hAnsi="TimesNewRomanPSMT"/>
          <w:lang w:val="en-US" w:eastAsia="en-GB"/>
        </w:rPr>
        <w:t xml:space="preserve">ip, </w:t>
      </w:r>
      <w:r w:rsidRPr="008F5EE7">
        <w:rPr>
          <w:rFonts w:ascii="TimesNewRomanPSMT" w:hAnsi="TimesNewRomanPSMT"/>
          <w:lang w:eastAsia="en-GB"/>
        </w:rPr>
        <w:t>serious shortages of health-care professionals, inadequate treatment equipment and low supplies of drugs and medicines</w:t>
      </w:r>
      <w:r>
        <w:rPr>
          <w:rFonts w:ascii="TimesNewRomanPSMT" w:hAnsi="TimesNewRomanPSMT"/>
          <w:lang w:eastAsia="en-GB"/>
        </w:rPr>
        <w:t xml:space="preserve"> have been reported.</w:t>
      </w:r>
      <w:r w:rsidRPr="00AB6514">
        <w:rPr>
          <w:rStyle w:val="FootnoteReference"/>
        </w:rPr>
        <w:footnoteReference w:id="43"/>
      </w:r>
      <w:r w:rsidRPr="008F5EE7">
        <w:rPr>
          <w:rFonts w:ascii="TimesNewRomanPSMT" w:hAnsi="TimesNewRomanPSMT"/>
          <w:lang w:eastAsia="en-GB"/>
        </w:rPr>
        <w:t xml:space="preserve"> </w:t>
      </w:r>
      <w:r w:rsidRPr="00303322">
        <w:rPr>
          <w:rFonts w:ascii="TimesNewRomanPSMT" w:hAnsi="TimesNewRomanPSMT"/>
          <w:lang w:val="en-US" w:eastAsia="en-GB"/>
        </w:rPr>
        <w:t>The Committee considers that</w:t>
      </w:r>
      <w:r>
        <w:rPr>
          <w:rFonts w:ascii="TimesNewRomanPSMT" w:hAnsi="TimesNewRomanPSMT"/>
          <w:lang w:val="en-US" w:eastAsia="en-GB"/>
        </w:rPr>
        <w:t>,</w:t>
      </w:r>
      <w:r w:rsidRPr="00303322">
        <w:rPr>
          <w:rFonts w:ascii="TimesNewRomanPSMT" w:hAnsi="TimesNewRomanPSMT"/>
          <w:lang w:val="en-US" w:eastAsia="en-GB"/>
        </w:rPr>
        <w:t xml:space="preserve"> taking</w:t>
      </w:r>
      <w:r>
        <w:rPr>
          <w:rFonts w:ascii="TimesNewRomanPSMT" w:hAnsi="TimesNewRomanPSMT"/>
          <w:lang w:val="en-US" w:eastAsia="en-GB"/>
        </w:rPr>
        <w:t xml:space="preserve"> into account</w:t>
      </w:r>
      <w:r w:rsidRPr="00303322">
        <w:rPr>
          <w:rFonts w:ascii="TimesNewRomanPSMT" w:hAnsi="TimesNewRomanPSMT"/>
          <w:lang w:val="en-US" w:eastAsia="en-GB"/>
        </w:rPr>
        <w:t xml:space="preserve"> </w:t>
      </w:r>
      <w:r w:rsidRPr="00303322">
        <w:rPr>
          <w:rFonts w:ascii="TimesNewRomanPSMT" w:hAnsi="TimesNewRomanPSMT"/>
          <w:lang w:val="en-US" w:eastAsia="en-GB"/>
        </w:rPr>
        <w:lastRenderedPageBreak/>
        <w:t xml:space="preserve">the </w:t>
      </w:r>
      <w:r w:rsidRPr="00303322">
        <w:t xml:space="preserve">particularly vulnerable situation of the alleged victims, including their need </w:t>
      </w:r>
      <w:r>
        <w:t>for</w:t>
      </w:r>
      <w:r w:rsidRPr="00303322">
        <w:t xml:space="preserve"> access </w:t>
      </w:r>
      <w:r>
        <w:t>to</w:t>
      </w:r>
      <w:r w:rsidRPr="00303322">
        <w:t xml:space="preserve"> adequate health care, the situation in the Gaza Strip can be considered to be a situation of risk </w:t>
      </w:r>
      <w:r>
        <w:t>that engages the State party</w:t>
      </w:r>
      <w:r w:rsidR="004C4CBD">
        <w:t>’</w:t>
      </w:r>
      <w:r>
        <w:t>s obligations</w:t>
      </w:r>
      <w:r w:rsidRPr="00303322">
        <w:t xml:space="preserve"> under article </w:t>
      </w:r>
      <w:r>
        <w:t xml:space="preserve">11 </w:t>
      </w:r>
      <w:r w:rsidRPr="00303322">
        <w:t>of the Convention.</w:t>
      </w:r>
      <w:r>
        <w:t xml:space="preserve"> </w:t>
      </w:r>
    </w:p>
    <w:p w14:paraId="745F4CBD" w14:textId="5CAB8D75" w:rsidR="00F37149" w:rsidRDefault="00F37149" w:rsidP="00F37149">
      <w:pPr>
        <w:pStyle w:val="SingleTxtG"/>
      </w:pPr>
      <w:r>
        <w:t>8.8</w:t>
      </w:r>
      <w:r>
        <w:tab/>
        <w:t>The Committee notes the State party</w:t>
      </w:r>
      <w:r w:rsidR="004C4CBD">
        <w:t>’</w:t>
      </w:r>
      <w:r>
        <w:t>s argument that, owing to its lack of effective control over the Gaza Strip, its capacity to reach the Gaza Strip and investigate the claims raised in the communications is severely limited. The Committee</w:t>
      </w:r>
      <w:r w:rsidRPr="00947940">
        <w:t xml:space="preserve"> </w:t>
      </w:r>
      <w:r>
        <w:t>notes that treaty bodies, in their concluding observations, have recognized that</w:t>
      </w:r>
      <w:r w:rsidRPr="00947940">
        <w:t xml:space="preserve"> the</w:t>
      </w:r>
      <w:r>
        <w:t>se</w:t>
      </w:r>
      <w:r w:rsidRPr="00947940">
        <w:t xml:space="preserve"> challenges limit the State party</w:t>
      </w:r>
      <w:r w:rsidR="004C4CBD">
        <w:t>’</w:t>
      </w:r>
      <w:r w:rsidRPr="00947940">
        <w:t xml:space="preserve">s effective control </w:t>
      </w:r>
      <w:r>
        <w:t xml:space="preserve">of its jurisdiction </w:t>
      </w:r>
      <w:r w:rsidRPr="00947940">
        <w:t>over its own territory and its capacit</w:t>
      </w:r>
      <w:r>
        <w:t>y</w:t>
      </w:r>
      <w:r w:rsidRPr="00947940">
        <w:t xml:space="preserve"> to effectively prevent and combat </w:t>
      </w:r>
      <w:r>
        <w:t xml:space="preserve">human rights violations, but have reminded the State party that the conventions in question are </w:t>
      </w:r>
      <w:r w:rsidRPr="00947940">
        <w:t xml:space="preserve">applicable in </w:t>
      </w:r>
      <w:r>
        <w:t>its</w:t>
      </w:r>
      <w:r w:rsidRPr="00947940">
        <w:rPr>
          <w:color w:val="000000"/>
        </w:rPr>
        <w:t xml:space="preserve"> </w:t>
      </w:r>
      <w:r w:rsidRPr="00947940">
        <w:t xml:space="preserve">entire territory and that the State party </w:t>
      </w:r>
      <w:r>
        <w:t>should therefore</w:t>
      </w:r>
      <w:r w:rsidRPr="00947940">
        <w:t xml:space="preserve"> take all possible measures to implement </w:t>
      </w:r>
      <w:r>
        <w:t>the them</w:t>
      </w:r>
      <w:r w:rsidRPr="00947940">
        <w:t xml:space="preserve"> in all parts of </w:t>
      </w:r>
      <w:r>
        <w:t>the</w:t>
      </w:r>
      <w:r w:rsidRPr="00947940">
        <w:t xml:space="preserve"> </w:t>
      </w:r>
      <w:r w:rsidRPr="00530684">
        <w:t>territory.</w:t>
      </w:r>
      <w:r w:rsidRPr="00AB6514">
        <w:rPr>
          <w:rStyle w:val="FootnoteReference"/>
        </w:rPr>
        <w:footnoteReference w:id="44"/>
      </w:r>
      <w:r w:rsidRPr="00530684">
        <w:t xml:space="preserve"> As noted above (see para. 8.4), the Committee therefore observes </w:t>
      </w:r>
      <w:r w:rsidRPr="00530684">
        <w:rPr>
          <w:lang w:bidi="hi-IN"/>
        </w:rPr>
        <w:t>that even in the absence of effective control over parts of its territory,</w:t>
      </w:r>
      <w:r w:rsidRPr="00530684">
        <w:rPr>
          <w:rFonts w:eastAsia="Times New Roman"/>
          <w:lang w:eastAsia="en-US" w:bidi="hi-IN"/>
        </w:rPr>
        <w:t xml:space="preserve"> </w:t>
      </w:r>
      <w:r w:rsidRPr="00530684">
        <w:rPr>
          <w:lang w:bidi="hi-IN"/>
        </w:rPr>
        <w:t xml:space="preserve">and while acknowledging the constraints </w:t>
      </w:r>
      <w:r>
        <w:rPr>
          <w:lang w:bidi="hi-IN"/>
        </w:rPr>
        <w:t xml:space="preserve">that it </w:t>
      </w:r>
      <w:r w:rsidRPr="00530684">
        <w:rPr>
          <w:lang w:bidi="hi-IN"/>
        </w:rPr>
        <w:t>face</w:t>
      </w:r>
      <w:r>
        <w:rPr>
          <w:lang w:bidi="hi-IN"/>
        </w:rPr>
        <w:t>s,</w:t>
      </w:r>
      <w:r w:rsidRPr="00530684">
        <w:rPr>
          <w:lang w:bidi="hi-IN"/>
        </w:rPr>
        <w:t xml:space="preserve"> the State party still has a positive obligation to take all the diplomatic, economic, judicial or other measures that are within its power and are in accordance with international law to secure for the persons in </w:t>
      </w:r>
      <w:r>
        <w:rPr>
          <w:lang w:bidi="hi-IN"/>
        </w:rPr>
        <w:t>those parts of its</w:t>
      </w:r>
      <w:r w:rsidRPr="00530684">
        <w:rPr>
          <w:lang w:bidi="hi-IN"/>
        </w:rPr>
        <w:t xml:space="preserve"> territory the rights guaranteed by the Convention.</w:t>
      </w:r>
      <w:r w:rsidRPr="00AB6514">
        <w:rPr>
          <w:rStyle w:val="FootnoteReference"/>
        </w:rPr>
        <w:footnoteReference w:id="45"/>
      </w:r>
      <w:r>
        <w:rPr>
          <w:lang w:bidi="hi-IN"/>
        </w:rPr>
        <w:t xml:space="preserve"> </w:t>
      </w:r>
      <w:r>
        <w:t>The Committee notes that, in the present cases, the State party has not provided any specific information on any such significant measure that it has taken, apart from the President</w:t>
      </w:r>
      <w:r w:rsidR="004C4CBD">
        <w:t>’</w:t>
      </w:r>
      <w:r>
        <w:t xml:space="preserve">s visit to Mr. </w:t>
      </w:r>
      <w:proofErr w:type="spellStart"/>
      <w:r>
        <w:t>Mangisto</w:t>
      </w:r>
      <w:r w:rsidR="004C4CBD">
        <w:t>’</w:t>
      </w:r>
      <w:r>
        <w:t>s</w:t>
      </w:r>
      <w:proofErr w:type="spellEnd"/>
      <w:r>
        <w:t xml:space="preserve"> family and the State party</w:t>
      </w:r>
      <w:r w:rsidR="004C4CBD">
        <w:t>’</w:t>
      </w:r>
      <w:r>
        <w:t xml:space="preserve">s contact </w:t>
      </w:r>
      <w:r w:rsidRPr="00084E8E">
        <w:t>with ICRC</w:t>
      </w:r>
      <w:r>
        <w:t xml:space="preserve">, </w:t>
      </w:r>
      <w:r w:rsidRPr="00FE1B3A">
        <w:t xml:space="preserve">to </w:t>
      </w:r>
      <w:r>
        <w:t xml:space="preserve">discharge its positive obligation and to </w:t>
      </w:r>
      <w:r w:rsidRPr="00FE1B3A">
        <w:t xml:space="preserve">ensure respect for the </w:t>
      </w:r>
      <w:r>
        <w:t>alleged victims</w:t>
      </w:r>
      <w:r w:rsidR="004C4CBD">
        <w:t>’</w:t>
      </w:r>
      <w:r w:rsidRPr="00FE1B3A">
        <w:t xml:space="preserve"> rights</w:t>
      </w:r>
      <w:r>
        <w:t xml:space="preserve"> under the Convention</w:t>
      </w:r>
      <w:r w:rsidRPr="00FE1B3A">
        <w:t>,</w:t>
      </w:r>
      <w:r>
        <w:t xml:space="preserve"> particularly their rights to life, to liberty and security of person, to f</w:t>
      </w:r>
      <w:r w:rsidRPr="004F7DC5">
        <w:t xml:space="preserve">reedom </w:t>
      </w:r>
      <w:r>
        <w:t>from</w:t>
      </w:r>
      <w:r w:rsidRPr="004F7DC5">
        <w:t xml:space="preserve"> torture or cruel, inhuman or degrading treatment or punishment</w:t>
      </w:r>
      <w:r>
        <w:t xml:space="preserve"> and </w:t>
      </w:r>
      <w:r w:rsidRPr="004F7DC5">
        <w:t>to the enjoyment of the highest attainable standard of health</w:t>
      </w:r>
      <w:r>
        <w:t xml:space="preserve">. In particular, the Committee observes that the State party has provided no information on any measures taken to the following ends: to attempt to enquire into the fate and whereabouts of the alleged victims or the conditions of their detention, including by attempting to engage the </w:t>
      </w:r>
      <w:r w:rsidRPr="005A7028">
        <w:t>de facto</w:t>
      </w:r>
      <w:r>
        <w:t xml:space="preserve"> authorities in the Gaza Strip to address the alleged victims</w:t>
      </w:r>
      <w:r w:rsidR="004C4CBD">
        <w:t>’</w:t>
      </w:r>
      <w:r>
        <w:t xml:space="preserve"> situation; to facilitate and secure their release and safe return to their families; </w:t>
      </w:r>
      <w:r w:rsidRPr="00947940">
        <w:rPr>
          <w:bCs/>
        </w:rPr>
        <w:t>to guarantee their placement under the protection of the law</w:t>
      </w:r>
      <w:r>
        <w:rPr>
          <w:bCs/>
        </w:rPr>
        <w:t>;</w:t>
      </w:r>
      <w:r w:rsidRPr="00947940">
        <w:rPr>
          <w:bCs/>
        </w:rPr>
        <w:t xml:space="preserve"> to ensure that they have access to </w:t>
      </w:r>
      <w:r>
        <w:rPr>
          <w:bCs/>
        </w:rPr>
        <w:t>adequate</w:t>
      </w:r>
      <w:r w:rsidRPr="00947940">
        <w:rPr>
          <w:bCs/>
        </w:rPr>
        <w:t xml:space="preserve"> </w:t>
      </w:r>
      <w:r>
        <w:rPr>
          <w:bCs/>
        </w:rPr>
        <w:t xml:space="preserve">health </w:t>
      </w:r>
      <w:r w:rsidRPr="00947940">
        <w:rPr>
          <w:bCs/>
        </w:rPr>
        <w:t>care, taking into account their psychosocial disabilities</w:t>
      </w:r>
      <w:r>
        <w:rPr>
          <w:bCs/>
        </w:rPr>
        <w:t xml:space="preserve"> and particularly vulnerable situation; and to </w:t>
      </w:r>
      <w:r w:rsidRPr="00947940">
        <w:rPr>
          <w:bCs/>
        </w:rPr>
        <w:t>enable the</w:t>
      </w:r>
      <w:r>
        <w:rPr>
          <w:bCs/>
        </w:rPr>
        <w:t>m</w:t>
      </w:r>
      <w:r w:rsidRPr="00947940">
        <w:rPr>
          <w:bCs/>
        </w:rPr>
        <w:t xml:space="preserve"> to be in contact with their families and representatives</w:t>
      </w:r>
      <w:r>
        <w:rPr>
          <w:bCs/>
        </w:rPr>
        <w:t>, especially taking into account that the alleged disappearance of the alleged victims dates back to 2014 and 2015 and that the alleged victims</w:t>
      </w:r>
      <w:r w:rsidR="004C4CBD">
        <w:rPr>
          <w:bCs/>
        </w:rPr>
        <w:t>’</w:t>
      </w:r>
      <w:r>
        <w:rPr>
          <w:bCs/>
        </w:rPr>
        <w:t xml:space="preserve"> families have been provided with no information as to their fate and whereabouts or current health condition</w:t>
      </w:r>
      <w:r>
        <w:t xml:space="preserve">. The Committee concludes that the failure by the State party to take any such measures to investigate, verify or enquire into the fate and whereabouts of the alleged victims – including with regard </w:t>
      </w:r>
      <w:r w:rsidR="00345FF9">
        <w:t xml:space="preserve">to </w:t>
      </w:r>
      <w:r>
        <w:t>the alleged risk to their lives, the alleged ill-treatment that they have endured, their alleged deprivation of liberty and their alleged lack of access to health care – amount to a violation of the alleged victims</w:t>
      </w:r>
      <w:r w:rsidR="004C4CBD">
        <w:t>’</w:t>
      </w:r>
      <w:r w:rsidR="00F175B8">
        <w:t xml:space="preserve"> </w:t>
      </w:r>
      <w:r>
        <w:t>rights under articles 10, 14, 15 and 25, read alone and in conjunction with article 11, of the Convention.</w:t>
      </w:r>
    </w:p>
    <w:p w14:paraId="070FF5FC" w14:textId="280CEBFF" w:rsidR="00F37149" w:rsidRPr="00C06F9A" w:rsidRDefault="00F37149" w:rsidP="00F37149">
      <w:pPr>
        <w:pStyle w:val="SingleTxtG"/>
      </w:pPr>
      <w:r>
        <w:rPr>
          <w:bCs/>
        </w:rPr>
        <w:t>8.9</w:t>
      </w:r>
      <w:r w:rsidRPr="00C06F9A">
        <w:rPr>
          <w:bCs/>
        </w:rPr>
        <w:tab/>
        <w:t xml:space="preserve">The Committee </w:t>
      </w:r>
      <w:r>
        <w:rPr>
          <w:bCs/>
        </w:rPr>
        <w:t>recalls</w:t>
      </w:r>
      <w:r w:rsidRPr="00C06F9A">
        <w:rPr>
          <w:bCs/>
        </w:rPr>
        <w:t xml:space="preserve"> that on 20 September 2019</w:t>
      </w:r>
      <w:r>
        <w:rPr>
          <w:bCs/>
        </w:rPr>
        <w:t>,</w:t>
      </w:r>
      <w:r w:rsidRPr="00C06F9A">
        <w:rPr>
          <w:bCs/>
        </w:rPr>
        <w:t xml:space="preserve"> it issued requests for interim measures under article 4 of the Optional Protocol </w:t>
      </w:r>
      <w:r>
        <w:rPr>
          <w:bCs/>
        </w:rPr>
        <w:t>with respect to</w:t>
      </w:r>
      <w:r w:rsidRPr="00C06F9A">
        <w:rPr>
          <w:bCs/>
        </w:rPr>
        <w:t xml:space="preserve"> the present communications</w:t>
      </w:r>
      <w:r>
        <w:rPr>
          <w:bCs/>
        </w:rPr>
        <w:t>,</w:t>
      </w:r>
      <w:r w:rsidRPr="00C06F9A">
        <w:rPr>
          <w:bCs/>
        </w:rPr>
        <w:t xml:space="preserve"> which </w:t>
      </w:r>
      <w:r>
        <w:rPr>
          <w:bCs/>
        </w:rPr>
        <w:t>it</w:t>
      </w:r>
      <w:r w:rsidRPr="00C06F9A">
        <w:rPr>
          <w:bCs/>
        </w:rPr>
        <w:t xml:space="preserve"> reiterated on 6 July 2022 (see para. 1.2). </w:t>
      </w:r>
      <w:r>
        <w:rPr>
          <w:bCs/>
        </w:rPr>
        <w:t>However, t</w:t>
      </w:r>
      <w:r w:rsidRPr="00C06F9A">
        <w:rPr>
          <w:bCs/>
        </w:rPr>
        <w:t xml:space="preserve">he State party has not provided any information on any measure </w:t>
      </w:r>
      <w:r>
        <w:rPr>
          <w:bCs/>
        </w:rPr>
        <w:t xml:space="preserve">that </w:t>
      </w:r>
      <w:r w:rsidRPr="00C06F9A">
        <w:rPr>
          <w:bCs/>
        </w:rPr>
        <w:t>it has taken, or attempted to take, to comply with the Committee</w:t>
      </w:r>
      <w:r w:rsidR="004C4CBD">
        <w:rPr>
          <w:bCs/>
        </w:rPr>
        <w:t>’</w:t>
      </w:r>
      <w:r w:rsidRPr="00C06F9A">
        <w:rPr>
          <w:bCs/>
        </w:rPr>
        <w:t xml:space="preserve">s requests. The Committee recalls that </w:t>
      </w:r>
      <w:r>
        <w:rPr>
          <w:bCs/>
        </w:rPr>
        <w:t xml:space="preserve">requests for </w:t>
      </w:r>
      <w:r w:rsidRPr="00C06F9A">
        <w:rPr>
          <w:bCs/>
        </w:rPr>
        <w:t>interim measures</w:t>
      </w:r>
      <w:r>
        <w:rPr>
          <w:bCs/>
        </w:rPr>
        <w:t>,</w:t>
      </w:r>
      <w:r w:rsidRPr="00C06F9A">
        <w:rPr>
          <w:bCs/>
        </w:rPr>
        <w:t xml:space="preserve"> under article 4 of the Optional Protocol and rule 64 of its rules of procedure, are essential to the Committee</w:t>
      </w:r>
      <w:r w:rsidR="004C4CBD">
        <w:rPr>
          <w:bCs/>
        </w:rPr>
        <w:t>’</w:t>
      </w:r>
      <w:r w:rsidRPr="00C06F9A">
        <w:rPr>
          <w:bCs/>
        </w:rPr>
        <w:t xml:space="preserve">s role under the </w:t>
      </w:r>
      <w:r>
        <w:rPr>
          <w:bCs/>
        </w:rPr>
        <w:t xml:space="preserve">Optional </w:t>
      </w:r>
      <w:r w:rsidRPr="00C06F9A">
        <w:rPr>
          <w:bCs/>
        </w:rPr>
        <w:t xml:space="preserve">Protocol. Non-compliance with </w:t>
      </w:r>
      <w:r>
        <w:rPr>
          <w:bCs/>
        </w:rPr>
        <w:t>such requests</w:t>
      </w:r>
      <w:r w:rsidRPr="00C06F9A">
        <w:rPr>
          <w:bCs/>
        </w:rPr>
        <w:t xml:space="preserve"> undermines the protection of Convention rights through the Optional Protocol</w:t>
      </w:r>
      <w:r>
        <w:rPr>
          <w:bCs/>
        </w:rPr>
        <w:t>. The Committee therefore finds that the State party</w:t>
      </w:r>
      <w:r w:rsidR="004C4CBD">
        <w:rPr>
          <w:bCs/>
        </w:rPr>
        <w:t>’</w:t>
      </w:r>
      <w:r>
        <w:rPr>
          <w:bCs/>
        </w:rPr>
        <w:t>s failure to comply with its request for interim measures violates article 4 of the Optional Protocol.</w:t>
      </w:r>
    </w:p>
    <w:p w14:paraId="0A5C79D3" w14:textId="77777777" w:rsidR="00F37149" w:rsidRPr="002062CA" w:rsidRDefault="00F37149" w:rsidP="00F37149">
      <w:pPr>
        <w:pStyle w:val="H1G"/>
        <w:rPr>
          <w:lang w:val="en-US"/>
        </w:rPr>
      </w:pPr>
      <w:r>
        <w:lastRenderedPageBreak/>
        <w:tab/>
      </w:r>
      <w:r w:rsidRPr="002062CA">
        <w:t>C.</w:t>
      </w:r>
      <w:r w:rsidRPr="002062CA">
        <w:tab/>
        <w:t>Conclusion</w:t>
      </w:r>
      <w:r>
        <w:t xml:space="preserve"> and recommendations</w:t>
      </w:r>
    </w:p>
    <w:p w14:paraId="18BA4CC0" w14:textId="77777777" w:rsidR="00F37149" w:rsidRPr="00603007" w:rsidRDefault="00F37149" w:rsidP="00F37149">
      <w:pPr>
        <w:pStyle w:val="SingleTxtG"/>
      </w:pPr>
      <w:r>
        <w:t>9</w:t>
      </w:r>
      <w:r w:rsidRPr="002E60BB">
        <w:t>.</w:t>
      </w:r>
      <w:r w:rsidRPr="002E60BB">
        <w:tab/>
      </w:r>
      <w:r w:rsidRPr="00603007">
        <w:t xml:space="preserve">The Committee, acting under article 5 of the Optional Protocol, is of the view that the State party has failed to fulfil its obligations under articles 10, 14, 15 and 25, read alone and in conjunction with article 11, of the Convention and under article 4 of the Optional Protocol. </w:t>
      </w:r>
      <w:r w:rsidRPr="00603007">
        <w:rPr>
          <w:bCs/>
        </w:rPr>
        <w:t>The Committee therefore makes the following recommendations to the State party:</w:t>
      </w:r>
    </w:p>
    <w:p w14:paraId="3E1F24F6" w14:textId="5DB7D9E9" w:rsidR="00F37149" w:rsidRPr="00603007" w:rsidRDefault="00F37149" w:rsidP="00F37149">
      <w:pPr>
        <w:pStyle w:val="SingleTxtG"/>
      </w:pPr>
      <w:r w:rsidRPr="00603007">
        <w:tab/>
        <w:t>(a)</w:t>
      </w:r>
      <w:r w:rsidRPr="00603007">
        <w:tab/>
        <w:t>Concerning the authors and the alleged victims, the State party is under an obligation:</w:t>
      </w:r>
    </w:p>
    <w:p w14:paraId="4BD9C895" w14:textId="77777777" w:rsidR="00F37149" w:rsidRPr="002E60BB" w:rsidRDefault="00F37149" w:rsidP="00F37149">
      <w:pPr>
        <w:pStyle w:val="SingleTxtG"/>
        <w:ind w:left="1701"/>
      </w:pPr>
      <w:r w:rsidRPr="00603007">
        <w:t>(</w:t>
      </w:r>
      <w:proofErr w:type="spellStart"/>
      <w:r w:rsidRPr="00603007">
        <w:t>i</w:t>
      </w:r>
      <w:proofErr w:type="spellEnd"/>
      <w:r w:rsidRPr="00603007">
        <w:t>)</w:t>
      </w:r>
      <w:r w:rsidRPr="00603007">
        <w:tab/>
        <w:t>To provide the authors with an effective remedy, including compensation for</w:t>
      </w:r>
      <w:r w:rsidRPr="002E60BB">
        <w:t xml:space="preserve"> any legal costs incurred in filing the present communication</w:t>
      </w:r>
      <w:r>
        <w:t>s;</w:t>
      </w:r>
    </w:p>
    <w:p w14:paraId="7CF0E673" w14:textId="5ED8E620" w:rsidR="00F37149" w:rsidRPr="002A531A" w:rsidRDefault="00F37149" w:rsidP="00F37149">
      <w:pPr>
        <w:pStyle w:val="SingleTxtG"/>
        <w:ind w:left="1701"/>
        <w:rPr>
          <w:bCs/>
          <w:lang w:val="en-AU"/>
        </w:rPr>
      </w:pPr>
      <w:r w:rsidRPr="00916CB5">
        <w:t>(ii)</w:t>
      </w:r>
      <w:r w:rsidRPr="00916CB5">
        <w:tab/>
      </w:r>
      <w:r>
        <w:t>To t</w:t>
      </w:r>
      <w:r w:rsidRPr="00E56A0A">
        <w:t xml:space="preserve">ake all </w:t>
      </w:r>
      <w:r w:rsidRPr="00E56A0A">
        <w:rPr>
          <w:lang w:bidi="hi-IN"/>
        </w:rPr>
        <w:t>diplomatic, economic, judicial or other measures available</w:t>
      </w:r>
      <w:r>
        <w:rPr>
          <w:lang w:bidi="hi-IN"/>
        </w:rPr>
        <w:t>,</w:t>
      </w:r>
      <w:r w:rsidRPr="00E56A0A">
        <w:rPr>
          <w:lang w:bidi="hi-IN"/>
        </w:rPr>
        <w:t xml:space="preserve"> in accordance with international law</w:t>
      </w:r>
      <w:r>
        <w:rPr>
          <w:lang w:bidi="hi-IN"/>
        </w:rPr>
        <w:t>,</w:t>
      </w:r>
      <w:r w:rsidRPr="00916CB5">
        <w:rPr>
          <w:rFonts w:ascii="TimesNewRomanPSMT" w:hAnsi="TimesNewRomanPSMT"/>
          <w:lang w:eastAsia="en-GB"/>
        </w:rPr>
        <w:t xml:space="preserve"> </w:t>
      </w:r>
      <w:r w:rsidRPr="00E56A0A">
        <w:rPr>
          <w:rFonts w:ascii="TimesNewRomanPSMT" w:hAnsi="TimesNewRomanPSMT"/>
          <w:lang w:val="en-US" w:eastAsia="en-GB"/>
        </w:rPr>
        <w:t>to</w:t>
      </w:r>
      <w:r w:rsidR="00F175B8">
        <w:rPr>
          <w:rFonts w:ascii="TimesNewRomanPSMT" w:hAnsi="TimesNewRomanPSMT"/>
          <w:lang w:val="en-US" w:eastAsia="en-GB"/>
        </w:rPr>
        <w:t xml:space="preserve"> </w:t>
      </w:r>
      <w:r w:rsidRPr="00916CB5">
        <w:rPr>
          <w:rFonts w:ascii="TimesNewRomanPSMT" w:hAnsi="TimesNewRomanPSMT"/>
          <w:lang w:eastAsia="en-GB"/>
        </w:rPr>
        <w:t>conduct a prompt</w:t>
      </w:r>
      <w:r>
        <w:rPr>
          <w:rFonts w:ascii="TimesNewRomanPSMT" w:hAnsi="TimesNewRomanPSMT"/>
          <w:lang w:eastAsia="en-GB"/>
        </w:rPr>
        <w:t>,</w:t>
      </w:r>
      <w:r w:rsidRPr="00916CB5">
        <w:rPr>
          <w:rFonts w:ascii="TimesNewRomanPSMT" w:hAnsi="TimesNewRomanPSMT"/>
          <w:lang w:eastAsia="en-GB"/>
        </w:rPr>
        <w:t xml:space="preserve"> effective</w:t>
      </w:r>
      <w:r>
        <w:rPr>
          <w:rFonts w:ascii="TimesNewRomanPSMT" w:hAnsi="TimesNewRomanPSMT"/>
          <w:lang w:eastAsia="en-GB"/>
        </w:rPr>
        <w:t>,</w:t>
      </w:r>
      <w:r w:rsidRPr="00916CB5">
        <w:rPr>
          <w:rFonts w:ascii="TimesNewRomanPSMT" w:hAnsi="TimesNewRomanPSMT"/>
          <w:lang w:eastAsia="en-GB"/>
        </w:rPr>
        <w:t xml:space="preserve"> thorough, impartial</w:t>
      </w:r>
      <w:r>
        <w:rPr>
          <w:rFonts w:ascii="TimesNewRomanPSMT" w:hAnsi="TimesNewRomanPSMT"/>
          <w:lang w:eastAsia="en-GB"/>
        </w:rPr>
        <w:t>,</w:t>
      </w:r>
      <w:r w:rsidRPr="00916CB5">
        <w:rPr>
          <w:rFonts w:ascii="TimesNewRomanPSMT" w:hAnsi="TimesNewRomanPSMT"/>
          <w:lang w:eastAsia="en-GB"/>
        </w:rPr>
        <w:t xml:space="preserve"> independent and transparent</w:t>
      </w:r>
      <w:r w:rsidRPr="002A531A">
        <w:rPr>
          <w:rFonts w:ascii="TimesNewRomanPSMT" w:hAnsi="TimesNewRomanPSMT"/>
          <w:lang w:eastAsia="en-GB"/>
        </w:rPr>
        <w:t xml:space="preserve"> </w:t>
      </w:r>
      <w:r w:rsidRPr="00916CB5">
        <w:rPr>
          <w:rFonts w:ascii="TimesNewRomanPSMT" w:hAnsi="TimesNewRomanPSMT"/>
          <w:lang w:eastAsia="en-GB"/>
        </w:rPr>
        <w:t>investigation into the circumstances of the</w:t>
      </w:r>
      <w:r>
        <w:rPr>
          <w:rFonts w:ascii="TimesNewRomanPSMT" w:hAnsi="TimesNewRomanPSMT"/>
          <w:lang w:eastAsia="en-GB"/>
        </w:rPr>
        <w:t xml:space="preserve"> alleged</w:t>
      </w:r>
      <w:r w:rsidRPr="00916CB5">
        <w:rPr>
          <w:rFonts w:ascii="TimesNewRomanPSMT" w:hAnsi="TimesNewRomanPSMT"/>
          <w:lang w:eastAsia="en-GB"/>
        </w:rPr>
        <w:t xml:space="preserve"> disappearance</w:t>
      </w:r>
      <w:r>
        <w:rPr>
          <w:rFonts w:ascii="TimesNewRomanPSMT" w:hAnsi="TimesNewRomanPSMT"/>
          <w:lang w:val="en-US" w:eastAsia="en-GB"/>
        </w:rPr>
        <w:t xml:space="preserve"> and </w:t>
      </w:r>
      <w:r>
        <w:rPr>
          <w:rFonts w:ascii="TimesNewRomanPSMT" w:hAnsi="TimesNewRomanPSMT"/>
          <w:lang w:eastAsia="en-GB"/>
        </w:rPr>
        <w:t>arbitrary detention</w:t>
      </w:r>
      <w:r w:rsidRPr="00916CB5">
        <w:rPr>
          <w:rFonts w:ascii="TimesNewRomanPSMT" w:hAnsi="TimesNewRomanPSMT"/>
          <w:lang w:eastAsia="en-GB"/>
        </w:rPr>
        <w:t xml:space="preserve"> of </w:t>
      </w:r>
      <w:r>
        <w:rPr>
          <w:rFonts w:ascii="TimesNewRomanPSMT" w:hAnsi="TimesNewRomanPSMT"/>
          <w:lang w:val="en-US" w:eastAsia="en-GB"/>
        </w:rPr>
        <w:t xml:space="preserve">Mr. </w:t>
      </w:r>
      <w:proofErr w:type="spellStart"/>
      <w:r>
        <w:rPr>
          <w:rFonts w:ascii="TimesNewRomanPSMT" w:hAnsi="TimesNewRomanPSMT"/>
          <w:lang w:val="en-US" w:eastAsia="en-GB"/>
        </w:rPr>
        <w:t>Mangisto</w:t>
      </w:r>
      <w:proofErr w:type="spellEnd"/>
      <w:r>
        <w:rPr>
          <w:rFonts w:ascii="TimesNewRomanPSMT" w:hAnsi="TimesNewRomanPSMT"/>
          <w:lang w:val="en-US" w:eastAsia="en-GB"/>
        </w:rPr>
        <w:t xml:space="preserve"> and Mr. Al-Sayed</w:t>
      </w:r>
      <w:r w:rsidRPr="00916CB5">
        <w:rPr>
          <w:rFonts w:ascii="TimesNewRomanPSMT" w:hAnsi="TimesNewRomanPSMT"/>
          <w:lang w:eastAsia="en-GB"/>
        </w:rPr>
        <w:t>, with a view to establishing the truth</w:t>
      </w:r>
      <w:r w:rsidRPr="00916CB5">
        <w:rPr>
          <w:rFonts w:ascii="TimesNewRomanPSMT" w:hAnsi="TimesNewRomanPSMT"/>
          <w:lang w:val="en-US" w:eastAsia="en-GB"/>
        </w:rPr>
        <w:t xml:space="preserve"> and securing the</w:t>
      </w:r>
      <w:r>
        <w:rPr>
          <w:rFonts w:ascii="TimesNewRomanPSMT" w:hAnsi="TimesNewRomanPSMT"/>
          <w:lang w:val="en-US" w:eastAsia="en-GB"/>
        </w:rPr>
        <w:t>ir safe return to their families</w:t>
      </w:r>
      <w:r w:rsidRPr="00B7797B">
        <w:rPr>
          <w:rFonts w:ascii="TimesNewRomanPSMT" w:hAnsi="TimesNewRomanPSMT"/>
          <w:lang w:eastAsia="en-GB"/>
        </w:rPr>
        <w:t xml:space="preserve">; </w:t>
      </w:r>
      <w:r>
        <w:rPr>
          <w:rFonts w:ascii="TimesNewRomanPSMT" w:hAnsi="TimesNewRomanPSMT"/>
          <w:lang w:eastAsia="en-GB"/>
        </w:rPr>
        <w:t>to</w:t>
      </w:r>
      <w:r w:rsidRPr="00B7797B">
        <w:rPr>
          <w:rFonts w:ascii="TimesNewRomanPSMT" w:hAnsi="TimesNewRomanPSMT"/>
          <w:lang w:eastAsia="en-GB"/>
        </w:rPr>
        <w:t xml:space="preserve"> </w:t>
      </w:r>
      <w:r w:rsidRPr="00B7797B">
        <w:rPr>
          <w:lang w:eastAsia="en-GB"/>
        </w:rPr>
        <w:t xml:space="preserve">provide the authors with detailed information on the outcome of the investigation; </w:t>
      </w:r>
      <w:r>
        <w:rPr>
          <w:lang w:eastAsia="en-GB"/>
        </w:rPr>
        <w:t>and</w:t>
      </w:r>
      <w:r w:rsidRPr="00B7797B">
        <w:rPr>
          <w:lang w:eastAsia="en-GB"/>
        </w:rPr>
        <w:t xml:space="preserve"> </w:t>
      </w:r>
      <w:r w:rsidRPr="00B7797B">
        <w:rPr>
          <w:bCs/>
          <w:lang w:val="en-AU"/>
        </w:rPr>
        <w:t xml:space="preserve">to guarantee Mr. </w:t>
      </w:r>
      <w:proofErr w:type="spellStart"/>
      <w:r w:rsidRPr="00B7797B">
        <w:rPr>
          <w:bCs/>
          <w:lang w:val="en-AU"/>
        </w:rPr>
        <w:t>Mangisto</w:t>
      </w:r>
      <w:r w:rsidR="004C4CBD">
        <w:rPr>
          <w:bCs/>
          <w:lang w:val="en-AU"/>
        </w:rPr>
        <w:t>’</w:t>
      </w:r>
      <w:r w:rsidRPr="00B7797B">
        <w:rPr>
          <w:bCs/>
          <w:lang w:val="en-AU"/>
        </w:rPr>
        <w:t>s</w:t>
      </w:r>
      <w:proofErr w:type="spellEnd"/>
      <w:r w:rsidRPr="00B7797B">
        <w:rPr>
          <w:bCs/>
          <w:lang w:val="en-AU"/>
        </w:rPr>
        <w:t xml:space="preserve"> and Mr. </w:t>
      </w:r>
      <w:r>
        <w:rPr>
          <w:bCs/>
          <w:lang w:val="en-AU"/>
        </w:rPr>
        <w:t>A</w:t>
      </w:r>
      <w:r w:rsidRPr="00B7797B">
        <w:rPr>
          <w:bCs/>
          <w:lang w:val="en-AU"/>
        </w:rPr>
        <w:t>l-Sayed</w:t>
      </w:r>
      <w:r w:rsidR="004C4CBD">
        <w:rPr>
          <w:bCs/>
          <w:lang w:val="en-AU"/>
        </w:rPr>
        <w:t>’</w:t>
      </w:r>
      <w:r w:rsidRPr="00B7797B">
        <w:rPr>
          <w:bCs/>
          <w:lang w:val="en-AU"/>
        </w:rPr>
        <w:t xml:space="preserve">s safety and access to medical care, </w:t>
      </w:r>
      <w:r w:rsidRPr="002A531A">
        <w:rPr>
          <w:bCs/>
          <w:lang w:val="en-AU"/>
        </w:rPr>
        <w:t xml:space="preserve">including in relation to their </w:t>
      </w:r>
      <w:r w:rsidRPr="002A531A">
        <w:t>disabilities</w:t>
      </w:r>
      <w:r w:rsidRPr="002A531A">
        <w:rPr>
          <w:bCs/>
          <w:lang w:val="en-AU"/>
        </w:rPr>
        <w:t>, and contact with their families and representatives;</w:t>
      </w:r>
    </w:p>
    <w:p w14:paraId="40C5C050" w14:textId="77777777" w:rsidR="00F37149" w:rsidRPr="002A531A" w:rsidRDefault="00F37149" w:rsidP="00F37149">
      <w:pPr>
        <w:pStyle w:val="SingleTxtG"/>
        <w:ind w:left="1701"/>
      </w:pPr>
      <w:r w:rsidRPr="002A531A">
        <w:t>(iii)</w:t>
      </w:r>
      <w:r w:rsidRPr="002A531A">
        <w:tab/>
        <w:t>To publish the present Views and circulate them widely in accessible formats so that they are available to all sectors of the population;</w:t>
      </w:r>
    </w:p>
    <w:p w14:paraId="7D6FA4AF" w14:textId="712FA28C" w:rsidR="00F37149" w:rsidRPr="002A531A" w:rsidRDefault="00F37149" w:rsidP="00F37149">
      <w:pPr>
        <w:pStyle w:val="SingleTxtG"/>
      </w:pPr>
      <w:r w:rsidRPr="002A531A">
        <w:tab/>
        <w:t>(b)</w:t>
      </w:r>
      <w:r w:rsidRPr="002A531A">
        <w:tab/>
        <w:t xml:space="preserve">In general, the State party is under an obligation to take measures to prevent similar violations in the future. In that regard, the Committee requires the State party to ensure, in particular, that claims of disappearance are promptly investigated in order to establish the fate and whereabouts of the alleged victims and </w:t>
      </w:r>
      <w:r>
        <w:t xml:space="preserve">to </w:t>
      </w:r>
      <w:r w:rsidRPr="002A531A">
        <w:t>ensure their release.</w:t>
      </w:r>
    </w:p>
    <w:p w14:paraId="3F0DD5CB" w14:textId="24AE3571" w:rsidR="00F37149" w:rsidRDefault="00F37149" w:rsidP="00F37149">
      <w:pPr>
        <w:pStyle w:val="SingleTxtG"/>
      </w:pPr>
      <w:r w:rsidRPr="002A531A">
        <w:t>10.</w:t>
      </w:r>
      <w:r w:rsidRPr="002A531A">
        <w:tab/>
        <w:t>In accordance with article 5 of the Optional Protocol and rule 75 of the Committee</w:t>
      </w:r>
      <w:r w:rsidR="004C4CBD">
        <w:t>’</w:t>
      </w:r>
      <w:r w:rsidRPr="002A531A">
        <w:t>s rules of procedure, the State party should submit to the Committee, within six months, a written response, including information on any action taken in the light of the present Views and recommendations of the Committee.</w:t>
      </w:r>
    </w:p>
    <w:p w14:paraId="5DFDDFE2" w14:textId="4D0EE945" w:rsidR="007268F9" w:rsidRPr="00317DC1" w:rsidRDefault="00F37149" w:rsidP="00AE1083">
      <w:pPr>
        <w:pStyle w:val="SingleTxtG"/>
        <w:spacing w:before="240" w:after="0"/>
        <w:jc w:val="center"/>
      </w:pPr>
      <w:r>
        <w:rPr>
          <w:u w:val="single"/>
        </w:rPr>
        <w:tab/>
      </w:r>
      <w:r>
        <w:rPr>
          <w:u w:val="single"/>
        </w:rPr>
        <w:tab/>
      </w:r>
      <w:r>
        <w:rPr>
          <w:u w:val="single"/>
        </w:rPr>
        <w:tab/>
      </w:r>
      <w:r w:rsidR="00AE1083">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BADB3" w14:textId="77777777" w:rsidR="00E66C39" w:rsidRPr="00317DC1" w:rsidRDefault="00E66C39" w:rsidP="00317DC1">
      <w:pPr>
        <w:pStyle w:val="Footer"/>
      </w:pPr>
    </w:p>
    <w:p w14:paraId="67E999ED" w14:textId="77777777" w:rsidR="00B05DFA" w:rsidRDefault="00B05DFA"/>
  </w:endnote>
  <w:endnote w:type="continuationSeparator" w:id="0">
    <w:p w14:paraId="09E1718F" w14:textId="77777777" w:rsidR="00E66C39" w:rsidRPr="00317DC1" w:rsidRDefault="00E66C39" w:rsidP="00317DC1">
      <w:pPr>
        <w:pStyle w:val="Footer"/>
      </w:pPr>
    </w:p>
    <w:p w14:paraId="6A7803BB" w14:textId="77777777" w:rsidR="00B05DFA" w:rsidRDefault="00B05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charset w:val="00"/>
    <w:family w:val="roman"/>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3F0C1" w14:textId="77777777" w:rsidR="001802B4" w:rsidRDefault="001802B4" w:rsidP="001802B4">
    <w:pPr>
      <w:pStyle w:val="Footer"/>
      <w:tabs>
        <w:tab w:val="right" w:pos="9638"/>
      </w:tabs>
    </w:pPr>
    <w:r w:rsidRPr="001802B4">
      <w:rPr>
        <w:b/>
        <w:bCs/>
        <w:sz w:val="18"/>
      </w:rPr>
      <w:fldChar w:fldCharType="begin"/>
    </w:r>
    <w:r w:rsidRPr="001802B4">
      <w:rPr>
        <w:b/>
        <w:bCs/>
        <w:sz w:val="18"/>
      </w:rPr>
      <w:instrText xml:space="preserve"> PAGE  \* MERGEFORMAT </w:instrText>
    </w:r>
    <w:r w:rsidRPr="001802B4">
      <w:rPr>
        <w:b/>
        <w:bCs/>
        <w:sz w:val="18"/>
      </w:rPr>
      <w:fldChar w:fldCharType="separate"/>
    </w:r>
    <w:r w:rsidRPr="001802B4">
      <w:rPr>
        <w:b/>
        <w:bCs/>
        <w:noProof/>
        <w:sz w:val="18"/>
      </w:rPr>
      <w:t>2</w:t>
    </w:r>
    <w:r w:rsidRPr="001802B4">
      <w:rPr>
        <w:b/>
        <w:bCs/>
        <w:sz w:val="18"/>
      </w:rPr>
      <w:fldChar w:fldCharType="end"/>
    </w:r>
    <w:r>
      <w:tab/>
      <w:t>GE.23-06850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C8EE" w14:textId="77777777" w:rsidR="001802B4" w:rsidRDefault="001802B4" w:rsidP="001802B4">
    <w:pPr>
      <w:pStyle w:val="Footer"/>
      <w:tabs>
        <w:tab w:val="right" w:pos="9638"/>
      </w:tabs>
    </w:pPr>
    <w:r>
      <w:t>GE.23-06850</w:t>
    </w:r>
    <w:r>
      <w:tab/>
    </w:r>
    <w:r w:rsidRPr="001802B4">
      <w:rPr>
        <w:b/>
        <w:bCs/>
        <w:sz w:val="18"/>
      </w:rPr>
      <w:fldChar w:fldCharType="begin"/>
    </w:r>
    <w:r w:rsidRPr="001802B4">
      <w:rPr>
        <w:b/>
        <w:bCs/>
        <w:sz w:val="18"/>
      </w:rPr>
      <w:instrText xml:space="preserve"> PAGE  \* MERGEFORMAT </w:instrText>
    </w:r>
    <w:r w:rsidRPr="001802B4">
      <w:rPr>
        <w:b/>
        <w:bCs/>
        <w:sz w:val="18"/>
      </w:rPr>
      <w:fldChar w:fldCharType="separate"/>
    </w:r>
    <w:r w:rsidRPr="001802B4">
      <w:rPr>
        <w:b/>
        <w:bCs/>
        <w:noProof/>
        <w:sz w:val="18"/>
      </w:rPr>
      <w:t>3</w:t>
    </w:r>
    <w:r w:rsidRPr="001802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792BA" w14:textId="77777777" w:rsidR="001802B4" w:rsidRDefault="001802B4">
    <w:pPr>
      <w:pStyle w:val="Footer"/>
      <w:rPr>
        <w:sz w:val="20"/>
      </w:rPr>
    </w:pPr>
    <w:r>
      <w:rPr>
        <w:noProof/>
        <w:lang w:val="en-US"/>
      </w:rPr>
      <w:drawing>
        <wp:anchor distT="0" distB="0" distL="114300" distR="114300" simplePos="0" relativeHeight="251659264" behindDoc="1" locked="1" layoutInCell="1" allowOverlap="1" wp14:anchorId="5BB1DCA0" wp14:editId="5169C1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24E62D" w14:textId="56D1E79C" w:rsidR="001802B4" w:rsidRPr="001802B4" w:rsidRDefault="001802B4" w:rsidP="001802B4">
    <w:pPr>
      <w:pStyle w:val="Footer"/>
      <w:tabs>
        <w:tab w:val="right" w:pos="7370"/>
      </w:tabs>
      <w:rPr>
        <w:sz w:val="20"/>
      </w:rPr>
    </w:pPr>
    <w:r>
      <w:rPr>
        <w:sz w:val="20"/>
      </w:rPr>
      <w:t>GE.23-06850  (E)</w:t>
    </w:r>
    <w:r>
      <w:rPr>
        <w:noProof/>
        <w:sz w:val="20"/>
      </w:rPr>
      <w:drawing>
        <wp:anchor distT="0" distB="0" distL="114300" distR="114300" simplePos="0" relativeHeight="251660288" behindDoc="0" locked="0" layoutInCell="1" allowOverlap="1" wp14:anchorId="613E152B" wp14:editId="25BEF81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2738">
      <w:rPr>
        <w:sz w:val="20"/>
      </w:rPr>
      <w:t xml:space="preserve">    190523    </w:t>
    </w:r>
    <w:r w:rsidR="00AC5D14">
      <w:rPr>
        <w:sz w:val="20"/>
      </w:rPr>
      <w:t>22</w:t>
    </w:r>
    <w:r w:rsidR="00462738">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90E0E" w14:textId="2F92B7D0" w:rsidR="00B05DFA" w:rsidRDefault="00E66C39" w:rsidP="000257F2">
      <w:pPr>
        <w:tabs>
          <w:tab w:val="right" w:pos="2155"/>
        </w:tabs>
        <w:spacing w:after="80" w:line="240" w:lineRule="auto"/>
        <w:ind w:left="680"/>
      </w:pPr>
      <w:r>
        <w:rPr>
          <w:u w:val="single"/>
        </w:rPr>
        <w:tab/>
      </w:r>
    </w:p>
  </w:footnote>
  <w:footnote w:type="continuationSeparator" w:id="0">
    <w:p w14:paraId="3E1E7F36" w14:textId="77777777" w:rsidR="00E66C39" w:rsidRPr="00317DC1" w:rsidRDefault="00E66C39" w:rsidP="00317DC1">
      <w:pPr>
        <w:tabs>
          <w:tab w:val="right" w:pos="2155"/>
        </w:tabs>
        <w:spacing w:after="80" w:line="240" w:lineRule="auto"/>
        <w:ind w:left="680"/>
      </w:pPr>
      <w:r>
        <w:rPr>
          <w:u w:val="single"/>
        </w:rPr>
        <w:tab/>
      </w:r>
    </w:p>
    <w:p w14:paraId="208DEE41" w14:textId="77777777" w:rsidR="00B05DFA" w:rsidRDefault="00B05DFA"/>
  </w:footnote>
  <w:footnote w:id="1">
    <w:p w14:paraId="7640824B" w14:textId="120A60A7" w:rsidR="00595BBE" w:rsidRPr="005338E7" w:rsidRDefault="00595BBE">
      <w:pPr>
        <w:pStyle w:val="FootnoteText"/>
      </w:pPr>
      <w:r w:rsidRPr="00595BBE">
        <w:rPr>
          <w:rStyle w:val="FootnoteReference"/>
          <w:sz w:val="20"/>
          <w:szCs w:val="22"/>
          <w:vertAlign w:val="baseline"/>
        </w:rPr>
        <w:tab/>
        <w:t>*</w:t>
      </w:r>
      <w:r w:rsidRPr="00595BBE">
        <w:rPr>
          <w:sz w:val="20"/>
          <w:szCs w:val="22"/>
        </w:rPr>
        <w:tab/>
      </w:r>
      <w:r w:rsidRPr="005338E7">
        <w:t>Adopted by the Committee at its twenty-eighth session (6–24March 2023).</w:t>
      </w:r>
    </w:p>
    <w:p w14:paraId="332AB305" w14:textId="10EC43D1" w:rsidR="00595BBE" w:rsidRPr="005338E7" w:rsidRDefault="00595BBE">
      <w:pPr>
        <w:pStyle w:val="FootnoteText"/>
        <w:rPr>
          <w:lang w:val="fr-CH"/>
        </w:rPr>
      </w:pPr>
      <w:r>
        <w:rPr>
          <w:sz w:val="20"/>
          <w:szCs w:val="22"/>
        </w:rPr>
        <w:tab/>
        <w:t>**</w:t>
      </w:r>
      <w:r>
        <w:rPr>
          <w:sz w:val="20"/>
          <w:szCs w:val="22"/>
        </w:rPr>
        <w:tab/>
      </w:r>
      <w:r w:rsidRPr="005338E7">
        <w:t xml:space="preserve">The following members of the Committee participated in the consideration of the communication: </w:t>
      </w:r>
      <w:proofErr w:type="spellStart"/>
      <w:r w:rsidRPr="005338E7">
        <w:t>Muhannad</w:t>
      </w:r>
      <w:proofErr w:type="spellEnd"/>
      <w:r w:rsidRPr="005338E7">
        <w:t xml:space="preserve"> Salah Al-</w:t>
      </w:r>
      <w:proofErr w:type="spellStart"/>
      <w:r w:rsidRPr="005338E7">
        <w:t>Azzeh</w:t>
      </w:r>
      <w:proofErr w:type="spellEnd"/>
      <w:r w:rsidRPr="005338E7">
        <w:t xml:space="preserve">, Rosa </w:t>
      </w:r>
      <w:proofErr w:type="spellStart"/>
      <w:r w:rsidRPr="005338E7">
        <w:t>Idalia</w:t>
      </w:r>
      <w:proofErr w:type="spellEnd"/>
      <w:r w:rsidRPr="005338E7">
        <w:t xml:space="preserve"> Aldana Salguero, Rehab Mohammed </w:t>
      </w:r>
      <w:proofErr w:type="spellStart"/>
      <w:r w:rsidRPr="005338E7">
        <w:t>Boresli</w:t>
      </w:r>
      <w:proofErr w:type="spellEnd"/>
      <w:r w:rsidRPr="005338E7">
        <w:t xml:space="preserve">, </w:t>
      </w:r>
      <w:proofErr w:type="spellStart"/>
      <w:r w:rsidRPr="005338E7">
        <w:t>Gerel</w:t>
      </w:r>
      <w:proofErr w:type="spellEnd"/>
      <w:r w:rsidRPr="005338E7">
        <w:t xml:space="preserve"> </w:t>
      </w:r>
      <w:proofErr w:type="spellStart"/>
      <w:r w:rsidRPr="005338E7">
        <w:t>Dondovdorj</w:t>
      </w:r>
      <w:proofErr w:type="spellEnd"/>
      <w:r w:rsidRPr="005338E7">
        <w:t xml:space="preserve">, Gertrude </w:t>
      </w:r>
      <w:proofErr w:type="spellStart"/>
      <w:r w:rsidRPr="005338E7">
        <w:t>Oforiwa</w:t>
      </w:r>
      <w:proofErr w:type="spellEnd"/>
      <w:r w:rsidRPr="005338E7">
        <w:t xml:space="preserve"> </w:t>
      </w:r>
      <w:proofErr w:type="spellStart"/>
      <w:r w:rsidRPr="005338E7">
        <w:t>Fefoame</w:t>
      </w:r>
      <w:proofErr w:type="spellEnd"/>
      <w:r w:rsidRPr="005338E7">
        <w:t xml:space="preserve">, Vivian Fernández de Torrijos, Laverne Jacobs, Samuel Njuguna </w:t>
      </w:r>
      <w:proofErr w:type="spellStart"/>
      <w:r w:rsidRPr="005338E7">
        <w:t>Kabue</w:t>
      </w:r>
      <w:proofErr w:type="spellEnd"/>
      <w:r w:rsidRPr="005338E7">
        <w:t xml:space="preserve">, Rosemary </w:t>
      </w:r>
      <w:proofErr w:type="spellStart"/>
      <w:r w:rsidRPr="005338E7">
        <w:t>Kayess</w:t>
      </w:r>
      <w:proofErr w:type="spellEnd"/>
      <w:r w:rsidRPr="005338E7">
        <w:t xml:space="preserve">, Kim Mi Yeon, Alfred </w:t>
      </w:r>
      <w:proofErr w:type="spellStart"/>
      <w:r w:rsidRPr="005338E7">
        <w:t>Kouadio</w:t>
      </w:r>
      <w:proofErr w:type="spellEnd"/>
      <w:r w:rsidRPr="005338E7">
        <w:t xml:space="preserve"> </w:t>
      </w:r>
      <w:proofErr w:type="spellStart"/>
      <w:r w:rsidRPr="005338E7">
        <w:t>Kuassi</w:t>
      </w:r>
      <w:proofErr w:type="spellEnd"/>
      <w:r w:rsidRPr="005338E7">
        <w:t xml:space="preserve">, </w:t>
      </w:r>
      <w:proofErr w:type="spellStart"/>
      <w:r w:rsidRPr="005338E7">
        <w:t>Abdelmajid</w:t>
      </w:r>
      <w:proofErr w:type="spellEnd"/>
      <w:r w:rsidRPr="005338E7">
        <w:t xml:space="preserve"> </w:t>
      </w:r>
      <w:proofErr w:type="spellStart"/>
      <w:r w:rsidRPr="005338E7">
        <w:t>Makni</w:t>
      </w:r>
      <w:proofErr w:type="spellEnd"/>
      <w:r w:rsidRPr="005338E7">
        <w:t xml:space="preserve">, Sir Robert Martin, Floyd Morris, Markus </w:t>
      </w:r>
      <w:proofErr w:type="spellStart"/>
      <w:r w:rsidRPr="005338E7">
        <w:t>Schefer</w:t>
      </w:r>
      <w:proofErr w:type="spellEnd"/>
      <w:r w:rsidRPr="005338E7">
        <w:t xml:space="preserve"> and </w:t>
      </w:r>
      <w:proofErr w:type="spellStart"/>
      <w:r w:rsidRPr="005338E7">
        <w:t>Saowalak</w:t>
      </w:r>
      <w:proofErr w:type="spellEnd"/>
      <w:r w:rsidRPr="005338E7">
        <w:t xml:space="preserve"> </w:t>
      </w:r>
      <w:proofErr w:type="spellStart"/>
      <w:r w:rsidRPr="005338E7">
        <w:t>Thongkuay</w:t>
      </w:r>
      <w:proofErr w:type="spellEnd"/>
      <w:r w:rsidRPr="005338E7">
        <w:t xml:space="preserve">. Pursuant to rule 60 of the Committee’s rules of procedure, </w:t>
      </w:r>
      <w:proofErr w:type="spellStart"/>
      <w:r w:rsidRPr="005338E7">
        <w:t>Odelia</w:t>
      </w:r>
      <w:proofErr w:type="spellEnd"/>
      <w:r w:rsidRPr="005338E7">
        <w:t xml:space="preserve"> Fitoussi did not participate in the consideration of the communication. </w:t>
      </w:r>
    </w:p>
  </w:footnote>
  <w:footnote w:id="2">
    <w:p w14:paraId="0A840B2A" w14:textId="22D58C06" w:rsidR="00F37149" w:rsidRDefault="00F37149" w:rsidP="009007AD">
      <w:pPr>
        <w:pStyle w:val="FootnoteText"/>
      </w:pPr>
      <w:r>
        <w:tab/>
      </w:r>
      <w:r w:rsidRPr="00AB6514">
        <w:rPr>
          <w:rStyle w:val="FootnoteReference"/>
        </w:rPr>
        <w:footnoteRef/>
      </w:r>
      <w:r>
        <w:t xml:space="preserve"> </w:t>
      </w:r>
      <w:r>
        <w:tab/>
      </w:r>
      <w:r w:rsidRPr="009D1A74">
        <w:t xml:space="preserve">Human Rights Watch, </w:t>
      </w:r>
      <w:r w:rsidR="004C4CBD">
        <w:t>“</w:t>
      </w:r>
      <w:r w:rsidRPr="009D1A74">
        <w:t xml:space="preserve">2 Israelis </w:t>
      </w:r>
      <w:r>
        <w:t>w</w:t>
      </w:r>
      <w:r w:rsidRPr="009D1A74">
        <w:t xml:space="preserve">ho </w:t>
      </w:r>
      <w:r>
        <w:t>e</w:t>
      </w:r>
      <w:r w:rsidRPr="009D1A74">
        <w:t xml:space="preserve">ntered Gaza </w:t>
      </w:r>
      <w:r>
        <w:t>h</w:t>
      </w:r>
      <w:r w:rsidRPr="009D1A74">
        <w:t xml:space="preserve">eld </w:t>
      </w:r>
      <w:r>
        <w:t>i</w:t>
      </w:r>
      <w:r w:rsidRPr="009D1A74">
        <w:t xml:space="preserve">ncommunicado: </w:t>
      </w:r>
      <w:r>
        <w:t>d</w:t>
      </w:r>
      <w:r w:rsidRPr="009D1A74">
        <w:t xml:space="preserve">isappeared </w:t>
      </w:r>
      <w:r>
        <w:t>m</w:t>
      </w:r>
      <w:r w:rsidRPr="009D1A74">
        <w:t xml:space="preserve">en </w:t>
      </w:r>
      <w:r>
        <w:t>h</w:t>
      </w:r>
      <w:r w:rsidRPr="009D1A74">
        <w:t xml:space="preserve">ave </w:t>
      </w:r>
      <w:r>
        <w:t>h</w:t>
      </w:r>
      <w:r w:rsidRPr="009D1A74">
        <w:t xml:space="preserve">istory of </w:t>
      </w:r>
      <w:r>
        <w:t>m</w:t>
      </w:r>
      <w:r w:rsidRPr="009D1A74">
        <w:t xml:space="preserve">ental </w:t>
      </w:r>
      <w:r>
        <w:t>h</w:t>
      </w:r>
      <w:r w:rsidRPr="009D1A74">
        <w:t xml:space="preserve">ealth </w:t>
      </w:r>
      <w:r>
        <w:t>c</w:t>
      </w:r>
      <w:r w:rsidRPr="009D1A74">
        <w:t>onditions</w:t>
      </w:r>
      <w:r w:rsidR="004C4CBD">
        <w:t>”</w:t>
      </w:r>
      <w:r>
        <w:t>, 2</w:t>
      </w:r>
      <w:r w:rsidRPr="009D1A74">
        <w:t xml:space="preserve"> May 2017</w:t>
      </w:r>
      <w:r>
        <w:t>.</w:t>
      </w:r>
    </w:p>
  </w:footnote>
  <w:footnote w:id="3">
    <w:p w14:paraId="06AD11F8" w14:textId="6016CE77" w:rsidR="00F37149" w:rsidRDefault="00F37149" w:rsidP="009007AD">
      <w:pPr>
        <w:pStyle w:val="FootnoteText"/>
      </w:pPr>
      <w:r>
        <w:tab/>
      </w:r>
      <w:r w:rsidRPr="00AB6514">
        <w:rPr>
          <w:rStyle w:val="FootnoteReference"/>
        </w:rPr>
        <w:footnoteRef/>
      </w:r>
      <w:r>
        <w:t xml:space="preserve"> </w:t>
      </w:r>
      <w:r>
        <w:tab/>
        <w:t xml:space="preserve">The authors refer to the following: </w:t>
      </w:r>
      <w:r w:rsidRPr="006C400E">
        <w:t>Israel</w:t>
      </w:r>
      <w:r>
        <w:t>,</w:t>
      </w:r>
      <w:r w:rsidRPr="006C400E">
        <w:t xml:space="preserve"> Ministry of Foreign Affairs, </w:t>
      </w:r>
      <w:r w:rsidR="004C4CBD">
        <w:t>“</w:t>
      </w:r>
      <w:r w:rsidRPr="006C400E">
        <w:t xml:space="preserve">President Rivlin </w:t>
      </w:r>
      <w:r>
        <w:t>and</w:t>
      </w:r>
      <w:r w:rsidRPr="006C400E">
        <w:t xml:space="preserve"> PM Netanyahu on Israeli </w:t>
      </w:r>
      <w:r>
        <w:t>c</w:t>
      </w:r>
      <w:r w:rsidRPr="006C400E">
        <w:t xml:space="preserve">itizens </w:t>
      </w:r>
      <w:r>
        <w:t>b</w:t>
      </w:r>
      <w:r w:rsidRPr="006C400E">
        <w:t xml:space="preserve">eing </w:t>
      </w:r>
      <w:r>
        <w:t>h</w:t>
      </w:r>
      <w:r w:rsidRPr="006C400E">
        <w:t>eld in Gaza</w:t>
      </w:r>
      <w:r w:rsidR="004C4CBD">
        <w:t>”</w:t>
      </w:r>
      <w:r>
        <w:t xml:space="preserve">, 9 </w:t>
      </w:r>
      <w:r w:rsidRPr="006C400E">
        <w:t xml:space="preserve">July 2015; </w:t>
      </w:r>
      <w:r>
        <w:t xml:space="preserve">and Shirly Seidler and others, </w:t>
      </w:r>
      <w:r w:rsidR="004C4CBD">
        <w:t>“</w:t>
      </w:r>
      <w:r w:rsidRPr="006C400E">
        <w:t xml:space="preserve">Two Israelis </w:t>
      </w:r>
      <w:r>
        <w:t>m</w:t>
      </w:r>
      <w:r w:rsidRPr="006C400E">
        <w:t xml:space="preserve">issing </w:t>
      </w:r>
      <w:r>
        <w:t>a</w:t>
      </w:r>
      <w:r w:rsidRPr="006C400E">
        <w:t xml:space="preserve">fter </w:t>
      </w:r>
      <w:r>
        <w:t>d</w:t>
      </w:r>
      <w:r w:rsidRPr="006C400E">
        <w:t xml:space="preserve">isappearing </w:t>
      </w:r>
      <w:r>
        <w:t>i</w:t>
      </w:r>
      <w:r w:rsidRPr="006C400E">
        <w:t xml:space="preserve">nto Gaza, </w:t>
      </w:r>
      <w:r>
        <w:t>o</w:t>
      </w:r>
      <w:r w:rsidRPr="006C400E">
        <w:t xml:space="preserve">ne </w:t>
      </w:r>
      <w:r>
        <w:t>b</w:t>
      </w:r>
      <w:r w:rsidRPr="006C400E">
        <w:t xml:space="preserve">eing </w:t>
      </w:r>
      <w:r>
        <w:t>h</w:t>
      </w:r>
      <w:r w:rsidRPr="006C400E">
        <w:t>eld by Hamas</w:t>
      </w:r>
      <w:r w:rsidR="004C4CBD">
        <w:t>”</w:t>
      </w:r>
      <w:r w:rsidRPr="006C400E">
        <w:t>,</w:t>
      </w:r>
      <w:r>
        <w:t xml:space="preserve"> Haaretz,</w:t>
      </w:r>
      <w:r w:rsidRPr="006C400E">
        <w:t xml:space="preserve"> </w:t>
      </w:r>
      <w:r>
        <w:t xml:space="preserve">9 </w:t>
      </w:r>
      <w:r w:rsidRPr="006C400E">
        <w:t>July</w:t>
      </w:r>
      <w:r>
        <w:t xml:space="preserve"> </w:t>
      </w:r>
      <w:r w:rsidRPr="006C400E">
        <w:t>2015.</w:t>
      </w:r>
    </w:p>
  </w:footnote>
  <w:footnote w:id="4">
    <w:p w14:paraId="3897040D" w14:textId="2065E907" w:rsidR="00F37149" w:rsidRDefault="00F37149" w:rsidP="009007AD">
      <w:pPr>
        <w:pStyle w:val="FootnoteText"/>
      </w:pPr>
      <w:r>
        <w:tab/>
      </w:r>
      <w:r w:rsidRPr="00AB6514">
        <w:rPr>
          <w:rStyle w:val="FootnoteReference"/>
        </w:rPr>
        <w:footnoteRef/>
      </w:r>
      <w:r>
        <w:t xml:space="preserve"> </w:t>
      </w:r>
      <w:r>
        <w:tab/>
        <w:t xml:space="preserve">Human Rights Watch, </w:t>
      </w:r>
      <w:r w:rsidR="004C4CBD">
        <w:t>“</w:t>
      </w:r>
      <w:r>
        <w:t>2 Israelis who entered Gaza held incommunicado</w:t>
      </w:r>
      <w:r w:rsidR="004C4CBD">
        <w:t>”</w:t>
      </w:r>
      <w:r>
        <w:t>.</w:t>
      </w:r>
    </w:p>
  </w:footnote>
  <w:footnote w:id="5">
    <w:p w14:paraId="14833FF7" w14:textId="47B290C5" w:rsidR="00F37149" w:rsidRDefault="00F37149" w:rsidP="009007AD">
      <w:pPr>
        <w:pStyle w:val="FootnoteText"/>
      </w:pPr>
      <w:r>
        <w:tab/>
      </w:r>
      <w:r w:rsidRPr="00AB6514">
        <w:rPr>
          <w:rStyle w:val="FootnoteReference"/>
        </w:rPr>
        <w:footnoteRef/>
      </w:r>
      <w:r>
        <w:t xml:space="preserve"> </w:t>
      </w:r>
      <w:r>
        <w:tab/>
      </w:r>
      <w:r w:rsidRPr="00EA66DA">
        <w:t xml:space="preserve">Human Rights Watch, </w:t>
      </w:r>
      <w:r w:rsidR="004C4CBD">
        <w:t>“</w:t>
      </w:r>
      <w:r>
        <w:t>Israel and Palestine</w:t>
      </w:r>
      <w:r w:rsidR="004C4CBD">
        <w:t>”</w:t>
      </w:r>
      <w:r>
        <w:t xml:space="preserve">, in </w:t>
      </w:r>
      <w:r w:rsidRPr="005A7028">
        <w:rPr>
          <w:i/>
          <w:iCs/>
        </w:rPr>
        <w:t>World Report 2019: Events of 2018</w:t>
      </w:r>
      <w:r>
        <w:t xml:space="preserve"> (New York, Seven Stories Press, 2019).</w:t>
      </w:r>
    </w:p>
  </w:footnote>
  <w:footnote w:id="6">
    <w:p w14:paraId="0A39A706" w14:textId="03501941" w:rsidR="00F37149" w:rsidRDefault="00F37149" w:rsidP="009007AD">
      <w:pPr>
        <w:pStyle w:val="FootnoteText"/>
      </w:pPr>
      <w:r>
        <w:tab/>
      </w:r>
      <w:r w:rsidRPr="00AB6514">
        <w:rPr>
          <w:rStyle w:val="FootnoteReference"/>
        </w:rPr>
        <w:footnoteRef/>
      </w:r>
      <w:r>
        <w:t xml:space="preserve"> </w:t>
      </w:r>
      <w:r>
        <w:tab/>
      </w:r>
      <w:hyperlink r:id="rId1" w:history="1">
        <w:r w:rsidR="00AB6514">
          <w:rPr>
            <w:rStyle w:val="Hyperlink"/>
          </w:rPr>
          <w:t>A/70/354-S/2015/677</w:t>
        </w:r>
      </w:hyperlink>
      <w:r>
        <w:t>, para. 27.</w:t>
      </w:r>
    </w:p>
  </w:footnote>
  <w:footnote w:id="7">
    <w:p w14:paraId="60C93ECF" w14:textId="07A7A134" w:rsidR="00F37149" w:rsidRDefault="00F37149" w:rsidP="009007AD">
      <w:pPr>
        <w:pStyle w:val="FootnoteText"/>
      </w:pPr>
      <w:r>
        <w:tab/>
      </w:r>
      <w:r w:rsidRPr="00AB6514">
        <w:rPr>
          <w:rStyle w:val="FootnoteReference"/>
        </w:rPr>
        <w:footnoteRef/>
      </w:r>
      <w:r>
        <w:t xml:space="preserve"> </w:t>
      </w:r>
      <w:r>
        <w:tab/>
      </w:r>
      <w:bookmarkStart w:id="0" w:name="_Hlk134111231"/>
      <w:r>
        <w:t xml:space="preserve">Naomi Hart and others, </w:t>
      </w:r>
      <w:r w:rsidR="004C4CBD">
        <w:t>“</w:t>
      </w:r>
      <w:r>
        <w:t>Making every life count: ensuring equality and protection for persons with disabilities in armed conflicts</w:t>
      </w:r>
      <w:r w:rsidR="004C4CBD">
        <w:t>”</w:t>
      </w:r>
      <w:r>
        <w:t xml:space="preserve">, </w:t>
      </w:r>
      <w:r w:rsidRPr="005A7028">
        <w:rPr>
          <w:i/>
          <w:iCs/>
        </w:rPr>
        <w:t>Monash</w:t>
      </w:r>
      <w:r>
        <w:t xml:space="preserve"> </w:t>
      </w:r>
      <w:r w:rsidRPr="005A7028">
        <w:rPr>
          <w:i/>
          <w:iCs/>
        </w:rPr>
        <w:t>University Law Review</w:t>
      </w:r>
      <w:r>
        <w:t>, vol. 40, No. 1 (2014),</w:t>
      </w:r>
      <w:bookmarkEnd w:id="0"/>
      <w:r>
        <w:t xml:space="preserve"> pp. 148–174, at p. 159.</w:t>
      </w:r>
    </w:p>
  </w:footnote>
  <w:footnote w:id="8">
    <w:p w14:paraId="237B7CCB" w14:textId="4F46093F" w:rsidR="00F37149" w:rsidRDefault="00F37149" w:rsidP="009007AD">
      <w:pPr>
        <w:pStyle w:val="FootnoteText"/>
      </w:pPr>
      <w:r>
        <w:tab/>
      </w:r>
      <w:r w:rsidRPr="00AB6514">
        <w:rPr>
          <w:rStyle w:val="FootnoteReference"/>
        </w:rPr>
        <w:footnoteRef/>
      </w:r>
      <w:r>
        <w:t xml:space="preserve"> </w:t>
      </w:r>
      <w:r>
        <w:tab/>
        <w:t xml:space="preserve">European Court of Human Rights, </w:t>
      </w:r>
      <w:proofErr w:type="spellStart"/>
      <w:r w:rsidRPr="00F75755">
        <w:rPr>
          <w:i/>
          <w:iCs/>
        </w:rPr>
        <w:t>Ila</w:t>
      </w:r>
      <w:bookmarkStart w:id="1" w:name="_Hlk134102661"/>
      <w:r w:rsidRPr="00E82093">
        <w:rPr>
          <w:i/>
          <w:iCs/>
        </w:rPr>
        <w:t>ş</w:t>
      </w:r>
      <w:bookmarkEnd w:id="1"/>
      <w:r w:rsidRPr="00F75755">
        <w:rPr>
          <w:i/>
          <w:iCs/>
        </w:rPr>
        <w:t>cu</w:t>
      </w:r>
      <w:proofErr w:type="spellEnd"/>
      <w:r w:rsidRPr="00F75755">
        <w:rPr>
          <w:i/>
          <w:iCs/>
        </w:rPr>
        <w:t xml:space="preserve"> and others v. Moldova and Russia</w:t>
      </w:r>
      <w:r w:rsidRPr="00F75755">
        <w:t xml:space="preserve">, </w:t>
      </w:r>
      <w:r>
        <w:t>Application N</w:t>
      </w:r>
      <w:r w:rsidRPr="00F75755">
        <w:t xml:space="preserve">o. 48787/99, </w:t>
      </w:r>
      <w:r>
        <w:t xml:space="preserve">Judgment, 8 July 2004, </w:t>
      </w:r>
      <w:r w:rsidRPr="00F75755">
        <w:t>para. 313</w:t>
      </w:r>
      <w:r>
        <w:t>.</w:t>
      </w:r>
    </w:p>
  </w:footnote>
  <w:footnote w:id="9">
    <w:p w14:paraId="536F394F" w14:textId="54AD8C1B" w:rsidR="00F37149" w:rsidRDefault="00F37149" w:rsidP="009007AD">
      <w:pPr>
        <w:pStyle w:val="FootnoteText"/>
      </w:pPr>
      <w:r>
        <w:tab/>
      </w:r>
      <w:r w:rsidRPr="00AB6514">
        <w:rPr>
          <w:rStyle w:val="FootnoteReference"/>
        </w:rPr>
        <w:footnoteRef/>
      </w:r>
      <w:r>
        <w:t xml:space="preserve"> </w:t>
      </w:r>
      <w:r>
        <w:tab/>
        <w:t xml:space="preserve">The authors refer to the following: Asharq al-Awsat, </w:t>
      </w:r>
      <w:r w:rsidR="004C4CBD">
        <w:t>“</w:t>
      </w:r>
      <w:r>
        <w:t>Palestinian Authority rejects direct Arab support to Hamas</w:t>
      </w:r>
      <w:r w:rsidR="004C4CBD">
        <w:t>”</w:t>
      </w:r>
      <w:r>
        <w:t xml:space="preserve">, 29 April 2019; </w:t>
      </w:r>
      <w:r w:rsidRPr="005A1CBB">
        <w:t xml:space="preserve">European </w:t>
      </w:r>
      <w:r>
        <w:t>External Action Service</w:t>
      </w:r>
      <w:r w:rsidRPr="005A1CBB">
        <w:t>,</w:t>
      </w:r>
      <w:r>
        <w:t xml:space="preserve"> </w:t>
      </w:r>
      <w:r w:rsidR="004C4CBD">
        <w:t>“</w:t>
      </w:r>
      <w:r>
        <w:t>The Palestinian Authority and the European Union support Gaza farmers with €3.7 million</w:t>
      </w:r>
      <w:r w:rsidR="004C4CBD">
        <w:t>”</w:t>
      </w:r>
      <w:r>
        <w:t xml:space="preserve">, 30 April 2019; and S. </w:t>
      </w:r>
      <w:proofErr w:type="spellStart"/>
      <w:r>
        <w:t>Schneidmann</w:t>
      </w:r>
      <w:proofErr w:type="spellEnd"/>
      <w:r>
        <w:t xml:space="preserve">, </w:t>
      </w:r>
      <w:r w:rsidR="004C4CBD">
        <w:t>“</w:t>
      </w:r>
      <w:r>
        <w:t>Campaign in West Bank against Palestinian Authority</w:t>
      </w:r>
      <w:r w:rsidR="004C4CBD">
        <w:t>’</w:t>
      </w:r>
      <w:r>
        <w:t>s sanctions on Gaza</w:t>
      </w:r>
      <w:r w:rsidR="004C4CBD">
        <w:t>”</w:t>
      </w:r>
      <w:r>
        <w:t xml:space="preserve">, </w:t>
      </w:r>
      <w:r w:rsidRPr="00771D38">
        <w:t>Middle East Media Research Institute</w:t>
      </w:r>
      <w:r>
        <w:t>,</w:t>
      </w:r>
      <w:r w:rsidRPr="00771D38">
        <w:t xml:space="preserve"> </w:t>
      </w:r>
      <w:r>
        <w:t>Inquiry and Analysis Series No. 1402, 21 June 2018.</w:t>
      </w:r>
    </w:p>
  </w:footnote>
  <w:footnote w:id="10">
    <w:p w14:paraId="6CF66310" w14:textId="4AD6D9FD" w:rsidR="00F37149" w:rsidRDefault="00F37149" w:rsidP="009007AD">
      <w:pPr>
        <w:pStyle w:val="FootnoteText"/>
      </w:pPr>
      <w:r>
        <w:tab/>
      </w:r>
      <w:r w:rsidRPr="00AB6514">
        <w:rPr>
          <w:rStyle w:val="FootnoteReference"/>
        </w:rPr>
        <w:footnoteRef/>
      </w:r>
      <w:r>
        <w:t xml:space="preserve"> </w:t>
      </w:r>
      <w:r>
        <w:tab/>
        <w:t xml:space="preserve">Gerard Quinn, </w:t>
      </w:r>
      <w:r w:rsidR="004C4CBD">
        <w:t>“</w:t>
      </w:r>
      <w:r>
        <w:t>A short guide to the United Nations Convention on the Rights of Persons with Disabilities</w:t>
      </w:r>
      <w:r w:rsidR="004C4CBD">
        <w:t>”</w:t>
      </w:r>
      <w:r>
        <w:t xml:space="preserve">, in </w:t>
      </w:r>
      <w:r w:rsidRPr="005A7028">
        <w:rPr>
          <w:i/>
          <w:iCs/>
        </w:rPr>
        <w:t>European Yearbook of Disability Law</w:t>
      </w:r>
      <w:r>
        <w:t xml:space="preserve">, vol. 1, Gerard Quinn and Lisa Waddington, eds. (Antwerp, Oxford and Portland, </w:t>
      </w:r>
      <w:proofErr w:type="spellStart"/>
      <w:r>
        <w:t>Intersentia</w:t>
      </w:r>
      <w:proofErr w:type="spellEnd"/>
      <w:r>
        <w:t xml:space="preserve">, 2009), pp. </w:t>
      </w:r>
      <w:r w:rsidRPr="00844884">
        <w:t>89</w:t>
      </w:r>
      <w:r>
        <w:t>–114</w:t>
      </w:r>
      <w:r w:rsidRPr="00844884">
        <w:t xml:space="preserve">, </w:t>
      </w:r>
      <w:r>
        <w:t xml:space="preserve">at pp. </w:t>
      </w:r>
      <w:r w:rsidRPr="00844884">
        <w:t>103</w:t>
      </w:r>
      <w:r>
        <w:t>–</w:t>
      </w:r>
      <w:r w:rsidRPr="00844884">
        <w:t>104</w:t>
      </w:r>
      <w:r>
        <w:t xml:space="preserve">; and </w:t>
      </w:r>
      <w:r w:rsidRPr="00F0686D">
        <w:t>Hart</w:t>
      </w:r>
      <w:r>
        <w:t xml:space="preserve"> and others</w:t>
      </w:r>
      <w:r w:rsidRPr="00F0686D">
        <w:t xml:space="preserve">, </w:t>
      </w:r>
      <w:bookmarkStart w:id="2" w:name="_Hlk134026740"/>
      <w:r w:rsidR="004C4CBD">
        <w:t>“</w:t>
      </w:r>
      <w:r w:rsidRPr="005A7028">
        <w:t xml:space="preserve">Making </w:t>
      </w:r>
      <w:r>
        <w:t>e</w:t>
      </w:r>
      <w:r w:rsidRPr="005A7028">
        <w:t xml:space="preserve">very </w:t>
      </w:r>
      <w:r>
        <w:t>l</w:t>
      </w:r>
      <w:r w:rsidRPr="005A7028">
        <w:t xml:space="preserve">ife </w:t>
      </w:r>
      <w:r>
        <w:t>c</w:t>
      </w:r>
      <w:r w:rsidRPr="005A7028">
        <w:t>ount</w:t>
      </w:r>
      <w:bookmarkEnd w:id="2"/>
      <w:r w:rsidR="004C4CBD">
        <w:t>”</w:t>
      </w:r>
      <w:r>
        <w:t>, pp. 148–150.</w:t>
      </w:r>
    </w:p>
  </w:footnote>
  <w:footnote w:id="11">
    <w:p w14:paraId="43435513" w14:textId="133EB025" w:rsidR="00F37149" w:rsidRDefault="00F37149" w:rsidP="009007AD">
      <w:pPr>
        <w:pStyle w:val="FootnoteText"/>
      </w:pPr>
      <w:r>
        <w:tab/>
      </w:r>
      <w:r w:rsidRPr="00AB6514">
        <w:rPr>
          <w:rStyle w:val="FootnoteReference"/>
        </w:rPr>
        <w:footnoteRef/>
      </w:r>
      <w:r>
        <w:t xml:space="preserve"> </w:t>
      </w:r>
      <w:r>
        <w:tab/>
      </w:r>
      <w:r w:rsidRPr="008A01F0">
        <w:t xml:space="preserve">Human Rights Committee, </w:t>
      </w:r>
      <w:r>
        <w:t>g</w:t>
      </w:r>
      <w:r w:rsidRPr="008A01F0">
        <w:t xml:space="preserve">eneral </w:t>
      </w:r>
      <w:r>
        <w:t>c</w:t>
      </w:r>
      <w:r w:rsidRPr="008A01F0">
        <w:t xml:space="preserve">omment No. 36 (2018) on the </w:t>
      </w:r>
      <w:r>
        <w:t>r</w:t>
      </w:r>
      <w:r w:rsidRPr="008A01F0">
        <w:t xml:space="preserve">ight to </w:t>
      </w:r>
      <w:r>
        <w:t>l</w:t>
      </w:r>
      <w:r w:rsidRPr="008A01F0">
        <w:t>ife</w:t>
      </w:r>
      <w:r>
        <w:t>, para. 58.</w:t>
      </w:r>
    </w:p>
  </w:footnote>
  <w:footnote w:id="12">
    <w:p w14:paraId="092381E9" w14:textId="1AA1FF85" w:rsidR="00F37149" w:rsidRDefault="00F37149" w:rsidP="009007AD">
      <w:pPr>
        <w:pStyle w:val="FootnoteText"/>
      </w:pPr>
      <w:r>
        <w:tab/>
      </w:r>
      <w:r w:rsidRPr="00AB6514">
        <w:rPr>
          <w:rStyle w:val="FootnoteReference"/>
        </w:rPr>
        <w:footnoteRef/>
      </w:r>
      <w:r>
        <w:t xml:space="preserve"> </w:t>
      </w:r>
      <w:r>
        <w:tab/>
      </w:r>
      <w:r w:rsidRPr="008A01F0">
        <w:t>Hart</w:t>
      </w:r>
      <w:r>
        <w:t xml:space="preserve"> and others</w:t>
      </w:r>
      <w:r w:rsidRPr="008A01F0">
        <w:t>,</w:t>
      </w:r>
      <w:r w:rsidRPr="00755AA4">
        <w:t xml:space="preserve"> </w:t>
      </w:r>
      <w:r w:rsidR="004C4CBD">
        <w:t>“</w:t>
      </w:r>
      <w:r w:rsidRPr="009D348B">
        <w:t xml:space="preserve">Making </w:t>
      </w:r>
      <w:r>
        <w:t>e</w:t>
      </w:r>
      <w:r w:rsidRPr="009D348B">
        <w:t xml:space="preserve">very </w:t>
      </w:r>
      <w:r>
        <w:t>l</w:t>
      </w:r>
      <w:r w:rsidRPr="009D348B">
        <w:t xml:space="preserve">ife </w:t>
      </w:r>
      <w:r>
        <w:t>c</w:t>
      </w:r>
      <w:r w:rsidRPr="009D348B">
        <w:t>ount</w:t>
      </w:r>
      <w:r w:rsidR="004C4CBD">
        <w:t>”</w:t>
      </w:r>
      <w:r>
        <w:t>,</w:t>
      </w:r>
      <w:r w:rsidRPr="008A01F0">
        <w:t xml:space="preserve"> </w:t>
      </w:r>
      <w:r>
        <w:t>p.</w:t>
      </w:r>
      <w:r w:rsidRPr="008A01F0">
        <w:t xml:space="preserve"> 165</w:t>
      </w:r>
      <w:r>
        <w:t>.</w:t>
      </w:r>
    </w:p>
  </w:footnote>
  <w:footnote w:id="13">
    <w:p w14:paraId="323B907A" w14:textId="588ED1AA" w:rsidR="00F37149" w:rsidRDefault="00F37149" w:rsidP="009007AD">
      <w:pPr>
        <w:pStyle w:val="FootnoteText"/>
      </w:pPr>
      <w:r>
        <w:tab/>
      </w:r>
      <w:r w:rsidRPr="00AB6514">
        <w:rPr>
          <w:rStyle w:val="FootnoteReference"/>
        </w:rPr>
        <w:footnoteRef/>
      </w:r>
      <w:r>
        <w:t xml:space="preserve"> </w:t>
      </w:r>
      <w:r>
        <w:tab/>
      </w:r>
      <w:r w:rsidRPr="00D50C91">
        <w:t xml:space="preserve">Human Rights Committee, </w:t>
      </w:r>
      <w:r>
        <w:t>g</w:t>
      </w:r>
      <w:r w:rsidRPr="00D50C91">
        <w:t xml:space="preserve">eneral </w:t>
      </w:r>
      <w:r>
        <w:t>c</w:t>
      </w:r>
      <w:r w:rsidRPr="00D50C91">
        <w:t>omment No. 36</w:t>
      </w:r>
      <w:r>
        <w:t xml:space="preserve"> (2018), para. 58.</w:t>
      </w:r>
    </w:p>
  </w:footnote>
  <w:footnote w:id="14">
    <w:p w14:paraId="32226114" w14:textId="067B6ECB" w:rsidR="00F37149" w:rsidRDefault="00F37149" w:rsidP="009007AD">
      <w:pPr>
        <w:pStyle w:val="FootnoteText"/>
      </w:pPr>
      <w:r>
        <w:tab/>
      </w:r>
      <w:r w:rsidRPr="00AB6514">
        <w:rPr>
          <w:rStyle w:val="FootnoteReference"/>
        </w:rPr>
        <w:footnoteRef/>
      </w:r>
      <w:r>
        <w:tab/>
      </w:r>
      <w:hyperlink r:id="rId2" w:history="1">
        <w:r w:rsidR="00AB6514">
          <w:rPr>
            <w:rStyle w:val="Hyperlink"/>
          </w:rPr>
          <w:t>A/72/55</w:t>
        </w:r>
      </w:hyperlink>
      <w:r>
        <w:t>, annex</w:t>
      </w:r>
      <w:r w:rsidRPr="009B1B8F">
        <w:t>, para. 3</w:t>
      </w:r>
      <w:r>
        <w:t xml:space="preserve">. </w:t>
      </w:r>
    </w:p>
  </w:footnote>
  <w:footnote w:id="15">
    <w:p w14:paraId="6BF2FE0D" w14:textId="63FB610E" w:rsidR="00F37149" w:rsidRDefault="00F37149" w:rsidP="009007AD">
      <w:pPr>
        <w:pStyle w:val="FootnoteText"/>
      </w:pPr>
      <w:r>
        <w:tab/>
      </w:r>
      <w:r w:rsidRPr="00AB6514">
        <w:rPr>
          <w:rStyle w:val="FootnoteReference"/>
        </w:rPr>
        <w:footnoteRef/>
      </w:r>
      <w:r>
        <w:t xml:space="preserve"> </w:t>
      </w:r>
      <w:r>
        <w:tab/>
        <w:t xml:space="preserve">Elhanan Miller, </w:t>
      </w:r>
      <w:r w:rsidR="004C4CBD">
        <w:t>“</w:t>
      </w:r>
      <w:r>
        <w:t>Family of Bedouin missing in Gaza confident of his return</w:t>
      </w:r>
      <w:r w:rsidR="004C4CBD">
        <w:t>”</w:t>
      </w:r>
      <w:r>
        <w:t>,</w:t>
      </w:r>
      <w:r w:rsidRPr="007E4EE2">
        <w:t xml:space="preserve"> </w:t>
      </w:r>
      <w:r>
        <w:t>Times of Israel, 13 July 2015.</w:t>
      </w:r>
    </w:p>
  </w:footnote>
  <w:footnote w:id="16">
    <w:p w14:paraId="640924FE" w14:textId="01BADC6E" w:rsidR="00F37149" w:rsidRDefault="00F37149" w:rsidP="009007AD">
      <w:pPr>
        <w:pStyle w:val="FootnoteText"/>
      </w:pPr>
      <w:r>
        <w:tab/>
      </w:r>
      <w:r w:rsidRPr="00AB6514">
        <w:rPr>
          <w:rStyle w:val="FootnoteReference"/>
        </w:rPr>
        <w:footnoteRef/>
      </w:r>
      <w:r>
        <w:t xml:space="preserve"> </w:t>
      </w:r>
      <w:r>
        <w:tab/>
      </w:r>
      <w:r w:rsidRPr="007E4EE2">
        <w:t>Max Schindler and Jacob Atkins</w:t>
      </w:r>
      <w:r>
        <w:t xml:space="preserve">, </w:t>
      </w:r>
      <w:r w:rsidR="004C4CBD">
        <w:t>“</w:t>
      </w:r>
      <w:r>
        <w:t>Don</w:t>
      </w:r>
      <w:r w:rsidR="004C4CBD">
        <w:t>’</w:t>
      </w:r>
      <w:r>
        <w:t>t negotiate with Hamas to free my son, says father of Gaza-held Israeli</w:t>
      </w:r>
      <w:r w:rsidR="004C4CBD">
        <w:t>”</w:t>
      </w:r>
      <w:r>
        <w:t>, i24 News,</w:t>
      </w:r>
      <w:r w:rsidRPr="007E4EE2">
        <w:t xml:space="preserve"> </w:t>
      </w:r>
      <w:r>
        <w:t>14 July 2017.</w:t>
      </w:r>
    </w:p>
  </w:footnote>
  <w:footnote w:id="17">
    <w:p w14:paraId="4DDD103F" w14:textId="44DB5152" w:rsidR="00F37149" w:rsidRPr="00FA3467" w:rsidRDefault="00F37149" w:rsidP="009007AD">
      <w:pPr>
        <w:pStyle w:val="FootnoteText"/>
        <w:rPr>
          <w:rFonts w:asciiTheme="majorBidi" w:hAnsiTheme="majorBidi" w:cstheme="majorBidi"/>
          <w:szCs w:val="18"/>
        </w:rPr>
      </w:pPr>
      <w:r>
        <w:rPr>
          <w:rFonts w:asciiTheme="majorBidi" w:hAnsiTheme="majorBidi" w:cstheme="majorBidi"/>
          <w:szCs w:val="18"/>
        </w:rPr>
        <w:tab/>
      </w:r>
      <w:r w:rsidRPr="00AB6514">
        <w:rPr>
          <w:rStyle w:val="FootnoteReference"/>
        </w:rPr>
        <w:footnoteRef/>
      </w:r>
      <w:r w:rsidRPr="00FA3467">
        <w:rPr>
          <w:rFonts w:asciiTheme="majorBidi" w:hAnsiTheme="majorBidi" w:cstheme="majorBidi"/>
          <w:szCs w:val="18"/>
        </w:rPr>
        <w:t xml:space="preserve"> </w:t>
      </w:r>
      <w:r>
        <w:rPr>
          <w:rFonts w:asciiTheme="majorBidi" w:hAnsiTheme="majorBidi" w:cstheme="majorBidi"/>
          <w:szCs w:val="18"/>
        </w:rPr>
        <w:tab/>
      </w:r>
      <w:r w:rsidRPr="001327FE">
        <w:rPr>
          <w:rFonts w:asciiTheme="majorBidi" w:hAnsiTheme="majorBidi" w:cstheme="majorBidi"/>
          <w:szCs w:val="18"/>
        </w:rPr>
        <w:t xml:space="preserve">Yoav </w:t>
      </w:r>
      <w:proofErr w:type="spellStart"/>
      <w:r w:rsidRPr="001327FE">
        <w:rPr>
          <w:rFonts w:asciiTheme="majorBidi" w:hAnsiTheme="majorBidi" w:cstheme="majorBidi"/>
          <w:szCs w:val="18"/>
        </w:rPr>
        <w:t>Zitun</w:t>
      </w:r>
      <w:proofErr w:type="spellEnd"/>
      <w:r w:rsidRPr="001327FE">
        <w:rPr>
          <w:rFonts w:asciiTheme="majorBidi" w:hAnsiTheme="majorBidi" w:cstheme="majorBidi"/>
          <w:szCs w:val="18"/>
        </w:rPr>
        <w:t xml:space="preserve">, Matan </w:t>
      </w:r>
      <w:proofErr w:type="spellStart"/>
      <w:r w:rsidRPr="001327FE">
        <w:rPr>
          <w:rFonts w:asciiTheme="majorBidi" w:hAnsiTheme="majorBidi" w:cstheme="majorBidi"/>
          <w:szCs w:val="18"/>
        </w:rPr>
        <w:t>Tzuri</w:t>
      </w:r>
      <w:proofErr w:type="spellEnd"/>
      <w:r>
        <w:rPr>
          <w:rFonts w:asciiTheme="majorBidi" w:hAnsiTheme="majorBidi" w:cstheme="majorBidi"/>
          <w:szCs w:val="18"/>
        </w:rPr>
        <w:t xml:space="preserve"> and</w:t>
      </w:r>
      <w:r w:rsidRPr="001327FE">
        <w:rPr>
          <w:rFonts w:asciiTheme="majorBidi" w:hAnsiTheme="majorBidi" w:cstheme="majorBidi"/>
          <w:szCs w:val="18"/>
        </w:rPr>
        <w:t xml:space="preserve"> </w:t>
      </w:r>
      <w:proofErr w:type="spellStart"/>
      <w:r w:rsidRPr="001327FE">
        <w:rPr>
          <w:rFonts w:asciiTheme="majorBidi" w:hAnsiTheme="majorBidi" w:cstheme="majorBidi"/>
          <w:szCs w:val="18"/>
        </w:rPr>
        <w:t>Elior</w:t>
      </w:r>
      <w:proofErr w:type="spellEnd"/>
      <w:r w:rsidRPr="001327FE">
        <w:rPr>
          <w:rFonts w:asciiTheme="majorBidi" w:hAnsiTheme="majorBidi" w:cstheme="majorBidi"/>
          <w:szCs w:val="18"/>
        </w:rPr>
        <w:t xml:space="preserve"> Levy</w:t>
      </w:r>
      <w:r w:rsidRPr="00FA3467">
        <w:rPr>
          <w:rFonts w:asciiTheme="majorBidi" w:hAnsiTheme="majorBidi" w:cstheme="majorBidi"/>
          <w:szCs w:val="18"/>
        </w:rPr>
        <w:t xml:space="preserve">, </w:t>
      </w:r>
      <w:r w:rsidR="004C4CBD">
        <w:rPr>
          <w:rFonts w:asciiTheme="majorBidi" w:hAnsiTheme="majorBidi" w:cstheme="majorBidi"/>
          <w:szCs w:val="18"/>
        </w:rPr>
        <w:t>“</w:t>
      </w:r>
      <w:r w:rsidRPr="00FA3467">
        <w:rPr>
          <w:rFonts w:asciiTheme="majorBidi" w:hAnsiTheme="majorBidi" w:cstheme="majorBidi"/>
          <w:szCs w:val="18"/>
        </w:rPr>
        <w:t xml:space="preserve">Gag order lifted: </w:t>
      </w:r>
      <w:r>
        <w:rPr>
          <w:rFonts w:asciiTheme="majorBidi" w:hAnsiTheme="majorBidi" w:cstheme="majorBidi"/>
          <w:szCs w:val="18"/>
        </w:rPr>
        <w:t>t</w:t>
      </w:r>
      <w:r w:rsidRPr="00FA3467">
        <w:rPr>
          <w:rFonts w:asciiTheme="majorBidi" w:hAnsiTheme="majorBidi" w:cstheme="majorBidi"/>
          <w:szCs w:val="18"/>
        </w:rPr>
        <w:t xml:space="preserve">wo Israelis </w:t>
      </w:r>
      <w:r>
        <w:rPr>
          <w:rFonts w:asciiTheme="majorBidi" w:hAnsiTheme="majorBidi" w:cstheme="majorBidi"/>
          <w:szCs w:val="18"/>
        </w:rPr>
        <w:t>h</w:t>
      </w:r>
      <w:r w:rsidRPr="00FA3467">
        <w:rPr>
          <w:rFonts w:asciiTheme="majorBidi" w:hAnsiTheme="majorBidi" w:cstheme="majorBidi"/>
          <w:szCs w:val="18"/>
        </w:rPr>
        <w:t xml:space="preserve">eld </w:t>
      </w:r>
      <w:r>
        <w:rPr>
          <w:rFonts w:asciiTheme="majorBidi" w:hAnsiTheme="majorBidi" w:cstheme="majorBidi"/>
          <w:szCs w:val="18"/>
        </w:rPr>
        <w:t>c</w:t>
      </w:r>
      <w:r w:rsidRPr="00FA3467">
        <w:rPr>
          <w:rFonts w:asciiTheme="majorBidi" w:hAnsiTheme="majorBidi" w:cstheme="majorBidi"/>
          <w:szCs w:val="18"/>
        </w:rPr>
        <w:t>aptive in Gaza</w:t>
      </w:r>
      <w:r w:rsidR="004C4CBD">
        <w:rPr>
          <w:rFonts w:asciiTheme="majorBidi" w:hAnsiTheme="majorBidi" w:cstheme="majorBidi"/>
          <w:szCs w:val="18"/>
        </w:rPr>
        <w:t>”</w:t>
      </w:r>
      <w:r w:rsidRPr="00FA3467">
        <w:rPr>
          <w:rFonts w:asciiTheme="majorBidi" w:hAnsiTheme="majorBidi" w:cstheme="majorBidi"/>
          <w:szCs w:val="18"/>
        </w:rPr>
        <w:t>,</w:t>
      </w:r>
      <w:r w:rsidRPr="001327FE">
        <w:rPr>
          <w:rFonts w:asciiTheme="majorBidi" w:hAnsiTheme="majorBidi" w:cstheme="majorBidi"/>
          <w:szCs w:val="18"/>
        </w:rPr>
        <w:t xml:space="preserve"> </w:t>
      </w:r>
      <w:r w:rsidRPr="00FA3467">
        <w:rPr>
          <w:rFonts w:asciiTheme="majorBidi" w:hAnsiTheme="majorBidi" w:cstheme="majorBidi"/>
          <w:szCs w:val="18"/>
        </w:rPr>
        <w:t>Ynet News</w:t>
      </w:r>
      <w:r>
        <w:rPr>
          <w:rFonts w:asciiTheme="majorBidi" w:hAnsiTheme="majorBidi" w:cstheme="majorBidi"/>
          <w:szCs w:val="18"/>
        </w:rPr>
        <w:t>,</w:t>
      </w:r>
      <w:r w:rsidRPr="00FA3467">
        <w:rPr>
          <w:rFonts w:asciiTheme="majorBidi" w:hAnsiTheme="majorBidi" w:cstheme="majorBidi"/>
          <w:szCs w:val="18"/>
        </w:rPr>
        <w:t xml:space="preserve"> 7 September 2015</w:t>
      </w:r>
      <w:r>
        <w:rPr>
          <w:rFonts w:asciiTheme="majorBidi" w:hAnsiTheme="majorBidi" w:cstheme="majorBidi"/>
          <w:szCs w:val="18"/>
        </w:rPr>
        <w:t>.</w:t>
      </w:r>
    </w:p>
  </w:footnote>
  <w:footnote w:id="18">
    <w:p w14:paraId="34C510E9" w14:textId="22136897" w:rsidR="00F37149" w:rsidRPr="00FA3467" w:rsidRDefault="00F37149" w:rsidP="009007AD">
      <w:pPr>
        <w:pStyle w:val="FootnoteText"/>
        <w:rPr>
          <w:rFonts w:asciiTheme="majorBidi" w:hAnsiTheme="majorBidi" w:cstheme="majorBidi"/>
          <w:szCs w:val="18"/>
        </w:rPr>
      </w:pPr>
      <w:r>
        <w:rPr>
          <w:rFonts w:asciiTheme="majorBidi" w:hAnsiTheme="majorBidi" w:cstheme="majorBidi"/>
          <w:szCs w:val="18"/>
        </w:rPr>
        <w:tab/>
      </w:r>
      <w:r w:rsidRPr="00AB6514">
        <w:rPr>
          <w:rStyle w:val="FootnoteReference"/>
        </w:rPr>
        <w:footnoteRef/>
      </w:r>
      <w:r w:rsidRPr="00FA3467">
        <w:rPr>
          <w:rFonts w:asciiTheme="majorBidi" w:hAnsiTheme="majorBidi" w:cstheme="majorBidi"/>
          <w:szCs w:val="18"/>
        </w:rPr>
        <w:t xml:space="preserve"> </w:t>
      </w:r>
      <w:r>
        <w:rPr>
          <w:rFonts w:asciiTheme="majorBidi" w:hAnsiTheme="majorBidi" w:cstheme="majorBidi"/>
          <w:szCs w:val="18"/>
        </w:rPr>
        <w:tab/>
      </w:r>
      <w:proofErr w:type="spellStart"/>
      <w:r>
        <w:rPr>
          <w:rFonts w:asciiTheme="majorBidi" w:hAnsiTheme="majorBidi" w:cstheme="majorBidi"/>
          <w:szCs w:val="18"/>
        </w:rPr>
        <w:t>Avi</w:t>
      </w:r>
      <w:proofErr w:type="spellEnd"/>
      <w:r>
        <w:rPr>
          <w:rFonts w:asciiTheme="majorBidi" w:hAnsiTheme="majorBidi" w:cstheme="majorBidi"/>
          <w:szCs w:val="18"/>
        </w:rPr>
        <w:t xml:space="preserve"> Lewis, Judah Ari Gross and Raphael </w:t>
      </w:r>
      <w:proofErr w:type="spellStart"/>
      <w:r>
        <w:rPr>
          <w:rFonts w:asciiTheme="majorBidi" w:hAnsiTheme="majorBidi" w:cstheme="majorBidi"/>
          <w:szCs w:val="18"/>
        </w:rPr>
        <w:t>Ahren</w:t>
      </w:r>
      <w:proofErr w:type="spellEnd"/>
      <w:r w:rsidRPr="00FA3467">
        <w:rPr>
          <w:rFonts w:asciiTheme="majorBidi" w:hAnsiTheme="majorBidi" w:cstheme="majorBidi"/>
          <w:szCs w:val="18"/>
        </w:rPr>
        <w:t xml:space="preserve">, </w:t>
      </w:r>
      <w:r w:rsidR="004C4CBD">
        <w:rPr>
          <w:rFonts w:asciiTheme="majorBidi" w:hAnsiTheme="majorBidi" w:cstheme="majorBidi"/>
          <w:szCs w:val="18"/>
        </w:rPr>
        <w:t>“</w:t>
      </w:r>
      <w:r w:rsidRPr="00FA3467">
        <w:rPr>
          <w:rFonts w:asciiTheme="majorBidi" w:hAnsiTheme="majorBidi" w:cstheme="majorBidi"/>
          <w:szCs w:val="18"/>
        </w:rPr>
        <w:t xml:space="preserve">Hamas </w:t>
      </w:r>
      <w:r>
        <w:rPr>
          <w:rFonts w:asciiTheme="majorBidi" w:hAnsiTheme="majorBidi" w:cstheme="majorBidi"/>
          <w:szCs w:val="18"/>
        </w:rPr>
        <w:t>h</w:t>
      </w:r>
      <w:r w:rsidRPr="00FA3467">
        <w:rPr>
          <w:rFonts w:asciiTheme="majorBidi" w:hAnsiTheme="majorBidi" w:cstheme="majorBidi"/>
          <w:szCs w:val="18"/>
        </w:rPr>
        <w:t xml:space="preserve">olding </w:t>
      </w:r>
      <w:r>
        <w:rPr>
          <w:rFonts w:asciiTheme="majorBidi" w:hAnsiTheme="majorBidi" w:cstheme="majorBidi"/>
          <w:szCs w:val="18"/>
        </w:rPr>
        <w:t>t</w:t>
      </w:r>
      <w:r w:rsidRPr="00FA3467">
        <w:rPr>
          <w:rFonts w:asciiTheme="majorBidi" w:hAnsiTheme="majorBidi" w:cstheme="majorBidi"/>
          <w:szCs w:val="18"/>
        </w:rPr>
        <w:t xml:space="preserve">wo Israelis </w:t>
      </w:r>
      <w:r>
        <w:rPr>
          <w:rFonts w:asciiTheme="majorBidi" w:hAnsiTheme="majorBidi" w:cstheme="majorBidi"/>
          <w:szCs w:val="18"/>
        </w:rPr>
        <w:t>h</w:t>
      </w:r>
      <w:r w:rsidRPr="00FA3467">
        <w:rPr>
          <w:rFonts w:asciiTheme="majorBidi" w:hAnsiTheme="majorBidi" w:cstheme="majorBidi"/>
          <w:szCs w:val="18"/>
        </w:rPr>
        <w:t xml:space="preserve">ostage for </w:t>
      </w:r>
      <w:r>
        <w:rPr>
          <w:rFonts w:asciiTheme="majorBidi" w:hAnsiTheme="majorBidi" w:cstheme="majorBidi"/>
          <w:szCs w:val="18"/>
        </w:rPr>
        <w:t>m</w:t>
      </w:r>
      <w:r w:rsidRPr="00FA3467">
        <w:rPr>
          <w:rFonts w:asciiTheme="majorBidi" w:hAnsiTheme="majorBidi" w:cstheme="majorBidi"/>
          <w:szCs w:val="18"/>
        </w:rPr>
        <w:t>onths</w:t>
      </w:r>
      <w:r w:rsidR="004C4CBD">
        <w:rPr>
          <w:rFonts w:asciiTheme="majorBidi" w:hAnsiTheme="majorBidi" w:cstheme="majorBidi"/>
          <w:szCs w:val="18"/>
        </w:rPr>
        <w:t>”</w:t>
      </w:r>
      <w:r w:rsidRPr="00FA3467">
        <w:rPr>
          <w:rFonts w:asciiTheme="majorBidi" w:hAnsiTheme="majorBidi" w:cstheme="majorBidi"/>
          <w:szCs w:val="18"/>
        </w:rPr>
        <w:t>, Times of Israel</w:t>
      </w:r>
      <w:r>
        <w:rPr>
          <w:rFonts w:asciiTheme="majorBidi" w:hAnsiTheme="majorBidi" w:cstheme="majorBidi"/>
          <w:szCs w:val="18"/>
        </w:rPr>
        <w:t>,</w:t>
      </w:r>
      <w:r w:rsidRPr="00FA3467">
        <w:rPr>
          <w:rFonts w:asciiTheme="majorBidi" w:hAnsiTheme="majorBidi" w:cstheme="majorBidi"/>
          <w:szCs w:val="18"/>
        </w:rPr>
        <w:t xml:space="preserve"> 9 July 2015</w:t>
      </w:r>
      <w:r>
        <w:rPr>
          <w:rFonts w:asciiTheme="majorBidi" w:hAnsiTheme="majorBidi" w:cstheme="majorBidi"/>
          <w:szCs w:val="18"/>
        </w:rPr>
        <w:t>.</w:t>
      </w:r>
    </w:p>
  </w:footnote>
  <w:footnote w:id="19">
    <w:p w14:paraId="07269430" w14:textId="48C85609" w:rsidR="00F37149" w:rsidRDefault="00F37149" w:rsidP="009007AD">
      <w:pPr>
        <w:pStyle w:val="FootnoteText"/>
      </w:pPr>
      <w:r>
        <w:tab/>
      </w:r>
      <w:r w:rsidRPr="00AB6514">
        <w:rPr>
          <w:rStyle w:val="FootnoteReference"/>
        </w:rPr>
        <w:footnoteRef/>
      </w:r>
      <w:r>
        <w:t xml:space="preserve"> </w:t>
      </w:r>
      <w:r>
        <w:tab/>
      </w:r>
      <w:r>
        <w:rPr>
          <w:lang w:val="en-US"/>
        </w:rPr>
        <w:t>Ibid.</w:t>
      </w:r>
      <w:r w:rsidRPr="00C9408D">
        <w:rPr>
          <w:lang w:val="en-US"/>
        </w:rPr>
        <w:t xml:space="preserve"> </w:t>
      </w:r>
    </w:p>
  </w:footnote>
  <w:footnote w:id="20">
    <w:p w14:paraId="6E0FAB3C" w14:textId="3F282AD9" w:rsidR="00F37149" w:rsidRPr="00FA3467" w:rsidRDefault="00F37149" w:rsidP="009007AD">
      <w:pPr>
        <w:pStyle w:val="FootnoteText"/>
        <w:rPr>
          <w:rFonts w:asciiTheme="majorBidi" w:hAnsiTheme="majorBidi" w:cstheme="majorBidi"/>
          <w:szCs w:val="18"/>
        </w:rPr>
      </w:pPr>
      <w:r>
        <w:rPr>
          <w:rFonts w:asciiTheme="majorBidi" w:hAnsiTheme="majorBidi" w:cstheme="majorBidi"/>
          <w:szCs w:val="18"/>
        </w:rPr>
        <w:tab/>
      </w:r>
      <w:r w:rsidRPr="00AB6514">
        <w:rPr>
          <w:rStyle w:val="FootnoteReference"/>
        </w:rPr>
        <w:footnoteRef/>
      </w:r>
      <w:r w:rsidRPr="00FA3467">
        <w:rPr>
          <w:rFonts w:asciiTheme="majorBidi" w:hAnsiTheme="majorBidi" w:cstheme="majorBidi"/>
          <w:szCs w:val="18"/>
        </w:rPr>
        <w:t xml:space="preserve"> </w:t>
      </w:r>
      <w:r>
        <w:rPr>
          <w:rFonts w:asciiTheme="majorBidi" w:hAnsiTheme="majorBidi" w:cstheme="majorBidi"/>
          <w:szCs w:val="18"/>
        </w:rPr>
        <w:tab/>
        <w:t xml:space="preserve">Adam </w:t>
      </w:r>
      <w:proofErr w:type="spellStart"/>
      <w:r>
        <w:rPr>
          <w:rFonts w:asciiTheme="majorBidi" w:hAnsiTheme="majorBidi" w:cstheme="majorBidi"/>
          <w:szCs w:val="18"/>
        </w:rPr>
        <w:t>Rasgon</w:t>
      </w:r>
      <w:proofErr w:type="spellEnd"/>
      <w:r w:rsidRPr="00FA3467">
        <w:rPr>
          <w:rFonts w:asciiTheme="majorBidi" w:hAnsiTheme="majorBidi" w:cstheme="majorBidi"/>
          <w:szCs w:val="18"/>
        </w:rPr>
        <w:t xml:space="preserve">, </w:t>
      </w:r>
      <w:r w:rsidR="004C4CBD">
        <w:rPr>
          <w:rFonts w:asciiTheme="majorBidi" w:hAnsiTheme="majorBidi" w:cstheme="majorBidi"/>
          <w:szCs w:val="18"/>
        </w:rPr>
        <w:t>“</w:t>
      </w:r>
      <w:r w:rsidRPr="00FA3467">
        <w:rPr>
          <w:rFonts w:asciiTheme="majorBidi" w:hAnsiTheme="majorBidi" w:cstheme="majorBidi"/>
          <w:szCs w:val="18"/>
        </w:rPr>
        <w:t xml:space="preserve">Abbas </w:t>
      </w:r>
      <w:r>
        <w:rPr>
          <w:rFonts w:asciiTheme="majorBidi" w:hAnsiTheme="majorBidi" w:cstheme="majorBidi"/>
          <w:szCs w:val="18"/>
        </w:rPr>
        <w:t>m</w:t>
      </w:r>
      <w:r w:rsidRPr="00FA3467">
        <w:rPr>
          <w:rFonts w:asciiTheme="majorBidi" w:hAnsiTheme="majorBidi" w:cstheme="majorBidi"/>
          <w:szCs w:val="18"/>
        </w:rPr>
        <w:t xml:space="preserve">eets </w:t>
      </w:r>
      <w:r>
        <w:rPr>
          <w:rFonts w:asciiTheme="majorBidi" w:hAnsiTheme="majorBidi" w:cstheme="majorBidi"/>
          <w:szCs w:val="18"/>
        </w:rPr>
        <w:t>f</w:t>
      </w:r>
      <w:r w:rsidRPr="00FA3467">
        <w:rPr>
          <w:rFonts w:asciiTheme="majorBidi" w:hAnsiTheme="majorBidi" w:cstheme="majorBidi"/>
          <w:szCs w:val="18"/>
        </w:rPr>
        <w:t xml:space="preserve">amily of Israeli </w:t>
      </w:r>
      <w:r>
        <w:rPr>
          <w:rFonts w:asciiTheme="majorBidi" w:hAnsiTheme="majorBidi" w:cstheme="majorBidi"/>
          <w:szCs w:val="18"/>
        </w:rPr>
        <w:t>h</w:t>
      </w:r>
      <w:r w:rsidRPr="00FA3467">
        <w:rPr>
          <w:rFonts w:asciiTheme="majorBidi" w:hAnsiTheme="majorBidi" w:cstheme="majorBidi"/>
          <w:szCs w:val="18"/>
        </w:rPr>
        <w:t xml:space="preserve">eld in Gaza, offers to </w:t>
      </w:r>
      <w:r>
        <w:rPr>
          <w:rFonts w:asciiTheme="majorBidi" w:hAnsiTheme="majorBidi" w:cstheme="majorBidi"/>
          <w:szCs w:val="18"/>
        </w:rPr>
        <w:t>h</w:t>
      </w:r>
      <w:r w:rsidRPr="00FA3467">
        <w:rPr>
          <w:rFonts w:asciiTheme="majorBidi" w:hAnsiTheme="majorBidi" w:cstheme="majorBidi"/>
          <w:szCs w:val="18"/>
        </w:rPr>
        <w:t>elp</w:t>
      </w:r>
      <w:r w:rsidR="004C4CBD">
        <w:rPr>
          <w:rFonts w:asciiTheme="majorBidi" w:hAnsiTheme="majorBidi" w:cstheme="majorBidi"/>
          <w:szCs w:val="18"/>
        </w:rPr>
        <w:t>”</w:t>
      </w:r>
      <w:r w:rsidRPr="00FA3467">
        <w:rPr>
          <w:rFonts w:asciiTheme="majorBidi" w:hAnsiTheme="majorBidi" w:cstheme="majorBidi"/>
          <w:szCs w:val="18"/>
        </w:rPr>
        <w:t>, Times of Israel</w:t>
      </w:r>
      <w:r>
        <w:rPr>
          <w:rFonts w:asciiTheme="majorBidi" w:hAnsiTheme="majorBidi" w:cstheme="majorBidi"/>
          <w:szCs w:val="18"/>
        </w:rPr>
        <w:t>,</w:t>
      </w:r>
      <w:r w:rsidRPr="00FA3467">
        <w:rPr>
          <w:rFonts w:asciiTheme="majorBidi" w:hAnsiTheme="majorBidi" w:cstheme="majorBidi"/>
          <w:szCs w:val="18"/>
        </w:rPr>
        <w:t xml:space="preserve"> 12 September 2019</w:t>
      </w:r>
      <w:r>
        <w:rPr>
          <w:rFonts w:asciiTheme="majorBidi" w:hAnsiTheme="majorBidi" w:cstheme="majorBidi"/>
          <w:szCs w:val="18"/>
        </w:rPr>
        <w:t>.</w:t>
      </w:r>
      <w:r w:rsidRPr="00FA3467">
        <w:rPr>
          <w:rFonts w:asciiTheme="majorBidi" w:hAnsiTheme="majorBidi" w:cstheme="majorBidi"/>
          <w:szCs w:val="18"/>
        </w:rPr>
        <w:t xml:space="preserve"> </w:t>
      </w:r>
    </w:p>
  </w:footnote>
  <w:footnote w:id="21">
    <w:p w14:paraId="6A2906AB" w14:textId="4E4A3ACD" w:rsidR="00F37149" w:rsidRPr="00FA3467" w:rsidRDefault="00F37149" w:rsidP="009007AD">
      <w:pPr>
        <w:pStyle w:val="FootnoteText"/>
        <w:rPr>
          <w:rFonts w:asciiTheme="majorBidi" w:hAnsiTheme="majorBidi" w:cstheme="majorBidi"/>
          <w:szCs w:val="18"/>
        </w:rPr>
      </w:pPr>
      <w:r>
        <w:rPr>
          <w:rFonts w:asciiTheme="majorBidi" w:hAnsiTheme="majorBidi" w:cstheme="majorBidi"/>
          <w:szCs w:val="18"/>
        </w:rPr>
        <w:tab/>
      </w:r>
      <w:r w:rsidRPr="00AB6514">
        <w:rPr>
          <w:rStyle w:val="FootnoteReference"/>
        </w:rPr>
        <w:footnoteRef/>
      </w:r>
      <w:r w:rsidRPr="00FA3467">
        <w:rPr>
          <w:rFonts w:asciiTheme="majorBidi" w:hAnsiTheme="majorBidi" w:cstheme="majorBidi"/>
          <w:szCs w:val="18"/>
        </w:rPr>
        <w:t xml:space="preserve"> </w:t>
      </w:r>
      <w:r>
        <w:rPr>
          <w:rFonts w:asciiTheme="majorBidi" w:hAnsiTheme="majorBidi" w:cstheme="majorBidi"/>
          <w:szCs w:val="18"/>
        </w:rPr>
        <w:tab/>
      </w:r>
      <w:r w:rsidRPr="00FA3467">
        <w:rPr>
          <w:rFonts w:asciiTheme="majorBidi" w:hAnsiTheme="majorBidi" w:cstheme="majorBidi"/>
          <w:szCs w:val="18"/>
        </w:rPr>
        <w:t xml:space="preserve">Associated Press, </w:t>
      </w:r>
      <w:r w:rsidR="004C4CBD">
        <w:rPr>
          <w:rFonts w:asciiTheme="majorBidi" w:hAnsiTheme="majorBidi" w:cstheme="majorBidi"/>
          <w:szCs w:val="18"/>
        </w:rPr>
        <w:t>“</w:t>
      </w:r>
      <w:r w:rsidRPr="00FA3467">
        <w:rPr>
          <w:rFonts w:asciiTheme="majorBidi" w:hAnsiTheme="majorBidi" w:cstheme="majorBidi"/>
          <w:szCs w:val="18"/>
        </w:rPr>
        <w:t xml:space="preserve">Red Cross </w:t>
      </w:r>
      <w:r>
        <w:rPr>
          <w:rFonts w:asciiTheme="majorBidi" w:hAnsiTheme="majorBidi" w:cstheme="majorBidi"/>
          <w:szCs w:val="18"/>
        </w:rPr>
        <w:t>c</w:t>
      </w:r>
      <w:r w:rsidRPr="00FA3467">
        <w:rPr>
          <w:rFonts w:asciiTheme="majorBidi" w:hAnsiTheme="majorBidi" w:cstheme="majorBidi"/>
          <w:szCs w:val="18"/>
        </w:rPr>
        <w:t xml:space="preserve">hief </w:t>
      </w:r>
      <w:r>
        <w:rPr>
          <w:rFonts w:asciiTheme="majorBidi" w:hAnsiTheme="majorBidi" w:cstheme="majorBidi"/>
          <w:szCs w:val="18"/>
        </w:rPr>
        <w:t>d</w:t>
      </w:r>
      <w:r w:rsidRPr="00FA3467">
        <w:rPr>
          <w:rFonts w:asciiTheme="majorBidi" w:hAnsiTheme="majorBidi" w:cstheme="majorBidi"/>
          <w:szCs w:val="18"/>
        </w:rPr>
        <w:t xml:space="preserve">iscusses </w:t>
      </w:r>
      <w:r>
        <w:rPr>
          <w:rFonts w:asciiTheme="majorBidi" w:hAnsiTheme="majorBidi" w:cstheme="majorBidi"/>
          <w:szCs w:val="18"/>
        </w:rPr>
        <w:t>c</w:t>
      </w:r>
      <w:r w:rsidRPr="00FA3467">
        <w:rPr>
          <w:rFonts w:asciiTheme="majorBidi" w:hAnsiTheme="majorBidi" w:cstheme="majorBidi"/>
          <w:szCs w:val="18"/>
        </w:rPr>
        <w:t xml:space="preserve">aptive Israelis with Hamas </w:t>
      </w:r>
      <w:r>
        <w:rPr>
          <w:rFonts w:asciiTheme="majorBidi" w:hAnsiTheme="majorBidi" w:cstheme="majorBidi"/>
          <w:szCs w:val="18"/>
        </w:rPr>
        <w:t>l</w:t>
      </w:r>
      <w:r w:rsidRPr="00FA3467">
        <w:rPr>
          <w:rFonts w:asciiTheme="majorBidi" w:hAnsiTheme="majorBidi" w:cstheme="majorBidi"/>
          <w:szCs w:val="18"/>
        </w:rPr>
        <w:t>eader</w:t>
      </w:r>
      <w:r w:rsidR="004C4CBD">
        <w:rPr>
          <w:rFonts w:asciiTheme="majorBidi" w:hAnsiTheme="majorBidi" w:cstheme="majorBidi"/>
          <w:szCs w:val="18"/>
        </w:rPr>
        <w:t>”</w:t>
      </w:r>
      <w:r w:rsidRPr="00FA3467">
        <w:rPr>
          <w:rFonts w:asciiTheme="majorBidi" w:hAnsiTheme="majorBidi" w:cstheme="majorBidi"/>
          <w:szCs w:val="18"/>
        </w:rPr>
        <w:t xml:space="preserve">, </w:t>
      </w:r>
      <w:r>
        <w:rPr>
          <w:rFonts w:asciiTheme="majorBidi" w:hAnsiTheme="majorBidi" w:cstheme="majorBidi"/>
          <w:szCs w:val="18"/>
        </w:rPr>
        <w:t xml:space="preserve">Daily Mail, </w:t>
      </w:r>
      <w:r w:rsidRPr="00FA3467">
        <w:rPr>
          <w:rFonts w:asciiTheme="majorBidi" w:hAnsiTheme="majorBidi" w:cstheme="majorBidi"/>
          <w:szCs w:val="18"/>
        </w:rPr>
        <w:t xml:space="preserve">5 September 2017; </w:t>
      </w:r>
      <w:r>
        <w:rPr>
          <w:rFonts w:asciiTheme="majorBidi" w:hAnsiTheme="majorBidi" w:cstheme="majorBidi"/>
          <w:szCs w:val="18"/>
        </w:rPr>
        <w:t xml:space="preserve">and </w:t>
      </w:r>
      <w:r w:rsidRPr="00FA3467">
        <w:rPr>
          <w:rFonts w:asciiTheme="majorBidi" w:hAnsiTheme="majorBidi" w:cstheme="majorBidi"/>
          <w:szCs w:val="18"/>
        </w:rPr>
        <w:t xml:space="preserve">Jerusalem Post, </w:t>
      </w:r>
      <w:r w:rsidR="004C4CBD">
        <w:rPr>
          <w:rFonts w:asciiTheme="majorBidi" w:hAnsiTheme="majorBidi" w:cstheme="majorBidi"/>
          <w:szCs w:val="18"/>
        </w:rPr>
        <w:t>“</w:t>
      </w:r>
      <w:r w:rsidRPr="00FA3467">
        <w:rPr>
          <w:rFonts w:asciiTheme="majorBidi" w:hAnsiTheme="majorBidi" w:cstheme="majorBidi"/>
          <w:szCs w:val="18"/>
        </w:rPr>
        <w:t xml:space="preserve">Swiss </w:t>
      </w:r>
      <w:r>
        <w:rPr>
          <w:rFonts w:asciiTheme="majorBidi" w:hAnsiTheme="majorBidi" w:cstheme="majorBidi"/>
          <w:szCs w:val="18"/>
        </w:rPr>
        <w:t>d</w:t>
      </w:r>
      <w:r w:rsidRPr="00FA3467">
        <w:rPr>
          <w:rFonts w:asciiTheme="majorBidi" w:hAnsiTheme="majorBidi" w:cstheme="majorBidi"/>
          <w:szCs w:val="18"/>
        </w:rPr>
        <w:t xml:space="preserve">iplomat </w:t>
      </w:r>
      <w:r>
        <w:rPr>
          <w:rFonts w:asciiTheme="majorBidi" w:hAnsiTheme="majorBidi" w:cstheme="majorBidi"/>
          <w:szCs w:val="18"/>
        </w:rPr>
        <w:t>j</w:t>
      </w:r>
      <w:r w:rsidRPr="00FA3467">
        <w:rPr>
          <w:rFonts w:asciiTheme="majorBidi" w:hAnsiTheme="majorBidi" w:cstheme="majorBidi"/>
          <w:szCs w:val="18"/>
        </w:rPr>
        <w:t xml:space="preserve">oins Germany, Egypt on Hamas-Israel </w:t>
      </w:r>
      <w:r>
        <w:rPr>
          <w:rFonts w:asciiTheme="majorBidi" w:hAnsiTheme="majorBidi" w:cstheme="majorBidi"/>
          <w:szCs w:val="18"/>
        </w:rPr>
        <w:t>p</w:t>
      </w:r>
      <w:r w:rsidRPr="00FA3467">
        <w:rPr>
          <w:rFonts w:asciiTheme="majorBidi" w:hAnsiTheme="majorBidi" w:cstheme="majorBidi"/>
          <w:szCs w:val="18"/>
        </w:rPr>
        <w:t xml:space="preserve">risoner </w:t>
      </w:r>
      <w:r>
        <w:rPr>
          <w:rFonts w:asciiTheme="majorBidi" w:hAnsiTheme="majorBidi" w:cstheme="majorBidi"/>
          <w:szCs w:val="18"/>
        </w:rPr>
        <w:t>s</w:t>
      </w:r>
      <w:r w:rsidRPr="00FA3467">
        <w:rPr>
          <w:rFonts w:asciiTheme="majorBidi" w:hAnsiTheme="majorBidi" w:cstheme="majorBidi"/>
          <w:szCs w:val="18"/>
        </w:rPr>
        <w:t xml:space="preserve">wap </w:t>
      </w:r>
      <w:r>
        <w:rPr>
          <w:rFonts w:asciiTheme="majorBidi" w:hAnsiTheme="majorBidi" w:cstheme="majorBidi"/>
          <w:szCs w:val="18"/>
        </w:rPr>
        <w:t>t</w:t>
      </w:r>
      <w:r w:rsidRPr="00FA3467">
        <w:rPr>
          <w:rFonts w:asciiTheme="majorBidi" w:hAnsiTheme="majorBidi" w:cstheme="majorBidi"/>
          <w:szCs w:val="18"/>
        </w:rPr>
        <w:t>alks</w:t>
      </w:r>
      <w:r w:rsidR="004C4CBD">
        <w:rPr>
          <w:rFonts w:asciiTheme="majorBidi" w:hAnsiTheme="majorBidi" w:cstheme="majorBidi"/>
          <w:szCs w:val="18"/>
        </w:rPr>
        <w:t>”</w:t>
      </w:r>
      <w:r w:rsidRPr="00FA3467">
        <w:rPr>
          <w:rFonts w:asciiTheme="majorBidi" w:hAnsiTheme="majorBidi" w:cstheme="majorBidi"/>
          <w:szCs w:val="18"/>
        </w:rPr>
        <w:t>, 6 May 20</w:t>
      </w:r>
      <w:r>
        <w:rPr>
          <w:rFonts w:asciiTheme="majorBidi" w:hAnsiTheme="majorBidi" w:cstheme="majorBidi"/>
          <w:szCs w:val="18"/>
        </w:rPr>
        <w:t>20.</w:t>
      </w:r>
      <w:r w:rsidRPr="00FA3467">
        <w:rPr>
          <w:rFonts w:asciiTheme="majorBidi" w:hAnsiTheme="majorBidi" w:cstheme="majorBidi"/>
          <w:szCs w:val="18"/>
        </w:rPr>
        <w:t xml:space="preserve"> </w:t>
      </w:r>
    </w:p>
  </w:footnote>
  <w:footnote w:id="22">
    <w:p w14:paraId="42F1C149" w14:textId="2E174D95" w:rsidR="00F37149" w:rsidRPr="00FA3467" w:rsidRDefault="00F37149" w:rsidP="009007AD">
      <w:pPr>
        <w:pStyle w:val="FootnoteText"/>
        <w:rPr>
          <w:rFonts w:asciiTheme="majorBidi" w:hAnsiTheme="majorBidi" w:cstheme="majorBidi"/>
          <w:szCs w:val="18"/>
        </w:rPr>
      </w:pPr>
      <w:r>
        <w:rPr>
          <w:rFonts w:asciiTheme="majorBidi" w:hAnsiTheme="majorBidi" w:cstheme="majorBidi"/>
          <w:szCs w:val="18"/>
        </w:rPr>
        <w:tab/>
      </w:r>
      <w:r w:rsidRPr="00AB6514">
        <w:rPr>
          <w:rStyle w:val="FootnoteReference"/>
        </w:rPr>
        <w:footnoteRef/>
      </w:r>
      <w:r>
        <w:rPr>
          <w:rFonts w:asciiTheme="majorBidi" w:hAnsiTheme="majorBidi" w:cstheme="majorBidi"/>
          <w:szCs w:val="18"/>
        </w:rPr>
        <w:tab/>
      </w:r>
      <w:r w:rsidRPr="00FA3467">
        <w:rPr>
          <w:rFonts w:asciiTheme="majorBidi" w:hAnsiTheme="majorBidi" w:cstheme="majorBidi"/>
          <w:szCs w:val="18"/>
        </w:rPr>
        <w:t xml:space="preserve">Jerusalem Post, </w:t>
      </w:r>
      <w:r w:rsidR="004C4CBD">
        <w:rPr>
          <w:rFonts w:asciiTheme="majorBidi" w:hAnsiTheme="majorBidi" w:cstheme="majorBidi"/>
          <w:szCs w:val="18"/>
        </w:rPr>
        <w:t>“</w:t>
      </w:r>
      <w:r w:rsidRPr="00FA3467">
        <w:rPr>
          <w:rFonts w:asciiTheme="majorBidi" w:hAnsiTheme="majorBidi" w:cstheme="majorBidi"/>
          <w:szCs w:val="18"/>
        </w:rPr>
        <w:t>Red Cross in Gaza</w:t>
      </w:r>
      <w:r w:rsidR="004C4CBD">
        <w:rPr>
          <w:rFonts w:asciiTheme="majorBidi" w:hAnsiTheme="majorBidi" w:cstheme="majorBidi"/>
          <w:szCs w:val="18"/>
        </w:rPr>
        <w:t>”</w:t>
      </w:r>
      <w:r w:rsidRPr="00FA3467">
        <w:rPr>
          <w:rFonts w:asciiTheme="majorBidi" w:hAnsiTheme="majorBidi" w:cstheme="majorBidi"/>
          <w:szCs w:val="18"/>
        </w:rPr>
        <w:t xml:space="preserve">, 6 September 2017; Times of Israel, </w:t>
      </w:r>
      <w:r w:rsidR="004C4CBD">
        <w:rPr>
          <w:rFonts w:asciiTheme="majorBidi" w:hAnsiTheme="majorBidi" w:cstheme="majorBidi"/>
          <w:szCs w:val="18"/>
        </w:rPr>
        <w:t>“</w:t>
      </w:r>
      <w:r w:rsidRPr="00FA3467">
        <w:rPr>
          <w:rFonts w:asciiTheme="majorBidi" w:hAnsiTheme="majorBidi" w:cstheme="majorBidi"/>
          <w:szCs w:val="18"/>
        </w:rPr>
        <w:t xml:space="preserve">Progress </w:t>
      </w:r>
      <w:r>
        <w:rPr>
          <w:rFonts w:asciiTheme="majorBidi" w:hAnsiTheme="majorBidi" w:cstheme="majorBidi"/>
          <w:szCs w:val="18"/>
        </w:rPr>
        <w:t>r</w:t>
      </w:r>
      <w:r w:rsidRPr="00FA3467">
        <w:rPr>
          <w:rFonts w:asciiTheme="majorBidi" w:hAnsiTheme="majorBidi" w:cstheme="majorBidi"/>
          <w:szCs w:val="18"/>
        </w:rPr>
        <w:t xml:space="preserve">eported on </w:t>
      </w:r>
      <w:r>
        <w:rPr>
          <w:rFonts w:asciiTheme="majorBidi" w:hAnsiTheme="majorBidi" w:cstheme="majorBidi"/>
          <w:szCs w:val="18"/>
        </w:rPr>
        <w:t>p</w:t>
      </w:r>
      <w:r w:rsidRPr="00FA3467">
        <w:rPr>
          <w:rFonts w:asciiTheme="majorBidi" w:hAnsiTheme="majorBidi" w:cstheme="majorBidi"/>
          <w:szCs w:val="18"/>
        </w:rPr>
        <w:t xml:space="preserve">ossible </w:t>
      </w:r>
      <w:r>
        <w:rPr>
          <w:rFonts w:asciiTheme="majorBidi" w:hAnsiTheme="majorBidi" w:cstheme="majorBidi"/>
          <w:szCs w:val="18"/>
        </w:rPr>
        <w:t>p</w:t>
      </w:r>
      <w:r w:rsidRPr="00FA3467">
        <w:rPr>
          <w:rFonts w:asciiTheme="majorBidi" w:hAnsiTheme="majorBidi" w:cstheme="majorBidi"/>
          <w:szCs w:val="18"/>
        </w:rPr>
        <w:t xml:space="preserve">risoner </w:t>
      </w:r>
      <w:r>
        <w:rPr>
          <w:rFonts w:asciiTheme="majorBidi" w:hAnsiTheme="majorBidi" w:cstheme="majorBidi"/>
          <w:szCs w:val="18"/>
        </w:rPr>
        <w:t>s</w:t>
      </w:r>
      <w:r w:rsidRPr="00FA3467">
        <w:rPr>
          <w:rFonts w:asciiTheme="majorBidi" w:hAnsiTheme="majorBidi" w:cstheme="majorBidi"/>
          <w:szCs w:val="18"/>
        </w:rPr>
        <w:t xml:space="preserve">wap with Hamas amid </w:t>
      </w:r>
      <w:r w:rsidR="004C4CBD">
        <w:rPr>
          <w:rFonts w:asciiTheme="majorBidi" w:hAnsiTheme="majorBidi" w:cstheme="majorBidi"/>
          <w:szCs w:val="18"/>
        </w:rPr>
        <w:t>‘</w:t>
      </w:r>
      <w:r w:rsidRPr="00FA3467">
        <w:rPr>
          <w:rFonts w:asciiTheme="majorBidi" w:hAnsiTheme="majorBidi" w:cstheme="majorBidi"/>
          <w:szCs w:val="18"/>
        </w:rPr>
        <w:t>rare opportunity</w:t>
      </w:r>
      <w:r w:rsidR="004C4CBD">
        <w:rPr>
          <w:rFonts w:asciiTheme="majorBidi" w:hAnsiTheme="majorBidi" w:cstheme="majorBidi"/>
          <w:szCs w:val="18"/>
        </w:rPr>
        <w:t>’”</w:t>
      </w:r>
      <w:r w:rsidRPr="00FA3467">
        <w:rPr>
          <w:rFonts w:asciiTheme="majorBidi" w:hAnsiTheme="majorBidi" w:cstheme="majorBidi"/>
          <w:szCs w:val="18"/>
        </w:rPr>
        <w:t xml:space="preserve">, 16 April 2020; </w:t>
      </w:r>
      <w:r>
        <w:rPr>
          <w:rFonts w:asciiTheme="majorBidi" w:hAnsiTheme="majorBidi" w:cstheme="majorBidi"/>
          <w:szCs w:val="18"/>
        </w:rPr>
        <w:t xml:space="preserve">and </w:t>
      </w:r>
      <w:r w:rsidRPr="00FA3467">
        <w:rPr>
          <w:rFonts w:asciiTheme="majorBidi" w:hAnsiTheme="majorBidi" w:cstheme="majorBidi"/>
          <w:szCs w:val="18"/>
        </w:rPr>
        <w:t xml:space="preserve">Middle East Monitor, </w:t>
      </w:r>
      <w:r w:rsidR="004C4CBD">
        <w:rPr>
          <w:rFonts w:asciiTheme="majorBidi" w:hAnsiTheme="majorBidi" w:cstheme="majorBidi"/>
          <w:szCs w:val="18"/>
        </w:rPr>
        <w:t>“</w:t>
      </w:r>
      <w:r w:rsidRPr="00FA3467">
        <w:rPr>
          <w:rFonts w:asciiTheme="majorBidi" w:hAnsiTheme="majorBidi" w:cstheme="majorBidi"/>
          <w:szCs w:val="18"/>
        </w:rPr>
        <w:t xml:space="preserve">Israel </w:t>
      </w:r>
      <w:r>
        <w:rPr>
          <w:rFonts w:asciiTheme="majorBidi" w:hAnsiTheme="majorBidi" w:cstheme="majorBidi"/>
          <w:szCs w:val="18"/>
        </w:rPr>
        <w:t>h</w:t>
      </w:r>
      <w:r w:rsidRPr="00FA3467">
        <w:rPr>
          <w:rFonts w:asciiTheme="majorBidi" w:hAnsiTheme="majorBidi" w:cstheme="majorBidi"/>
          <w:szCs w:val="18"/>
        </w:rPr>
        <w:t xml:space="preserve">as </w:t>
      </w:r>
      <w:r>
        <w:rPr>
          <w:rFonts w:asciiTheme="majorBidi" w:hAnsiTheme="majorBidi" w:cstheme="majorBidi"/>
          <w:szCs w:val="18"/>
        </w:rPr>
        <w:t>n</w:t>
      </w:r>
      <w:r w:rsidRPr="00FA3467">
        <w:rPr>
          <w:rFonts w:asciiTheme="majorBidi" w:hAnsiTheme="majorBidi" w:cstheme="majorBidi"/>
          <w:szCs w:val="18"/>
        </w:rPr>
        <w:t xml:space="preserve">ot </w:t>
      </w:r>
      <w:r>
        <w:rPr>
          <w:rFonts w:asciiTheme="majorBidi" w:hAnsiTheme="majorBidi" w:cstheme="majorBidi"/>
          <w:szCs w:val="18"/>
        </w:rPr>
        <w:t>r</w:t>
      </w:r>
      <w:r w:rsidRPr="00FA3467">
        <w:rPr>
          <w:rFonts w:asciiTheme="majorBidi" w:hAnsiTheme="majorBidi" w:cstheme="majorBidi"/>
          <w:szCs w:val="18"/>
        </w:rPr>
        <w:t xml:space="preserve">esponded to </w:t>
      </w:r>
      <w:r>
        <w:rPr>
          <w:rFonts w:asciiTheme="majorBidi" w:hAnsiTheme="majorBidi" w:cstheme="majorBidi"/>
          <w:szCs w:val="18"/>
        </w:rPr>
        <w:t>p</w:t>
      </w:r>
      <w:r w:rsidRPr="00FA3467">
        <w:rPr>
          <w:rFonts w:asciiTheme="majorBidi" w:hAnsiTheme="majorBidi" w:cstheme="majorBidi"/>
          <w:szCs w:val="18"/>
        </w:rPr>
        <w:t xml:space="preserve">risoner </w:t>
      </w:r>
      <w:r>
        <w:rPr>
          <w:rFonts w:asciiTheme="majorBidi" w:hAnsiTheme="majorBidi" w:cstheme="majorBidi"/>
          <w:szCs w:val="18"/>
        </w:rPr>
        <w:t>e</w:t>
      </w:r>
      <w:r w:rsidRPr="00FA3467">
        <w:rPr>
          <w:rFonts w:asciiTheme="majorBidi" w:hAnsiTheme="majorBidi" w:cstheme="majorBidi"/>
          <w:szCs w:val="18"/>
        </w:rPr>
        <w:t xml:space="preserve">xchange </w:t>
      </w:r>
      <w:r>
        <w:rPr>
          <w:rFonts w:asciiTheme="majorBidi" w:hAnsiTheme="majorBidi" w:cstheme="majorBidi"/>
          <w:szCs w:val="18"/>
        </w:rPr>
        <w:t>p</w:t>
      </w:r>
      <w:r w:rsidRPr="00FA3467">
        <w:rPr>
          <w:rFonts w:asciiTheme="majorBidi" w:hAnsiTheme="majorBidi" w:cstheme="majorBidi"/>
          <w:szCs w:val="18"/>
        </w:rPr>
        <w:t xml:space="preserve">roposal, </w:t>
      </w:r>
      <w:r>
        <w:rPr>
          <w:rFonts w:asciiTheme="majorBidi" w:hAnsiTheme="majorBidi" w:cstheme="majorBidi"/>
          <w:szCs w:val="18"/>
        </w:rPr>
        <w:t>s</w:t>
      </w:r>
      <w:r w:rsidRPr="00FA3467">
        <w:rPr>
          <w:rFonts w:asciiTheme="majorBidi" w:hAnsiTheme="majorBidi" w:cstheme="majorBidi"/>
          <w:szCs w:val="18"/>
        </w:rPr>
        <w:t>ays Hamas</w:t>
      </w:r>
      <w:r w:rsidR="004C4CBD">
        <w:rPr>
          <w:rFonts w:asciiTheme="majorBidi" w:hAnsiTheme="majorBidi" w:cstheme="majorBidi"/>
          <w:szCs w:val="18"/>
        </w:rPr>
        <w:t>”</w:t>
      </w:r>
      <w:r w:rsidRPr="00FA3467">
        <w:rPr>
          <w:rFonts w:asciiTheme="majorBidi" w:hAnsiTheme="majorBidi" w:cstheme="majorBidi"/>
          <w:szCs w:val="18"/>
        </w:rPr>
        <w:t>, 17 April 2020</w:t>
      </w:r>
      <w:r>
        <w:rPr>
          <w:rFonts w:asciiTheme="majorBidi" w:hAnsiTheme="majorBidi" w:cstheme="majorBidi"/>
          <w:szCs w:val="18"/>
        </w:rPr>
        <w:t>.</w:t>
      </w:r>
    </w:p>
  </w:footnote>
  <w:footnote w:id="23">
    <w:p w14:paraId="4F90EE54" w14:textId="343D0382" w:rsidR="00F37149" w:rsidRDefault="00F37149" w:rsidP="009007AD">
      <w:pPr>
        <w:pStyle w:val="FootnoteText"/>
      </w:pPr>
      <w:r w:rsidRPr="005A7028">
        <w:rPr>
          <w:lang w:val="en-US"/>
        </w:rPr>
        <w:tab/>
      </w:r>
      <w:r w:rsidRPr="00AB6514">
        <w:rPr>
          <w:rStyle w:val="FootnoteReference"/>
        </w:rPr>
        <w:footnoteRef/>
      </w:r>
      <w:r w:rsidRPr="005A7028">
        <w:rPr>
          <w:lang w:val="en-US"/>
        </w:rPr>
        <w:t xml:space="preserve"> </w:t>
      </w:r>
      <w:r w:rsidRPr="005A7028">
        <w:rPr>
          <w:lang w:val="en-US"/>
        </w:rPr>
        <w:tab/>
      </w:r>
      <w:r w:rsidRPr="005A7028">
        <w:rPr>
          <w:i/>
          <w:iCs/>
          <w:lang w:val="en-US"/>
        </w:rPr>
        <w:t>X v. United Republic of Tanzania</w:t>
      </w:r>
      <w:r w:rsidRPr="005A7028">
        <w:rPr>
          <w:lang w:val="en-US"/>
        </w:rPr>
        <w:t xml:space="preserve"> (</w:t>
      </w:r>
      <w:hyperlink r:id="rId3" w:history="1">
        <w:r w:rsidR="00AB6514">
          <w:rPr>
            <w:rStyle w:val="Hyperlink"/>
            <w:lang w:val="en-US"/>
          </w:rPr>
          <w:t>CRPD/C/18/D/22/2014</w:t>
        </w:r>
      </w:hyperlink>
      <w:r w:rsidRPr="004B619A">
        <w:rPr>
          <w:lang w:val="it-CH"/>
        </w:rPr>
        <w:t>),</w:t>
      </w:r>
      <w:r w:rsidRPr="005A7028">
        <w:rPr>
          <w:lang w:val="en-US"/>
        </w:rPr>
        <w:t xml:space="preserve"> para. </w:t>
      </w:r>
      <w:r>
        <w:t>7.3.</w:t>
      </w:r>
    </w:p>
  </w:footnote>
  <w:footnote w:id="24">
    <w:p w14:paraId="0613DA12" w14:textId="43936F88" w:rsidR="00F37149" w:rsidRDefault="00F37149" w:rsidP="009007AD">
      <w:pPr>
        <w:pStyle w:val="FootnoteText"/>
      </w:pPr>
      <w:r>
        <w:tab/>
      </w:r>
      <w:r w:rsidRPr="00AB6514">
        <w:rPr>
          <w:rStyle w:val="FootnoteReference"/>
        </w:rPr>
        <w:footnoteRef/>
      </w:r>
      <w:r w:rsidRPr="00B86B2C">
        <w:t xml:space="preserve"> </w:t>
      </w:r>
      <w:r>
        <w:tab/>
        <w:t>See</w:t>
      </w:r>
      <w:r w:rsidRPr="00B86B2C">
        <w:t xml:space="preserve"> </w:t>
      </w:r>
      <w:hyperlink r:id="rId4" w:history="1">
        <w:r w:rsidR="00AB6514">
          <w:rPr>
            <w:rStyle w:val="Hyperlink"/>
          </w:rPr>
          <w:t>CRPD/C/PSE/1</w:t>
        </w:r>
      </w:hyperlink>
      <w:r w:rsidRPr="00B86B2C">
        <w:t>.</w:t>
      </w:r>
    </w:p>
  </w:footnote>
  <w:footnote w:id="25">
    <w:p w14:paraId="42A197F1" w14:textId="13FD88E9" w:rsidR="00F37149" w:rsidRDefault="00F37149" w:rsidP="009007AD">
      <w:pPr>
        <w:pStyle w:val="FootnoteText"/>
      </w:pPr>
      <w:r>
        <w:tab/>
      </w:r>
      <w:r w:rsidRPr="00AB6514">
        <w:rPr>
          <w:rStyle w:val="FootnoteReference"/>
        </w:rPr>
        <w:footnoteRef/>
      </w:r>
      <w:r>
        <w:t xml:space="preserve"> </w:t>
      </w:r>
      <w:bookmarkStart w:id="7" w:name="_Hlk129263299"/>
      <w:r>
        <w:tab/>
        <w:t xml:space="preserve">On 16 January 2023, it was further reported in Israeli media that Hamas had published a video of </w:t>
      </w:r>
      <w:r w:rsidRPr="000A3579">
        <w:t xml:space="preserve">Avera </w:t>
      </w:r>
      <w:proofErr w:type="spellStart"/>
      <w:r w:rsidRPr="000A3579">
        <w:t>Mangisto</w:t>
      </w:r>
      <w:proofErr w:type="spellEnd"/>
      <w:r w:rsidRPr="000A3579">
        <w:t xml:space="preserve"> (Ariel </w:t>
      </w:r>
      <w:proofErr w:type="spellStart"/>
      <w:r w:rsidRPr="000A3579">
        <w:t>Oseran</w:t>
      </w:r>
      <w:proofErr w:type="spellEnd"/>
      <w:r w:rsidRPr="000A3579">
        <w:t xml:space="preserve">, </w:t>
      </w:r>
      <w:r w:rsidR="004C4CBD">
        <w:t>“</w:t>
      </w:r>
      <w:r w:rsidRPr="000A3579">
        <w:t>Hamas posts undated video showing Israeli hostage Avera Mengistu</w:t>
      </w:r>
      <w:r w:rsidRPr="009668A6">
        <w:t xml:space="preserve"> alive</w:t>
      </w:r>
      <w:r w:rsidR="004C4CBD">
        <w:t>”</w:t>
      </w:r>
      <w:r>
        <w:t>, i24News, 16 January 2023).</w:t>
      </w:r>
      <w:bookmarkEnd w:id="7"/>
    </w:p>
  </w:footnote>
  <w:footnote w:id="26">
    <w:p w14:paraId="4C4EC341" w14:textId="02946008" w:rsidR="00F37149" w:rsidRDefault="00F37149" w:rsidP="009007AD">
      <w:pPr>
        <w:pStyle w:val="FootnoteText"/>
      </w:pPr>
      <w:r>
        <w:tab/>
      </w:r>
      <w:r w:rsidRPr="00AB6514">
        <w:rPr>
          <w:rStyle w:val="FootnoteReference"/>
        </w:rPr>
        <w:footnoteRef/>
      </w:r>
      <w:r>
        <w:t xml:space="preserve"> </w:t>
      </w:r>
      <w:r>
        <w:tab/>
        <w:t xml:space="preserve">European Court of Human Rights, </w:t>
      </w:r>
      <w:proofErr w:type="spellStart"/>
      <w:r w:rsidRPr="003F77E4">
        <w:rPr>
          <w:i/>
          <w:iCs/>
        </w:rPr>
        <w:t>Ila</w:t>
      </w:r>
      <w:r w:rsidRPr="00E82093">
        <w:rPr>
          <w:i/>
          <w:iCs/>
        </w:rPr>
        <w:t>ş</w:t>
      </w:r>
      <w:r w:rsidRPr="003F77E4">
        <w:rPr>
          <w:i/>
          <w:iCs/>
        </w:rPr>
        <w:t>cu</w:t>
      </w:r>
      <w:proofErr w:type="spellEnd"/>
      <w:r w:rsidRPr="003F77E4">
        <w:rPr>
          <w:i/>
          <w:iCs/>
        </w:rPr>
        <w:t xml:space="preserve"> and </w:t>
      </w:r>
      <w:r>
        <w:rPr>
          <w:i/>
          <w:iCs/>
        </w:rPr>
        <w:t>o</w:t>
      </w:r>
      <w:r w:rsidRPr="003F77E4">
        <w:rPr>
          <w:i/>
          <w:iCs/>
        </w:rPr>
        <w:t>thers v. Moldova and Russia</w:t>
      </w:r>
      <w:r>
        <w:t>, para. 312.</w:t>
      </w:r>
    </w:p>
  </w:footnote>
  <w:footnote w:id="27">
    <w:p w14:paraId="04A57221" w14:textId="1134C8B5" w:rsidR="00F37149" w:rsidRDefault="00F37149" w:rsidP="009007AD">
      <w:pPr>
        <w:pStyle w:val="FootnoteText"/>
      </w:pPr>
      <w:r>
        <w:tab/>
      </w:r>
      <w:r w:rsidRPr="00AB6514">
        <w:rPr>
          <w:rStyle w:val="FootnoteReference"/>
        </w:rPr>
        <w:footnoteRef/>
      </w:r>
      <w:r>
        <w:t xml:space="preserve"> </w:t>
      </w:r>
      <w:r>
        <w:tab/>
        <w:t>Ibid., para. 313.</w:t>
      </w:r>
    </w:p>
  </w:footnote>
  <w:footnote w:id="28">
    <w:p w14:paraId="5A180379" w14:textId="31048B45" w:rsidR="00F37149" w:rsidRPr="005A7028" w:rsidRDefault="00F37149" w:rsidP="009007AD">
      <w:pPr>
        <w:pStyle w:val="FootnoteText"/>
        <w:rPr>
          <w:lang w:val="en-US"/>
        </w:rPr>
      </w:pPr>
      <w:r>
        <w:tab/>
      </w:r>
      <w:r w:rsidRPr="00AB6514">
        <w:rPr>
          <w:rStyle w:val="FootnoteReference"/>
        </w:rPr>
        <w:footnoteRef/>
      </w:r>
      <w:r>
        <w:t xml:space="preserve"> </w:t>
      </w:r>
      <w:r>
        <w:tab/>
        <w:t>Ibid., para. 331. S</w:t>
      </w:r>
      <w:r w:rsidRPr="00E64C32">
        <w:t xml:space="preserve">ee also European Court of Human Rights, </w:t>
      </w:r>
      <w:proofErr w:type="spellStart"/>
      <w:r w:rsidRPr="00E64C32">
        <w:rPr>
          <w:i/>
          <w:iCs/>
        </w:rPr>
        <w:t>Mozer</w:t>
      </w:r>
      <w:proofErr w:type="spellEnd"/>
      <w:r w:rsidRPr="00E64C32">
        <w:rPr>
          <w:i/>
          <w:iCs/>
        </w:rPr>
        <w:t xml:space="preserve"> v.</w:t>
      </w:r>
      <w:r w:rsidRPr="00E64C32">
        <w:t xml:space="preserve"> </w:t>
      </w:r>
      <w:r w:rsidRPr="00E64C32">
        <w:rPr>
          <w:i/>
          <w:iCs/>
        </w:rPr>
        <w:t xml:space="preserve">the Republic of Moldova and Russia, </w:t>
      </w:r>
      <w:r w:rsidRPr="00E64C32">
        <w:t xml:space="preserve">Application No. </w:t>
      </w:r>
      <w:r w:rsidRPr="00E64C32">
        <w:rPr>
          <w:iCs/>
        </w:rPr>
        <w:t xml:space="preserve">11138/10, </w:t>
      </w:r>
      <w:r>
        <w:rPr>
          <w:iCs/>
        </w:rPr>
        <w:t xml:space="preserve">Judgment, 23 February 2016, </w:t>
      </w:r>
      <w:r w:rsidRPr="00E64C32">
        <w:t xml:space="preserve">paras. </w:t>
      </w:r>
      <w:r w:rsidRPr="005A7028">
        <w:rPr>
          <w:lang w:val="en-US"/>
        </w:rPr>
        <w:t>97</w:t>
      </w:r>
      <w:r>
        <w:rPr>
          <w:lang w:val="en-US"/>
        </w:rPr>
        <w:t xml:space="preserve"> and </w:t>
      </w:r>
      <w:r w:rsidRPr="005A7028">
        <w:rPr>
          <w:lang w:val="en-US"/>
        </w:rPr>
        <w:t>98.</w:t>
      </w:r>
    </w:p>
  </w:footnote>
  <w:footnote w:id="29">
    <w:p w14:paraId="664A2E98" w14:textId="12821C0D" w:rsidR="00F37149" w:rsidRPr="00604ABF" w:rsidRDefault="00F37149" w:rsidP="009007AD">
      <w:pPr>
        <w:pStyle w:val="FootnoteText"/>
      </w:pPr>
      <w:r>
        <w:tab/>
      </w:r>
      <w:r w:rsidRPr="00AB6514">
        <w:rPr>
          <w:rStyle w:val="FootnoteReference"/>
        </w:rPr>
        <w:footnoteRef/>
      </w:r>
      <w:r>
        <w:t xml:space="preserve"> </w:t>
      </w:r>
      <w:r>
        <w:tab/>
      </w:r>
      <w:bookmarkStart w:id="8" w:name="_Hlk135157412"/>
      <w:r w:rsidRPr="005A7028">
        <w:rPr>
          <w:i/>
          <w:iCs/>
        </w:rPr>
        <w:t>19 Merchants v. Colombia</w:t>
      </w:r>
      <w:bookmarkEnd w:id="8"/>
      <w:r>
        <w:t xml:space="preserve">, </w:t>
      </w:r>
      <w:bookmarkStart w:id="9" w:name="_Hlk135157431"/>
      <w:r>
        <w:t>Judgment (Merits, Reparations and Costs),</w:t>
      </w:r>
      <w:r w:rsidRPr="008D202E">
        <w:t xml:space="preserve"> </w:t>
      </w:r>
      <w:r>
        <w:t xml:space="preserve">Series C, No. 109, </w:t>
      </w:r>
      <w:bookmarkStart w:id="10" w:name="_Hlk135157494"/>
      <w:bookmarkEnd w:id="9"/>
      <w:r>
        <w:t>5 July 2004</w:t>
      </w:r>
      <w:bookmarkEnd w:id="10"/>
      <w:r>
        <w:t xml:space="preserve">, para. 140; </w:t>
      </w:r>
      <w:r w:rsidR="004C4CBD">
        <w:rPr>
          <w:i/>
          <w:iCs/>
        </w:rPr>
        <w:t>“</w:t>
      </w:r>
      <w:proofErr w:type="spellStart"/>
      <w:r w:rsidRPr="005A7028">
        <w:rPr>
          <w:i/>
          <w:iCs/>
        </w:rPr>
        <w:t>Mapiripán</w:t>
      </w:r>
      <w:proofErr w:type="spellEnd"/>
      <w:r w:rsidRPr="005A7028">
        <w:rPr>
          <w:i/>
          <w:iCs/>
        </w:rPr>
        <w:t xml:space="preserve"> Massacre</w:t>
      </w:r>
      <w:r w:rsidR="004C4CBD">
        <w:rPr>
          <w:i/>
          <w:iCs/>
        </w:rPr>
        <w:t>”</w:t>
      </w:r>
      <w:r w:rsidRPr="005A7028">
        <w:rPr>
          <w:i/>
          <w:iCs/>
        </w:rPr>
        <w:t xml:space="preserve"> v. Colombia</w:t>
      </w:r>
      <w:r>
        <w:t xml:space="preserve">, Judgment (Merits, Reparations and Costs), Series C, No. 134, 15 September 2005, paras. 111–114 (referring to </w:t>
      </w:r>
      <w:proofErr w:type="spellStart"/>
      <w:r w:rsidRPr="005A7028">
        <w:rPr>
          <w:i/>
          <w:iCs/>
        </w:rPr>
        <w:t>erga</w:t>
      </w:r>
      <w:proofErr w:type="spellEnd"/>
      <w:r w:rsidRPr="005A7028">
        <w:rPr>
          <w:i/>
          <w:iCs/>
        </w:rPr>
        <w:t xml:space="preserve"> omnes</w:t>
      </w:r>
      <w:r>
        <w:t xml:space="preserve"> obligations); </w:t>
      </w:r>
      <w:r w:rsidRPr="005A7028">
        <w:rPr>
          <w:i/>
          <w:iCs/>
        </w:rPr>
        <w:t>Pueblo Bello Massacre v.</w:t>
      </w:r>
      <w:r>
        <w:t xml:space="preserve"> </w:t>
      </w:r>
      <w:r w:rsidRPr="005A7028">
        <w:rPr>
          <w:i/>
          <w:iCs/>
        </w:rPr>
        <w:t>Colombia</w:t>
      </w:r>
      <w:r>
        <w:t xml:space="preserve">, Judgment (Merits, Reparations and Costs), Series C, No. 140, 31 January 2006, paras. 113, 126 and 139; </w:t>
      </w:r>
      <w:proofErr w:type="spellStart"/>
      <w:r w:rsidRPr="005A7028">
        <w:rPr>
          <w:i/>
          <w:iCs/>
        </w:rPr>
        <w:t>Ituango</w:t>
      </w:r>
      <w:proofErr w:type="spellEnd"/>
      <w:r w:rsidRPr="005A7028">
        <w:rPr>
          <w:i/>
          <w:iCs/>
        </w:rPr>
        <w:t xml:space="preserve"> Massacres v. Colombia</w:t>
      </w:r>
      <w:r>
        <w:t xml:space="preserve">, Judgment (Preliminary Objections, Merits, Reparations and Costs), Series C, No. 148, 1 July 2006, paras. 134, 291 and 315; and </w:t>
      </w:r>
      <w:r w:rsidRPr="005A7028">
        <w:rPr>
          <w:i/>
          <w:iCs/>
        </w:rPr>
        <w:t xml:space="preserve">Afro-descendant communities displaced from the </w:t>
      </w:r>
      <w:proofErr w:type="spellStart"/>
      <w:r w:rsidRPr="005A7028">
        <w:rPr>
          <w:i/>
          <w:iCs/>
        </w:rPr>
        <w:t>Cacarica</w:t>
      </w:r>
      <w:proofErr w:type="spellEnd"/>
      <w:r w:rsidRPr="005A7028">
        <w:rPr>
          <w:i/>
          <w:iCs/>
        </w:rPr>
        <w:t xml:space="preserve"> River Basin</w:t>
      </w:r>
      <w:r>
        <w:t xml:space="preserve"> </w:t>
      </w:r>
      <w:r w:rsidRPr="005A7028">
        <w:rPr>
          <w:i/>
          <w:iCs/>
        </w:rPr>
        <w:t>(Operation Genesis) v. Colombia</w:t>
      </w:r>
      <w:r>
        <w:t>, Judgment (Preliminary Objections, Merits, Reparations and Costs), Series C, No. 270, 20 November 2013, paras. 224 and 370–373.</w:t>
      </w:r>
    </w:p>
  </w:footnote>
  <w:footnote w:id="30">
    <w:p w14:paraId="46EA5DCD" w14:textId="55FDBEF1" w:rsidR="00F37149" w:rsidRPr="007616BA" w:rsidRDefault="00F37149" w:rsidP="009007AD">
      <w:pPr>
        <w:pStyle w:val="FootnoteText"/>
        <w:rPr>
          <w:lang w:val="es-AR"/>
        </w:rPr>
      </w:pPr>
      <w:r w:rsidRPr="005A7028">
        <w:tab/>
      </w:r>
      <w:r w:rsidRPr="00AB6514">
        <w:rPr>
          <w:rStyle w:val="FootnoteReference"/>
        </w:rPr>
        <w:footnoteRef/>
      </w:r>
      <w:r w:rsidRPr="00AB6514">
        <w:rPr>
          <w:lang w:val="es-ES"/>
        </w:rPr>
        <w:tab/>
      </w:r>
      <w:hyperlink r:id="rId5" w:history="1">
        <w:r w:rsidR="00AB6514">
          <w:rPr>
            <w:rStyle w:val="Hyperlink"/>
            <w:lang w:val="es-ES"/>
          </w:rPr>
          <w:t>CCPR/C/MDA/CO/2</w:t>
        </w:r>
      </w:hyperlink>
      <w:r w:rsidRPr="00AB6514">
        <w:rPr>
          <w:lang w:val="es-ES"/>
        </w:rPr>
        <w:t xml:space="preserve">, para. 5, and </w:t>
      </w:r>
      <w:hyperlink r:id="rId6" w:history="1">
        <w:r w:rsidR="00AB6514">
          <w:rPr>
            <w:rStyle w:val="Hyperlink"/>
            <w:lang w:val="es-ES"/>
          </w:rPr>
          <w:t>CCPR/C/GEO/CO/3</w:t>
        </w:r>
      </w:hyperlink>
      <w:r w:rsidRPr="00AB6514">
        <w:rPr>
          <w:lang w:val="es-ES"/>
        </w:rPr>
        <w:t xml:space="preserve">, para. </w:t>
      </w:r>
      <w:r w:rsidRPr="00FD33E6">
        <w:rPr>
          <w:lang w:val="es-AR"/>
        </w:rPr>
        <w:t>6</w:t>
      </w:r>
      <w:r>
        <w:rPr>
          <w:lang w:val="es-AR"/>
        </w:rPr>
        <w:t>.</w:t>
      </w:r>
      <w:r w:rsidRPr="00FD33E6">
        <w:rPr>
          <w:lang w:val="es-AR"/>
        </w:rPr>
        <w:t xml:space="preserve"> </w:t>
      </w:r>
      <w:proofErr w:type="spellStart"/>
      <w:r>
        <w:rPr>
          <w:lang w:val="es-AR"/>
        </w:rPr>
        <w:t>S</w:t>
      </w:r>
      <w:r w:rsidRPr="00FD33E6">
        <w:rPr>
          <w:lang w:val="es-AR"/>
        </w:rPr>
        <w:t>ee</w:t>
      </w:r>
      <w:proofErr w:type="spellEnd"/>
      <w:r>
        <w:rPr>
          <w:lang w:val="es-AR"/>
        </w:rPr>
        <w:t xml:space="preserve"> </w:t>
      </w:r>
      <w:proofErr w:type="spellStart"/>
      <w:r>
        <w:rPr>
          <w:lang w:val="es-AR"/>
        </w:rPr>
        <w:t>also</w:t>
      </w:r>
      <w:proofErr w:type="spellEnd"/>
      <w:r w:rsidRPr="00FD33E6">
        <w:rPr>
          <w:lang w:val="es-AR"/>
        </w:rPr>
        <w:t xml:space="preserve"> </w:t>
      </w:r>
      <w:r w:rsidRPr="00FD33E6">
        <w:rPr>
          <w:i/>
          <w:iCs/>
          <w:lang w:val="es-AR"/>
        </w:rPr>
        <w:t>Serna</w:t>
      </w:r>
      <w:r>
        <w:rPr>
          <w:i/>
          <w:iCs/>
          <w:lang w:val="es-AR"/>
        </w:rPr>
        <w:t xml:space="preserve"> et al.</w:t>
      </w:r>
      <w:r w:rsidRPr="00FD33E6">
        <w:rPr>
          <w:i/>
          <w:iCs/>
          <w:lang w:val="es-AR"/>
        </w:rPr>
        <w:t xml:space="preserve"> v. Colombia</w:t>
      </w:r>
      <w:r w:rsidRPr="00FD33E6">
        <w:rPr>
          <w:lang w:val="es-AR"/>
        </w:rPr>
        <w:t xml:space="preserve"> (</w:t>
      </w:r>
      <w:hyperlink r:id="rId7" w:history="1">
        <w:r w:rsidR="00AB6514">
          <w:rPr>
            <w:rStyle w:val="Hyperlink"/>
            <w:lang w:val="es-AR"/>
          </w:rPr>
          <w:t>CCPR/C/114/D/2134/2012</w:t>
        </w:r>
      </w:hyperlink>
      <w:r w:rsidRPr="00FD33E6">
        <w:rPr>
          <w:lang w:val="es-AR"/>
        </w:rPr>
        <w:t>), para. 9.3</w:t>
      </w:r>
      <w:r>
        <w:rPr>
          <w:lang w:val="es-AR"/>
        </w:rPr>
        <w:t>.</w:t>
      </w:r>
    </w:p>
  </w:footnote>
  <w:footnote w:id="31">
    <w:p w14:paraId="281D607C" w14:textId="165F9370" w:rsidR="00F37149" w:rsidRPr="00654C08" w:rsidRDefault="00F37149" w:rsidP="009007AD">
      <w:pPr>
        <w:pStyle w:val="FootnoteText"/>
        <w:rPr>
          <w:lang w:val="es-AR"/>
        </w:rPr>
      </w:pPr>
      <w:r>
        <w:rPr>
          <w:lang w:val="es-AR"/>
        </w:rPr>
        <w:tab/>
      </w:r>
      <w:r w:rsidRPr="00AB6514">
        <w:rPr>
          <w:rStyle w:val="FootnoteReference"/>
        </w:rPr>
        <w:footnoteRef/>
      </w:r>
      <w:r w:rsidRPr="005A7028">
        <w:rPr>
          <w:lang w:val="es-AR"/>
        </w:rPr>
        <w:t xml:space="preserve"> </w:t>
      </w:r>
      <w:r w:rsidRPr="005A7028">
        <w:rPr>
          <w:lang w:val="es-AR"/>
        </w:rPr>
        <w:tab/>
        <w:t xml:space="preserve">General </w:t>
      </w:r>
      <w:proofErr w:type="spellStart"/>
      <w:r w:rsidRPr="005A7028">
        <w:rPr>
          <w:lang w:val="es-AR"/>
        </w:rPr>
        <w:t>recommendations</w:t>
      </w:r>
      <w:proofErr w:type="spellEnd"/>
      <w:r w:rsidRPr="005A7028">
        <w:rPr>
          <w:lang w:val="es-AR"/>
        </w:rPr>
        <w:t xml:space="preserve"> No. 28 (2010), para. 12, and No. 30 (2013), para. </w:t>
      </w:r>
      <w:r w:rsidRPr="00654C08">
        <w:rPr>
          <w:lang w:val="es-AR"/>
        </w:rPr>
        <w:t>5.</w:t>
      </w:r>
    </w:p>
  </w:footnote>
  <w:footnote w:id="32">
    <w:p w14:paraId="0A0B34D1" w14:textId="7FA9D2E5" w:rsidR="00F37149" w:rsidRPr="00654C08" w:rsidRDefault="00F37149" w:rsidP="009007AD">
      <w:pPr>
        <w:pStyle w:val="FootnoteText"/>
        <w:rPr>
          <w:lang w:val="es-AR"/>
        </w:rPr>
      </w:pPr>
      <w:r w:rsidRPr="00654C08">
        <w:rPr>
          <w:lang w:val="es-AR"/>
        </w:rPr>
        <w:tab/>
      </w:r>
      <w:r w:rsidRPr="00AB6514">
        <w:rPr>
          <w:rStyle w:val="FootnoteReference"/>
        </w:rPr>
        <w:footnoteRef/>
      </w:r>
      <w:r w:rsidRPr="00654C08">
        <w:rPr>
          <w:lang w:val="es-AR"/>
        </w:rPr>
        <w:t xml:space="preserve"> </w:t>
      </w:r>
      <w:r>
        <w:rPr>
          <w:lang w:val="es-AR"/>
        </w:rPr>
        <w:tab/>
      </w:r>
      <w:hyperlink r:id="rId8" w:history="1">
        <w:r w:rsidR="00AB6514">
          <w:rPr>
            <w:rStyle w:val="Hyperlink"/>
            <w:lang w:val="es-AR"/>
          </w:rPr>
          <w:t>CAT/C/UKR/CO/6</w:t>
        </w:r>
      </w:hyperlink>
      <w:r w:rsidRPr="00654C08">
        <w:rPr>
          <w:lang w:val="es-AR"/>
        </w:rPr>
        <w:t>, para. 11</w:t>
      </w:r>
      <w:r>
        <w:rPr>
          <w:lang w:val="es-AR"/>
        </w:rPr>
        <w:t xml:space="preserve"> </w:t>
      </w:r>
      <w:r w:rsidRPr="00654C08">
        <w:rPr>
          <w:lang w:val="es-AR"/>
        </w:rPr>
        <w:t>(a).</w:t>
      </w:r>
    </w:p>
  </w:footnote>
  <w:footnote w:id="33">
    <w:p w14:paraId="6AF5D924" w14:textId="511DF90D" w:rsidR="00F37149" w:rsidRPr="005A7028" w:rsidRDefault="00F37149" w:rsidP="009007AD">
      <w:pPr>
        <w:pStyle w:val="FootnoteText"/>
        <w:rPr>
          <w:lang w:val="es-AR"/>
        </w:rPr>
      </w:pPr>
      <w:r w:rsidRPr="00654C08">
        <w:rPr>
          <w:lang w:val="es-AR"/>
        </w:rPr>
        <w:tab/>
      </w:r>
      <w:r w:rsidRPr="00AB6514">
        <w:rPr>
          <w:rStyle w:val="FootnoteReference"/>
        </w:rPr>
        <w:footnoteRef/>
      </w:r>
      <w:r w:rsidRPr="005A7028">
        <w:rPr>
          <w:lang w:val="es-AR"/>
        </w:rPr>
        <w:tab/>
      </w:r>
      <w:hyperlink r:id="rId9" w:history="1">
        <w:r w:rsidR="00AB6514">
          <w:rPr>
            <w:rStyle w:val="Hyperlink"/>
            <w:lang w:val="es-AR"/>
          </w:rPr>
          <w:t>CRC/C/IRQ/CO/2-4</w:t>
        </w:r>
      </w:hyperlink>
      <w:r w:rsidRPr="005A7028">
        <w:rPr>
          <w:lang w:val="es-AR"/>
        </w:rPr>
        <w:t>, paras. 6, 45 and 53 (a).</w:t>
      </w:r>
    </w:p>
  </w:footnote>
  <w:footnote w:id="34">
    <w:p w14:paraId="74982227" w14:textId="21BC8C44" w:rsidR="00F37149" w:rsidRPr="005A7028" w:rsidRDefault="00F37149" w:rsidP="009007AD">
      <w:pPr>
        <w:pStyle w:val="FootnoteText"/>
        <w:rPr>
          <w:lang w:val="it-IT"/>
        </w:rPr>
      </w:pPr>
      <w:r w:rsidRPr="005A7028">
        <w:rPr>
          <w:lang w:val="es-AR"/>
        </w:rPr>
        <w:tab/>
      </w:r>
      <w:r w:rsidRPr="00AB6514">
        <w:rPr>
          <w:rStyle w:val="FootnoteReference"/>
        </w:rPr>
        <w:footnoteRef/>
      </w:r>
      <w:r w:rsidRPr="005A7028">
        <w:rPr>
          <w:lang w:val="it-IT"/>
        </w:rPr>
        <w:tab/>
      </w:r>
      <w:hyperlink r:id="rId10" w:history="1">
        <w:r w:rsidR="00AB6514">
          <w:rPr>
            <w:rStyle w:val="Hyperlink"/>
            <w:lang w:val="it-IT"/>
          </w:rPr>
          <w:t>E/C.12/CAF/CO/1</w:t>
        </w:r>
      </w:hyperlink>
      <w:r w:rsidRPr="005A7028">
        <w:rPr>
          <w:lang w:val="it-IT"/>
        </w:rPr>
        <w:t>, para. 8.</w:t>
      </w:r>
    </w:p>
  </w:footnote>
  <w:footnote w:id="35">
    <w:p w14:paraId="0B63178D" w14:textId="7CD90807" w:rsidR="00F37149" w:rsidRPr="005A7028" w:rsidRDefault="00F37149" w:rsidP="009007AD">
      <w:pPr>
        <w:pStyle w:val="FootnoteText"/>
        <w:rPr>
          <w:lang w:val="en-US"/>
        </w:rPr>
      </w:pPr>
      <w:r>
        <w:rPr>
          <w:lang w:val="it-CH"/>
        </w:rPr>
        <w:tab/>
      </w:r>
      <w:r w:rsidRPr="00AB6514">
        <w:rPr>
          <w:rStyle w:val="FootnoteReference"/>
        </w:rPr>
        <w:footnoteRef/>
      </w:r>
      <w:r w:rsidRPr="000556AD">
        <w:rPr>
          <w:lang w:val="it-CH"/>
        </w:rPr>
        <w:t xml:space="preserve"> </w:t>
      </w:r>
      <w:r>
        <w:rPr>
          <w:lang w:val="it-CH"/>
        </w:rPr>
        <w:tab/>
      </w:r>
      <w:r w:rsidRPr="000556AD">
        <w:rPr>
          <w:lang w:val="it-CH"/>
        </w:rPr>
        <w:t>See, inter alia</w:t>
      </w:r>
      <w:r>
        <w:rPr>
          <w:lang w:val="it-CH"/>
        </w:rPr>
        <w:t>:</w:t>
      </w:r>
      <w:r w:rsidRPr="000556AD">
        <w:rPr>
          <w:lang w:val="it-CH"/>
        </w:rPr>
        <w:t xml:space="preserve"> </w:t>
      </w:r>
      <w:r w:rsidRPr="000556AD">
        <w:rPr>
          <w:i/>
          <w:iCs/>
          <w:lang w:val="it-CH"/>
        </w:rPr>
        <w:t xml:space="preserve">Khelifati v. Algeria </w:t>
      </w:r>
      <w:r w:rsidRPr="000556AD">
        <w:rPr>
          <w:lang w:val="it-CH"/>
        </w:rPr>
        <w:t>(</w:t>
      </w:r>
      <w:hyperlink r:id="rId11" w:history="1">
        <w:r w:rsidR="00AB6514">
          <w:rPr>
            <w:rStyle w:val="Hyperlink"/>
            <w:lang w:val="it-CH"/>
          </w:rPr>
          <w:t>CCPR/C/120/D/2267/2013</w:t>
        </w:r>
      </w:hyperlink>
      <w:r w:rsidRPr="000556AD">
        <w:rPr>
          <w:lang w:val="it-CH"/>
        </w:rPr>
        <w:t>), para. 5.2</w:t>
      </w:r>
      <w:r w:rsidRPr="005A7028">
        <w:rPr>
          <w:lang w:val="it-CH"/>
        </w:rPr>
        <w:t xml:space="preserve">; </w:t>
      </w:r>
      <w:r w:rsidRPr="000556AD">
        <w:rPr>
          <w:i/>
          <w:iCs/>
          <w:lang w:val="it-CH"/>
        </w:rPr>
        <w:t>Ammari v. Algeria</w:t>
      </w:r>
      <w:r w:rsidRPr="000556AD">
        <w:rPr>
          <w:lang w:val="it-CH"/>
        </w:rPr>
        <w:t xml:space="preserve"> (</w:t>
      </w:r>
      <w:hyperlink r:id="rId12" w:history="1">
        <w:r w:rsidR="00AB6514">
          <w:rPr>
            <w:rStyle w:val="Hyperlink"/>
            <w:lang w:val="it-CH"/>
          </w:rPr>
          <w:t>CCPR/C/112/D/2098/2011</w:t>
        </w:r>
      </w:hyperlink>
      <w:r w:rsidRPr="000556AD">
        <w:rPr>
          <w:lang w:val="it-CH"/>
        </w:rPr>
        <w:t>)</w:t>
      </w:r>
      <w:r>
        <w:rPr>
          <w:lang w:val="it-CH"/>
        </w:rPr>
        <w:t>,</w:t>
      </w:r>
      <w:r w:rsidRPr="000556AD">
        <w:rPr>
          <w:lang w:val="it-CH"/>
        </w:rPr>
        <w:t xml:space="preserve"> para. </w:t>
      </w:r>
      <w:r w:rsidRPr="00AB6514">
        <w:rPr>
          <w:lang w:val="es-ES"/>
        </w:rPr>
        <w:t xml:space="preserve">7.2; and </w:t>
      </w:r>
      <w:proofErr w:type="spellStart"/>
      <w:r w:rsidRPr="00AB6514">
        <w:rPr>
          <w:i/>
          <w:iCs/>
          <w:lang w:val="es-ES"/>
        </w:rPr>
        <w:t>Zaier</w:t>
      </w:r>
      <w:proofErr w:type="spellEnd"/>
      <w:r w:rsidRPr="00AB6514">
        <w:rPr>
          <w:i/>
          <w:iCs/>
          <w:lang w:val="es-ES"/>
        </w:rPr>
        <w:t xml:space="preserve"> v. </w:t>
      </w:r>
      <w:r w:rsidRPr="005A7028">
        <w:rPr>
          <w:i/>
          <w:iCs/>
          <w:lang w:val="en-US"/>
        </w:rPr>
        <w:t>Algeria</w:t>
      </w:r>
      <w:r w:rsidRPr="005A7028">
        <w:rPr>
          <w:lang w:val="en-US"/>
        </w:rPr>
        <w:t xml:space="preserve"> (</w:t>
      </w:r>
      <w:hyperlink r:id="rId13" w:history="1">
        <w:r w:rsidR="00AB6514">
          <w:rPr>
            <w:rStyle w:val="Hyperlink"/>
            <w:lang w:val="en-US"/>
          </w:rPr>
          <w:t>CCPR/C/112/D/2026/2011</w:t>
        </w:r>
      </w:hyperlink>
      <w:r w:rsidRPr="005A7028">
        <w:rPr>
          <w:lang w:val="en-US"/>
        </w:rPr>
        <w:t xml:space="preserve">), para. 6.2. </w:t>
      </w:r>
    </w:p>
  </w:footnote>
  <w:footnote w:id="36">
    <w:p w14:paraId="738B268E" w14:textId="2FF98F06" w:rsidR="00F37149" w:rsidRPr="005A7028" w:rsidRDefault="00F37149" w:rsidP="009007AD">
      <w:pPr>
        <w:pStyle w:val="FootnoteText"/>
      </w:pPr>
      <w:r>
        <w:tab/>
      </w:r>
      <w:r w:rsidRPr="00AB6514">
        <w:rPr>
          <w:rStyle w:val="FootnoteReference"/>
        </w:rPr>
        <w:footnoteRef/>
      </w:r>
      <w:r>
        <w:t xml:space="preserve"> </w:t>
      </w:r>
      <w:r>
        <w:tab/>
      </w:r>
      <w:r>
        <w:rPr>
          <w:bCs/>
        </w:rPr>
        <w:t>European Court of Human Rights,</w:t>
      </w:r>
      <w:r w:rsidRPr="0027011B">
        <w:rPr>
          <w:bCs/>
        </w:rPr>
        <w:t xml:space="preserve"> </w:t>
      </w:r>
      <w:proofErr w:type="spellStart"/>
      <w:r w:rsidRPr="0027011B">
        <w:rPr>
          <w:bCs/>
          <w:i/>
          <w:iCs/>
        </w:rPr>
        <w:t>Ila</w:t>
      </w:r>
      <w:r w:rsidRPr="00E82093">
        <w:rPr>
          <w:i/>
          <w:iCs/>
        </w:rPr>
        <w:t>ş</w:t>
      </w:r>
      <w:r w:rsidRPr="0027011B">
        <w:rPr>
          <w:bCs/>
          <w:i/>
          <w:iCs/>
        </w:rPr>
        <w:t>cu</w:t>
      </w:r>
      <w:proofErr w:type="spellEnd"/>
      <w:r w:rsidRPr="0027011B">
        <w:rPr>
          <w:bCs/>
          <w:i/>
          <w:iCs/>
        </w:rPr>
        <w:t xml:space="preserve"> and </w:t>
      </w:r>
      <w:r>
        <w:rPr>
          <w:bCs/>
          <w:i/>
          <w:iCs/>
        </w:rPr>
        <w:t>o</w:t>
      </w:r>
      <w:r w:rsidRPr="0027011B">
        <w:rPr>
          <w:bCs/>
          <w:i/>
          <w:iCs/>
        </w:rPr>
        <w:t>thers v. Moldova and Russia</w:t>
      </w:r>
      <w:r w:rsidRPr="0027011B">
        <w:rPr>
          <w:bCs/>
        </w:rPr>
        <w:t>, para. 333</w:t>
      </w:r>
      <w:r>
        <w:rPr>
          <w:bCs/>
        </w:rPr>
        <w:t>.</w:t>
      </w:r>
      <w:r w:rsidRPr="0027011B">
        <w:rPr>
          <w:bCs/>
        </w:rPr>
        <w:t xml:space="preserve"> </w:t>
      </w:r>
      <w:r>
        <w:rPr>
          <w:bCs/>
        </w:rPr>
        <w:t>S</w:t>
      </w:r>
      <w:r w:rsidRPr="0027011B">
        <w:rPr>
          <w:bCs/>
        </w:rPr>
        <w:t xml:space="preserve">ee also </w:t>
      </w:r>
      <w:r>
        <w:rPr>
          <w:bCs/>
        </w:rPr>
        <w:t>Inter-American Court of Human Rights</w:t>
      </w:r>
      <w:r w:rsidRPr="0027011B">
        <w:rPr>
          <w:bCs/>
        </w:rPr>
        <w:t xml:space="preserve">, </w:t>
      </w:r>
      <w:r w:rsidRPr="005A7028">
        <w:rPr>
          <w:bCs/>
          <w:i/>
          <w:iCs/>
        </w:rPr>
        <w:t>Peace Community of San</w:t>
      </w:r>
      <w:r w:rsidRPr="0027011B">
        <w:rPr>
          <w:bCs/>
        </w:rPr>
        <w:t xml:space="preserve"> </w:t>
      </w:r>
      <w:r w:rsidRPr="005A7028">
        <w:rPr>
          <w:bCs/>
          <w:i/>
          <w:iCs/>
        </w:rPr>
        <w:t xml:space="preserve">José de </w:t>
      </w:r>
      <w:proofErr w:type="spellStart"/>
      <w:r w:rsidRPr="005A7028">
        <w:rPr>
          <w:bCs/>
          <w:i/>
          <w:iCs/>
        </w:rPr>
        <w:t>Apartadó</w:t>
      </w:r>
      <w:proofErr w:type="spellEnd"/>
      <w:r w:rsidRPr="00632509">
        <w:rPr>
          <w:bCs/>
        </w:rPr>
        <w:t xml:space="preserve"> </w:t>
      </w:r>
      <w:r w:rsidRPr="005A7028">
        <w:rPr>
          <w:bCs/>
          <w:i/>
          <w:iCs/>
        </w:rPr>
        <w:t>regarding Colombia</w:t>
      </w:r>
      <w:r w:rsidRPr="00632509">
        <w:rPr>
          <w:bCs/>
        </w:rPr>
        <w:t>, Order (Provisional</w:t>
      </w:r>
      <w:r>
        <w:rPr>
          <w:bCs/>
        </w:rPr>
        <w:t xml:space="preserve"> Measures)</w:t>
      </w:r>
      <w:r w:rsidRPr="0027011B">
        <w:rPr>
          <w:bCs/>
        </w:rPr>
        <w:t>, 18 June 2002, para. 11</w:t>
      </w:r>
      <w:r>
        <w:rPr>
          <w:bCs/>
        </w:rPr>
        <w:t>, at p. 10</w:t>
      </w:r>
      <w:r w:rsidRPr="0027011B">
        <w:rPr>
          <w:bCs/>
        </w:rPr>
        <w:t xml:space="preserve">: </w:t>
      </w:r>
      <w:r w:rsidR="004C4CBD">
        <w:rPr>
          <w:bCs/>
        </w:rPr>
        <w:t>“</w:t>
      </w:r>
      <w:r w:rsidRPr="0027011B">
        <w:rPr>
          <w:bCs/>
        </w:rPr>
        <w:t xml:space="preserve">The State Party is under the obligation, </w:t>
      </w:r>
      <w:proofErr w:type="spellStart"/>
      <w:r w:rsidRPr="005A7028">
        <w:rPr>
          <w:bCs/>
          <w:i/>
          <w:iCs/>
        </w:rPr>
        <w:t>erga</w:t>
      </w:r>
      <w:proofErr w:type="spellEnd"/>
      <w:r w:rsidRPr="005A7028">
        <w:rPr>
          <w:bCs/>
          <w:i/>
          <w:iCs/>
        </w:rPr>
        <w:t xml:space="preserve"> omnes</w:t>
      </w:r>
      <w:r w:rsidRPr="0027011B">
        <w:rPr>
          <w:bCs/>
        </w:rPr>
        <w:t>, to protect all persons who are under its jurisdiction … not only with respect to the power of the State but also with respect to actions by third parties, including irregular armed groups of any type</w:t>
      </w:r>
      <w:r>
        <w:rPr>
          <w:bCs/>
        </w:rPr>
        <w:t>.</w:t>
      </w:r>
      <w:r w:rsidR="004C4CBD">
        <w:rPr>
          <w:bCs/>
        </w:rPr>
        <w:t>”</w:t>
      </w:r>
    </w:p>
  </w:footnote>
  <w:footnote w:id="37">
    <w:p w14:paraId="3C53077A" w14:textId="4230A360" w:rsidR="00F37149" w:rsidRPr="005A7028" w:rsidRDefault="00F37149" w:rsidP="009007AD">
      <w:pPr>
        <w:pStyle w:val="FootnoteText"/>
      </w:pPr>
      <w:r w:rsidRPr="005A7028">
        <w:tab/>
      </w:r>
      <w:r w:rsidRPr="00AB6514">
        <w:rPr>
          <w:rStyle w:val="FootnoteReference"/>
        </w:rPr>
        <w:footnoteRef/>
      </w:r>
      <w:r w:rsidRPr="005A7028">
        <w:t xml:space="preserve"> </w:t>
      </w:r>
      <w:r w:rsidRPr="005A7028">
        <w:tab/>
      </w:r>
      <w:r>
        <w:t xml:space="preserve">European Court of Human Rights, </w:t>
      </w:r>
      <w:proofErr w:type="spellStart"/>
      <w:r w:rsidRPr="00844816">
        <w:rPr>
          <w:bCs/>
          <w:i/>
          <w:iCs/>
        </w:rPr>
        <w:t>Ila</w:t>
      </w:r>
      <w:r w:rsidRPr="00E82093">
        <w:rPr>
          <w:i/>
          <w:iCs/>
        </w:rPr>
        <w:t>ş</w:t>
      </w:r>
      <w:r w:rsidRPr="00844816">
        <w:rPr>
          <w:bCs/>
          <w:i/>
          <w:iCs/>
        </w:rPr>
        <w:t>cu</w:t>
      </w:r>
      <w:proofErr w:type="spellEnd"/>
      <w:r w:rsidRPr="00844816">
        <w:rPr>
          <w:bCs/>
          <w:i/>
          <w:iCs/>
        </w:rPr>
        <w:t xml:space="preserve"> and </w:t>
      </w:r>
      <w:r>
        <w:rPr>
          <w:bCs/>
          <w:i/>
          <w:iCs/>
        </w:rPr>
        <w:t>o</w:t>
      </w:r>
      <w:r w:rsidRPr="00844816">
        <w:rPr>
          <w:bCs/>
          <w:i/>
          <w:iCs/>
        </w:rPr>
        <w:t>thers v. Moldova and Russia</w:t>
      </w:r>
      <w:r w:rsidRPr="00844816">
        <w:rPr>
          <w:bCs/>
        </w:rPr>
        <w:t xml:space="preserve">, para. </w:t>
      </w:r>
      <w:r w:rsidRPr="00D0473C">
        <w:rPr>
          <w:bCs/>
        </w:rPr>
        <w:t>331.</w:t>
      </w:r>
    </w:p>
  </w:footnote>
  <w:footnote w:id="38">
    <w:p w14:paraId="5852B0C1" w14:textId="5EF868EC" w:rsidR="00F37149" w:rsidRPr="005A7028" w:rsidRDefault="00F37149" w:rsidP="009007AD">
      <w:pPr>
        <w:pStyle w:val="FootnoteText"/>
      </w:pPr>
      <w:r w:rsidRPr="005A7028">
        <w:tab/>
      </w:r>
      <w:r w:rsidRPr="00AB6514">
        <w:rPr>
          <w:rStyle w:val="FootnoteReference"/>
        </w:rPr>
        <w:footnoteRef/>
      </w:r>
      <w:r w:rsidRPr="005A7028">
        <w:t xml:space="preserve"> </w:t>
      </w:r>
      <w:r w:rsidRPr="005A7028">
        <w:tab/>
        <w:t>Ibid.</w:t>
      </w:r>
      <w:r>
        <w:t>,</w:t>
      </w:r>
      <w:r w:rsidRPr="005A7028">
        <w:t xml:space="preserve"> para. 334.</w:t>
      </w:r>
    </w:p>
  </w:footnote>
  <w:footnote w:id="39">
    <w:p w14:paraId="7753C95B" w14:textId="4856B6DC" w:rsidR="00F37149" w:rsidRPr="005A7028" w:rsidRDefault="00F37149" w:rsidP="009007AD">
      <w:pPr>
        <w:pStyle w:val="FootnoteText"/>
        <w:rPr>
          <w:lang w:val="en-US"/>
        </w:rPr>
      </w:pPr>
      <w:r>
        <w:tab/>
      </w:r>
      <w:r w:rsidRPr="00AB6514">
        <w:rPr>
          <w:rStyle w:val="FootnoteReference"/>
        </w:rPr>
        <w:footnoteRef/>
      </w:r>
      <w:r>
        <w:t xml:space="preserve"> </w:t>
      </w:r>
      <w:r>
        <w:tab/>
      </w:r>
      <w:r w:rsidRPr="00E647F6">
        <w:t xml:space="preserve">Human Rights Committee, </w:t>
      </w:r>
      <w:r>
        <w:t>g</w:t>
      </w:r>
      <w:r w:rsidRPr="00E647F6">
        <w:t xml:space="preserve">eneral comment No. 36 </w:t>
      </w:r>
      <w:r>
        <w:t>(2018)</w:t>
      </w:r>
      <w:r w:rsidRPr="00E647F6">
        <w:t xml:space="preserve">, para. </w:t>
      </w:r>
      <w:r w:rsidRPr="005A7028">
        <w:rPr>
          <w:lang w:val="en-US"/>
        </w:rPr>
        <w:t>57.</w:t>
      </w:r>
    </w:p>
  </w:footnote>
  <w:footnote w:id="40">
    <w:p w14:paraId="6460A1D1" w14:textId="35E0772A" w:rsidR="00F37149" w:rsidRPr="005A7028" w:rsidRDefault="00F37149" w:rsidP="009007AD">
      <w:pPr>
        <w:pStyle w:val="FootnoteText"/>
        <w:rPr>
          <w:lang w:val="es-ES"/>
        </w:rPr>
      </w:pPr>
      <w:r w:rsidRPr="005A7028">
        <w:rPr>
          <w:lang w:val="en-US"/>
        </w:rPr>
        <w:tab/>
      </w:r>
      <w:r w:rsidRPr="00AB6514">
        <w:rPr>
          <w:rStyle w:val="FootnoteReference"/>
        </w:rPr>
        <w:footnoteRef/>
      </w:r>
      <w:r w:rsidRPr="005A7028">
        <w:rPr>
          <w:lang w:val="en-US"/>
        </w:rPr>
        <w:t xml:space="preserve"> </w:t>
      </w:r>
      <w:r w:rsidRPr="005A7028">
        <w:rPr>
          <w:lang w:val="en-US"/>
        </w:rPr>
        <w:tab/>
      </w:r>
      <w:hyperlink r:id="rId14" w:history="1">
        <w:r w:rsidR="00AB6514" w:rsidRPr="001577A1">
          <w:rPr>
            <w:rStyle w:val="Hyperlink"/>
          </w:rPr>
          <w:t>A/HRC/49/83</w:t>
        </w:r>
      </w:hyperlink>
      <w:r w:rsidRPr="005A7028">
        <w:rPr>
          <w:iCs/>
          <w:lang w:val="en-US"/>
        </w:rPr>
        <w:t xml:space="preserve">, para. </w:t>
      </w:r>
      <w:r w:rsidRPr="005A7028">
        <w:rPr>
          <w:iCs/>
          <w:lang w:val="es-ES"/>
        </w:rPr>
        <w:t>3.</w:t>
      </w:r>
    </w:p>
  </w:footnote>
  <w:footnote w:id="41">
    <w:p w14:paraId="6A2CAF35" w14:textId="62B238BA" w:rsidR="00F37149" w:rsidRPr="005A7028" w:rsidRDefault="00F37149" w:rsidP="009007AD">
      <w:pPr>
        <w:pStyle w:val="FootnoteText"/>
        <w:rPr>
          <w:lang w:val="es-ES"/>
        </w:rPr>
      </w:pPr>
      <w:r w:rsidRPr="005A7028">
        <w:rPr>
          <w:lang w:val="es-ES"/>
        </w:rPr>
        <w:tab/>
      </w:r>
      <w:r w:rsidRPr="00AB6514">
        <w:rPr>
          <w:rStyle w:val="FootnoteReference"/>
        </w:rPr>
        <w:footnoteRef/>
      </w:r>
      <w:r w:rsidRPr="005A7028">
        <w:rPr>
          <w:lang w:val="es-ES"/>
        </w:rPr>
        <w:t xml:space="preserve"> </w:t>
      </w:r>
      <w:r w:rsidRPr="005A7028">
        <w:rPr>
          <w:lang w:val="es-ES"/>
        </w:rPr>
        <w:tab/>
      </w:r>
      <w:r w:rsidRPr="005A7028">
        <w:rPr>
          <w:iCs/>
          <w:lang w:val="es-ES"/>
        </w:rPr>
        <w:t>Ibid., para. 53.</w:t>
      </w:r>
    </w:p>
  </w:footnote>
  <w:footnote w:id="42">
    <w:p w14:paraId="4F4A6DC1" w14:textId="6A3711EE" w:rsidR="00F37149" w:rsidRPr="005A7028" w:rsidRDefault="00F37149" w:rsidP="009007AD">
      <w:pPr>
        <w:pStyle w:val="FootnoteText"/>
        <w:rPr>
          <w:lang w:val="es-ES"/>
        </w:rPr>
      </w:pPr>
      <w:r w:rsidRPr="005A7028">
        <w:rPr>
          <w:lang w:val="es-ES"/>
        </w:rPr>
        <w:tab/>
      </w:r>
      <w:r w:rsidRPr="00AB6514">
        <w:rPr>
          <w:rStyle w:val="FootnoteReference"/>
        </w:rPr>
        <w:footnoteRef/>
      </w:r>
      <w:r w:rsidRPr="005A7028">
        <w:rPr>
          <w:lang w:val="es-ES"/>
        </w:rPr>
        <w:t xml:space="preserve"> </w:t>
      </w:r>
      <w:r w:rsidRPr="005A7028">
        <w:rPr>
          <w:lang w:val="es-ES"/>
        </w:rPr>
        <w:tab/>
      </w:r>
      <w:r w:rsidRPr="005A7028">
        <w:rPr>
          <w:iCs/>
          <w:lang w:val="es-ES"/>
        </w:rPr>
        <w:t>Ibid.</w:t>
      </w:r>
    </w:p>
  </w:footnote>
  <w:footnote w:id="43">
    <w:p w14:paraId="7561555C" w14:textId="17D52E95" w:rsidR="00F37149" w:rsidRPr="005A7028" w:rsidRDefault="00F37149" w:rsidP="009007AD">
      <w:pPr>
        <w:pStyle w:val="FootnoteText"/>
        <w:rPr>
          <w:lang w:val="es-ES"/>
        </w:rPr>
      </w:pPr>
      <w:r w:rsidRPr="005A7028">
        <w:rPr>
          <w:lang w:val="es-ES"/>
        </w:rPr>
        <w:tab/>
      </w:r>
      <w:r w:rsidRPr="00AB6514">
        <w:rPr>
          <w:rStyle w:val="FootnoteReference"/>
        </w:rPr>
        <w:footnoteRef/>
      </w:r>
      <w:r w:rsidRPr="005A7028">
        <w:rPr>
          <w:lang w:val="es-ES"/>
        </w:rPr>
        <w:tab/>
      </w:r>
      <w:hyperlink r:id="rId15" w:history="1">
        <w:r w:rsidR="00AB6514">
          <w:rPr>
            <w:rStyle w:val="Hyperlink"/>
            <w:rFonts w:ascii="TimesNewRomanPSMT" w:hAnsi="TimesNewRomanPSMT"/>
            <w:szCs w:val="18"/>
            <w:lang w:val="es-ES" w:eastAsia="en-GB"/>
          </w:rPr>
          <w:t>A/HRC/49/87</w:t>
        </w:r>
      </w:hyperlink>
      <w:r w:rsidRPr="005A7028">
        <w:rPr>
          <w:rFonts w:ascii="TimesNewRomanPSMT" w:hAnsi="TimesNewRomanPSMT"/>
          <w:szCs w:val="18"/>
          <w:lang w:val="es-ES" w:eastAsia="en-GB"/>
        </w:rPr>
        <w:t>, para. 45.</w:t>
      </w:r>
      <w:r w:rsidR="00F175B8">
        <w:rPr>
          <w:rFonts w:ascii="TimesNewRomanPSMT" w:hAnsi="TimesNewRomanPSMT"/>
          <w:sz w:val="20"/>
          <w:lang w:val="es-ES" w:eastAsia="en-GB"/>
        </w:rPr>
        <w:t xml:space="preserve"> </w:t>
      </w:r>
    </w:p>
  </w:footnote>
  <w:footnote w:id="44">
    <w:p w14:paraId="321498DE" w14:textId="2D776D6F" w:rsidR="00F37149" w:rsidRPr="005A7028" w:rsidRDefault="00F37149" w:rsidP="009007AD">
      <w:pPr>
        <w:pStyle w:val="FootnoteText"/>
        <w:rPr>
          <w:lang w:val="en-US"/>
        </w:rPr>
      </w:pPr>
      <w:r>
        <w:rPr>
          <w:lang w:val="es-ES"/>
        </w:rPr>
        <w:tab/>
      </w:r>
      <w:r w:rsidRPr="00AB6514">
        <w:rPr>
          <w:rStyle w:val="FootnoteReference"/>
        </w:rPr>
        <w:footnoteRef/>
      </w:r>
      <w:r w:rsidRPr="0028039E">
        <w:rPr>
          <w:lang w:val="es-ES"/>
        </w:rPr>
        <w:t xml:space="preserve"> </w:t>
      </w:r>
      <w:r>
        <w:rPr>
          <w:lang w:val="es-ES"/>
        </w:rPr>
        <w:tab/>
      </w:r>
      <w:hyperlink r:id="rId16" w:history="1">
        <w:r w:rsidR="00AB6514">
          <w:rPr>
            <w:rStyle w:val="Hyperlink"/>
            <w:lang w:val="es-ES"/>
          </w:rPr>
          <w:t>CAT/C/PSE/CO/1</w:t>
        </w:r>
      </w:hyperlink>
      <w:r w:rsidRPr="0028039E">
        <w:rPr>
          <w:lang w:val="es-ES"/>
        </w:rPr>
        <w:t xml:space="preserve">, para. </w:t>
      </w:r>
      <w:r w:rsidRPr="005A7028">
        <w:rPr>
          <w:lang w:val="es-ES"/>
        </w:rPr>
        <w:t xml:space="preserve">4; </w:t>
      </w:r>
      <w:hyperlink r:id="rId17" w:history="1">
        <w:r w:rsidR="00AB6514">
          <w:rPr>
            <w:rStyle w:val="Hyperlink"/>
            <w:lang w:val="es-ES"/>
          </w:rPr>
          <w:t>CEDAW/C/PSE/CO/1</w:t>
        </w:r>
      </w:hyperlink>
      <w:r w:rsidRPr="005A7028">
        <w:rPr>
          <w:lang w:val="es-ES"/>
        </w:rPr>
        <w:t xml:space="preserve">, para. </w:t>
      </w:r>
      <w:r w:rsidRPr="0028039E">
        <w:rPr>
          <w:lang w:val="es-ES"/>
        </w:rPr>
        <w:t>9</w:t>
      </w:r>
      <w:r>
        <w:rPr>
          <w:lang w:val="es-ES"/>
        </w:rPr>
        <w:t xml:space="preserve">; </w:t>
      </w:r>
      <w:hyperlink r:id="rId18" w:history="1">
        <w:r w:rsidR="00AB6514">
          <w:rPr>
            <w:rStyle w:val="Hyperlink"/>
            <w:lang w:val="es-ES"/>
          </w:rPr>
          <w:t>CERD/C/PSE/CO/1-2</w:t>
        </w:r>
      </w:hyperlink>
      <w:r w:rsidRPr="0028039E">
        <w:rPr>
          <w:lang w:val="es-ES"/>
        </w:rPr>
        <w:t xml:space="preserve">, para. </w:t>
      </w:r>
      <w:r w:rsidRPr="00347FD6">
        <w:rPr>
          <w:lang w:val="en-US"/>
        </w:rPr>
        <w:t xml:space="preserve">3; </w:t>
      </w:r>
      <w:r w:rsidRPr="005A7028">
        <w:rPr>
          <w:lang w:val="en-US"/>
        </w:rPr>
        <w:t xml:space="preserve">and </w:t>
      </w:r>
      <w:hyperlink r:id="rId19" w:history="1">
        <w:r w:rsidR="00AB6514">
          <w:rPr>
            <w:rStyle w:val="Hyperlink"/>
            <w:lang w:val="en-US"/>
          </w:rPr>
          <w:t>CRC/C/PSE/CO/1</w:t>
        </w:r>
      </w:hyperlink>
      <w:r w:rsidRPr="00347FD6">
        <w:rPr>
          <w:lang w:val="en-US"/>
        </w:rPr>
        <w:t>, para. 4</w:t>
      </w:r>
      <w:r w:rsidRPr="005A7028">
        <w:rPr>
          <w:lang w:val="en-US"/>
        </w:rPr>
        <w:t>.</w:t>
      </w:r>
    </w:p>
  </w:footnote>
  <w:footnote w:id="45">
    <w:p w14:paraId="5B394C98" w14:textId="77777777" w:rsidR="00F37149" w:rsidRDefault="00F37149" w:rsidP="009007AD">
      <w:pPr>
        <w:pStyle w:val="FootnoteText"/>
      </w:pPr>
      <w:r w:rsidRPr="005A7028">
        <w:rPr>
          <w:lang w:val="en-US"/>
        </w:rPr>
        <w:tab/>
      </w:r>
      <w:r w:rsidRPr="00AB6514">
        <w:rPr>
          <w:rStyle w:val="FootnoteReference"/>
        </w:rPr>
        <w:footnoteRef/>
      </w:r>
      <w:r w:rsidRPr="005A7028">
        <w:rPr>
          <w:lang w:val="en-US"/>
        </w:rPr>
        <w:tab/>
      </w:r>
      <w:r w:rsidRPr="00603007">
        <w:rPr>
          <w:lang w:val="en-US"/>
        </w:rPr>
        <w:t>European Court of Human Rights,</w:t>
      </w:r>
      <w:r w:rsidRPr="005A7028">
        <w:rPr>
          <w:lang w:val="en-US"/>
        </w:rPr>
        <w:t xml:space="preserve"> </w:t>
      </w:r>
      <w:r w:rsidRPr="005A7028">
        <w:rPr>
          <w:i/>
          <w:iCs/>
          <w:lang w:val="it-IT"/>
        </w:rPr>
        <w:t>Ila</w:t>
      </w:r>
      <w:r w:rsidRPr="00603007">
        <w:rPr>
          <w:i/>
          <w:iCs/>
        </w:rPr>
        <w:t>ş</w:t>
      </w:r>
      <w:r w:rsidRPr="005A7028">
        <w:rPr>
          <w:i/>
          <w:iCs/>
          <w:lang w:val="it-IT"/>
        </w:rPr>
        <w:t>cu</w:t>
      </w:r>
      <w:r w:rsidRPr="00603007">
        <w:rPr>
          <w:i/>
          <w:iCs/>
          <w:lang w:val="it-IT"/>
        </w:rPr>
        <w:t xml:space="preserve"> and others</w:t>
      </w:r>
      <w:r w:rsidRPr="005A7028">
        <w:rPr>
          <w:i/>
          <w:iCs/>
          <w:lang w:val="it-IT"/>
        </w:rPr>
        <w:t xml:space="preserve"> v. Moldova and Russia</w:t>
      </w:r>
      <w:r w:rsidRPr="005A7028">
        <w:rPr>
          <w:lang w:val="it-IT"/>
        </w:rPr>
        <w:t xml:space="preserve">, para. </w:t>
      </w:r>
      <w:r w:rsidRPr="00603007">
        <w:t>331. See also European Court of Human</w:t>
      </w:r>
      <w:r w:rsidRPr="00E64C32">
        <w:t xml:space="preserve"> Rights, </w:t>
      </w:r>
      <w:proofErr w:type="spellStart"/>
      <w:r w:rsidRPr="00E64C32">
        <w:rPr>
          <w:i/>
          <w:iCs/>
        </w:rPr>
        <w:t>Mozer</w:t>
      </w:r>
      <w:proofErr w:type="spellEnd"/>
      <w:r w:rsidRPr="00E64C32">
        <w:rPr>
          <w:i/>
          <w:iCs/>
        </w:rPr>
        <w:t xml:space="preserve"> v.</w:t>
      </w:r>
      <w:r w:rsidRPr="00E64C32">
        <w:t xml:space="preserve"> </w:t>
      </w:r>
      <w:r w:rsidRPr="00E64C32">
        <w:rPr>
          <w:i/>
          <w:iCs/>
        </w:rPr>
        <w:t>the Republic of Moldova and Russia</w:t>
      </w:r>
      <w:r w:rsidRPr="00E64C32">
        <w:rPr>
          <w:iCs/>
        </w:rPr>
        <w:t>,</w:t>
      </w:r>
      <w:r w:rsidRPr="00E64C32">
        <w:t xml:space="preserve"> paras. 97</w:t>
      </w:r>
      <w:r>
        <w:t xml:space="preserve"> and </w:t>
      </w:r>
      <w:r w:rsidRPr="00E64C32">
        <w:t>98.</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2748D" w14:textId="5555D494" w:rsidR="001802B4" w:rsidRDefault="001802B4" w:rsidP="001802B4">
    <w:pPr>
      <w:pStyle w:val="Header"/>
    </w:pPr>
    <w:r>
      <w:t>CRPD/C/28/D/67/2019</w:t>
    </w:r>
  </w:p>
  <w:p w14:paraId="58C925FA" w14:textId="00DAD501" w:rsidR="0001409D" w:rsidRDefault="0001409D" w:rsidP="001802B4">
    <w:pPr>
      <w:pStyle w:val="Header"/>
    </w:pPr>
    <w:r>
      <w:t>CRPD/C/28/D/68/2019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8876C" w14:textId="77777777" w:rsidR="0001409D" w:rsidRDefault="0001409D" w:rsidP="0001409D">
    <w:pPr>
      <w:pStyle w:val="Header"/>
      <w:jc w:val="right"/>
    </w:pPr>
    <w:r>
      <w:t>CRPD/C/28/D/67/2019</w:t>
    </w:r>
  </w:p>
  <w:p w14:paraId="1BFFDAD5" w14:textId="77777777" w:rsidR="0001409D" w:rsidRDefault="0001409D" w:rsidP="0001409D">
    <w:pPr>
      <w:pStyle w:val="Header"/>
      <w:jc w:val="right"/>
    </w:pPr>
    <w:r>
      <w:t>CRPD/C/28/D/68/2019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EA223F"/>
    <w:multiLevelType w:val="multilevel"/>
    <w:tmpl w:val="E2A0D212"/>
    <w:lvl w:ilvl="0">
      <w:start w:val="7"/>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 w15:restartNumberingAfterBreak="0">
    <w:nsid w:val="1576787C"/>
    <w:multiLevelType w:val="multilevel"/>
    <w:tmpl w:val="DBCA764E"/>
    <w:lvl w:ilvl="0">
      <w:start w:val="6"/>
      <w:numFmt w:val="decimal"/>
      <w:lvlText w:val="%1"/>
      <w:lvlJc w:val="left"/>
      <w:pPr>
        <w:ind w:left="360" w:hanging="360"/>
      </w:pPr>
      <w:rPr>
        <w:rFonts w:hint="default"/>
      </w:rPr>
    </w:lvl>
    <w:lvl w:ilvl="1">
      <w:start w:val="9"/>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47020"/>
    <w:multiLevelType w:val="multilevel"/>
    <w:tmpl w:val="B726DF92"/>
    <w:lvl w:ilvl="0">
      <w:start w:val="7"/>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263737DC"/>
    <w:multiLevelType w:val="hybridMultilevel"/>
    <w:tmpl w:val="DF463C5C"/>
    <w:lvl w:ilvl="0" w:tplc="EA7AD61C">
      <w:start w:val="1"/>
      <w:numFmt w:val="decimal"/>
      <w:lvlText w:val="%1."/>
      <w:lvlJc w:val="left"/>
      <w:pPr>
        <w:ind w:left="720" w:hanging="360"/>
      </w:pPr>
      <w:rPr>
        <w:b w:val="0"/>
        <w:bCs/>
        <w:i w:val="0"/>
        <w:iCs w:val="0"/>
        <w:sz w:val="22"/>
        <w:szCs w:val="22"/>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2E2F6B22"/>
    <w:multiLevelType w:val="hybridMultilevel"/>
    <w:tmpl w:val="08A4B746"/>
    <w:lvl w:ilvl="0" w:tplc="23E0C152">
      <w:start w:val="1"/>
      <w:numFmt w:val="decimal"/>
      <w:lvlText w:val="%1."/>
      <w:lvlJc w:val="left"/>
      <w:pPr>
        <w:ind w:left="720" w:hanging="360"/>
      </w:pPr>
      <w:rPr>
        <w:rFonts w:cstheme="minorHAnsi"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2E83217D"/>
    <w:multiLevelType w:val="hybridMultilevel"/>
    <w:tmpl w:val="A59838E6"/>
    <w:lvl w:ilvl="0" w:tplc="4C84FA82">
      <w:start w:val="1"/>
      <w:numFmt w:val="decimal"/>
      <w:lvlText w:val="%1."/>
      <w:lvlJc w:val="left"/>
      <w:pPr>
        <w:ind w:left="810" w:hanging="360"/>
      </w:pPr>
      <w:rPr>
        <w:rFonts w:ascii="Palatino Linotype" w:hAnsi="Palatino Linotype" w:hint="default"/>
        <w:i w:val="0"/>
        <w:iCs w:val="0"/>
        <w:color w:val="000000" w:themeColor="text1"/>
        <w:sz w:val="22"/>
        <w:szCs w:val="22"/>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131616F"/>
    <w:multiLevelType w:val="hybridMultilevel"/>
    <w:tmpl w:val="DF72BDEE"/>
    <w:lvl w:ilvl="0" w:tplc="D9924628">
      <w:start w:val="6"/>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D65DA9"/>
    <w:multiLevelType w:val="multilevel"/>
    <w:tmpl w:val="E9A84F94"/>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47C51093"/>
    <w:multiLevelType w:val="hybridMultilevel"/>
    <w:tmpl w:val="E480C774"/>
    <w:lvl w:ilvl="0" w:tplc="A48E5540">
      <w:start w:val="7"/>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47F415ED"/>
    <w:multiLevelType w:val="hybridMultilevel"/>
    <w:tmpl w:val="80722C96"/>
    <w:lvl w:ilvl="0" w:tplc="92928652">
      <w:start w:val="4"/>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4E4569C1"/>
    <w:multiLevelType w:val="multilevel"/>
    <w:tmpl w:val="CBD0A48E"/>
    <w:lvl w:ilvl="0">
      <w:start w:val="7"/>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5" w15:restartNumberingAfterBreak="0">
    <w:nsid w:val="53825FD0"/>
    <w:multiLevelType w:val="multilevel"/>
    <w:tmpl w:val="8598C048"/>
    <w:lvl w:ilvl="0">
      <w:start w:val="1"/>
      <w:numFmt w:val="decimal"/>
      <w:lvlText w:val="%1."/>
      <w:lvlJc w:val="left"/>
      <w:pPr>
        <w:tabs>
          <w:tab w:val="num" w:pos="567"/>
        </w:tabs>
        <w:ind w:left="567" w:hanging="567"/>
      </w:pPr>
      <w:rPr>
        <w:rFonts w:hint="default"/>
        <w:b w:val="0"/>
        <w:i w:val="0"/>
        <w:color w:val="auto"/>
        <w:u w:val="none"/>
      </w:rPr>
    </w:lvl>
    <w:lvl w:ilvl="1">
      <w:start w:val="1"/>
      <w:numFmt w:val="lowerLetter"/>
      <w:lvlText w:val="(%2)"/>
      <w:lvlJc w:val="left"/>
      <w:pPr>
        <w:tabs>
          <w:tab w:val="num" w:pos="1134"/>
        </w:tabs>
        <w:ind w:left="1134" w:hanging="567"/>
      </w:pPr>
      <w:rPr>
        <w:rFonts w:hint="default"/>
        <w:color w:val="auto"/>
      </w:rPr>
    </w:lvl>
    <w:lvl w:ilvl="2">
      <w:start w:val="1"/>
      <w:numFmt w:val="decimal"/>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554B7574"/>
    <w:multiLevelType w:val="multilevel"/>
    <w:tmpl w:val="5BDEEDFE"/>
    <w:lvl w:ilvl="0">
      <w:start w:val="6"/>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7" w15:restartNumberingAfterBreak="0">
    <w:nsid w:val="57662667"/>
    <w:multiLevelType w:val="hybridMultilevel"/>
    <w:tmpl w:val="F140C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D723C6"/>
    <w:multiLevelType w:val="multilevel"/>
    <w:tmpl w:val="4ED489A6"/>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9" w15:restartNumberingAfterBreak="0">
    <w:nsid w:val="5C363F80"/>
    <w:multiLevelType w:val="multilevel"/>
    <w:tmpl w:val="B77A32E4"/>
    <w:lvl w:ilvl="0">
      <w:start w:val="6"/>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33A6661"/>
    <w:multiLevelType w:val="multilevel"/>
    <w:tmpl w:val="DCB6CDFC"/>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3" w15:restartNumberingAfterBreak="0">
    <w:nsid w:val="642C280E"/>
    <w:multiLevelType w:val="multilevel"/>
    <w:tmpl w:val="99E8CA48"/>
    <w:lvl w:ilvl="0">
      <w:start w:val="6"/>
      <w:numFmt w:val="decimal"/>
      <w:lvlText w:val="%1"/>
      <w:lvlJc w:val="left"/>
      <w:pPr>
        <w:ind w:left="360" w:hanging="360"/>
      </w:pPr>
      <w:rPr>
        <w:rFonts w:hint="default"/>
      </w:rPr>
    </w:lvl>
    <w:lvl w:ilvl="1">
      <w:start w:val="8"/>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4" w15:restartNumberingAfterBreak="0">
    <w:nsid w:val="76CE7BCF"/>
    <w:multiLevelType w:val="multilevel"/>
    <w:tmpl w:val="03F40A14"/>
    <w:lvl w:ilvl="0">
      <w:start w:val="7"/>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1801197">
    <w:abstractNumId w:val="10"/>
  </w:num>
  <w:num w:numId="2" w16cid:durableId="455218161">
    <w:abstractNumId w:val="4"/>
  </w:num>
  <w:num w:numId="3" w16cid:durableId="444813169">
    <w:abstractNumId w:val="0"/>
  </w:num>
  <w:num w:numId="4" w16cid:durableId="77944827">
    <w:abstractNumId w:val="20"/>
  </w:num>
  <w:num w:numId="5" w16cid:durableId="932780190">
    <w:abstractNumId w:val="21"/>
  </w:num>
  <w:num w:numId="6" w16cid:durableId="1533954672">
    <w:abstractNumId w:val="25"/>
  </w:num>
  <w:num w:numId="7" w16cid:durableId="1439257756">
    <w:abstractNumId w:val="3"/>
  </w:num>
  <w:num w:numId="8" w16cid:durableId="31881149">
    <w:abstractNumId w:val="18"/>
  </w:num>
  <w:num w:numId="9" w16cid:durableId="1560365127">
    <w:abstractNumId w:val="15"/>
  </w:num>
  <w:num w:numId="10" w16cid:durableId="234436670">
    <w:abstractNumId w:val="7"/>
  </w:num>
  <w:num w:numId="11" w16cid:durableId="1872691313">
    <w:abstractNumId w:val="13"/>
  </w:num>
  <w:num w:numId="12" w16cid:durableId="792480486">
    <w:abstractNumId w:val="6"/>
  </w:num>
  <w:num w:numId="13" w16cid:durableId="551694417">
    <w:abstractNumId w:val="9"/>
  </w:num>
  <w:num w:numId="14" w16cid:durableId="1247155044">
    <w:abstractNumId w:val="22"/>
  </w:num>
  <w:num w:numId="15" w16cid:durableId="465315468">
    <w:abstractNumId w:val="17"/>
  </w:num>
  <w:num w:numId="16" w16cid:durableId="191040803">
    <w:abstractNumId w:val="12"/>
  </w:num>
  <w:num w:numId="17" w16cid:durableId="407534328">
    <w:abstractNumId w:val="8"/>
  </w:num>
  <w:num w:numId="18" w16cid:durableId="1539514289">
    <w:abstractNumId w:val="19"/>
  </w:num>
  <w:num w:numId="19" w16cid:durableId="1872692353">
    <w:abstractNumId w:val="16"/>
  </w:num>
  <w:num w:numId="20" w16cid:durableId="1992130411">
    <w:abstractNumId w:val="23"/>
  </w:num>
  <w:num w:numId="21" w16cid:durableId="146091390">
    <w:abstractNumId w:val="2"/>
  </w:num>
  <w:num w:numId="22" w16cid:durableId="29379026">
    <w:abstractNumId w:val="5"/>
  </w:num>
  <w:num w:numId="23" w16cid:durableId="974485348">
    <w:abstractNumId w:val="24"/>
  </w:num>
  <w:num w:numId="24" w16cid:durableId="57365245">
    <w:abstractNumId w:val="11"/>
  </w:num>
  <w:num w:numId="25" w16cid:durableId="229507455">
    <w:abstractNumId w:val="1"/>
  </w:num>
  <w:num w:numId="26" w16cid:durableId="149030169">
    <w:abstractNumId w:val="26"/>
  </w:num>
  <w:num w:numId="27" w16cid:durableId="759065792">
    <w:abstractNumId w:val="14"/>
  </w:num>
  <w:num w:numId="28" w16cid:durableId="1610887628">
    <w:abstractNumId w:val="10"/>
  </w:num>
  <w:num w:numId="29" w16cid:durableId="622466465">
    <w:abstractNumId w:val="4"/>
  </w:num>
  <w:num w:numId="30" w16cid:durableId="1710640920">
    <w:abstractNumId w:val="0"/>
  </w:num>
  <w:num w:numId="31" w16cid:durableId="22094567">
    <w:abstractNumId w:val="21"/>
  </w:num>
  <w:num w:numId="32" w16cid:durableId="987176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C39"/>
    <w:rsid w:val="0001409D"/>
    <w:rsid w:val="000257F2"/>
    <w:rsid w:val="00046E92"/>
    <w:rsid w:val="000C291C"/>
    <w:rsid w:val="001577A1"/>
    <w:rsid w:val="001802B4"/>
    <w:rsid w:val="00197A94"/>
    <w:rsid w:val="00246C78"/>
    <w:rsid w:val="00247E2C"/>
    <w:rsid w:val="002D6C53"/>
    <w:rsid w:val="002F238A"/>
    <w:rsid w:val="002F5595"/>
    <w:rsid w:val="00306545"/>
    <w:rsid w:val="00317DC1"/>
    <w:rsid w:val="00334F6A"/>
    <w:rsid w:val="00335DE0"/>
    <w:rsid w:val="00342AC8"/>
    <w:rsid w:val="00345FF9"/>
    <w:rsid w:val="003B4550"/>
    <w:rsid w:val="00410E63"/>
    <w:rsid w:val="00461253"/>
    <w:rsid w:val="00462738"/>
    <w:rsid w:val="004A1DC4"/>
    <w:rsid w:val="004C4CBD"/>
    <w:rsid w:val="004F50DC"/>
    <w:rsid w:val="00502AC4"/>
    <w:rsid w:val="005042C2"/>
    <w:rsid w:val="00515567"/>
    <w:rsid w:val="005338E7"/>
    <w:rsid w:val="00595BBE"/>
    <w:rsid w:val="005D2E3B"/>
    <w:rsid w:val="005E08DF"/>
    <w:rsid w:val="00642871"/>
    <w:rsid w:val="00671529"/>
    <w:rsid w:val="00683E7B"/>
    <w:rsid w:val="006B6980"/>
    <w:rsid w:val="006E4390"/>
    <w:rsid w:val="00725927"/>
    <w:rsid w:val="007268F9"/>
    <w:rsid w:val="007C09CE"/>
    <w:rsid w:val="007C52B0"/>
    <w:rsid w:val="00816928"/>
    <w:rsid w:val="00827EF2"/>
    <w:rsid w:val="0086105F"/>
    <w:rsid w:val="008E4CB6"/>
    <w:rsid w:val="009007AD"/>
    <w:rsid w:val="009411B4"/>
    <w:rsid w:val="009C40D3"/>
    <w:rsid w:val="009C7535"/>
    <w:rsid w:val="009D0139"/>
    <w:rsid w:val="009E7B4B"/>
    <w:rsid w:val="009F5CDC"/>
    <w:rsid w:val="00A04EEF"/>
    <w:rsid w:val="00A64E0C"/>
    <w:rsid w:val="00A775CF"/>
    <w:rsid w:val="00A97D4A"/>
    <w:rsid w:val="00AB6514"/>
    <w:rsid w:val="00AC06CB"/>
    <w:rsid w:val="00AC5D14"/>
    <w:rsid w:val="00AD31AE"/>
    <w:rsid w:val="00AE1083"/>
    <w:rsid w:val="00B05DFA"/>
    <w:rsid w:val="00B06045"/>
    <w:rsid w:val="00B275CB"/>
    <w:rsid w:val="00BE04BA"/>
    <w:rsid w:val="00C01D69"/>
    <w:rsid w:val="00C35A27"/>
    <w:rsid w:val="00C61055"/>
    <w:rsid w:val="00C9007B"/>
    <w:rsid w:val="00CC3AB5"/>
    <w:rsid w:val="00D92561"/>
    <w:rsid w:val="00E02C2B"/>
    <w:rsid w:val="00E609C3"/>
    <w:rsid w:val="00E66C39"/>
    <w:rsid w:val="00E769CF"/>
    <w:rsid w:val="00ED6C48"/>
    <w:rsid w:val="00F175B8"/>
    <w:rsid w:val="00F37149"/>
    <w:rsid w:val="00F65F5D"/>
    <w:rsid w:val="00F86A3A"/>
    <w:rsid w:val="00FD573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B7093"/>
  <w15:docId w15:val="{7541514C-9371-4674-AD4F-0F0DC7DF6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E1083"/>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AE1083"/>
    <w:pPr>
      <w:spacing w:after="0" w:line="240" w:lineRule="auto"/>
      <w:ind w:right="0"/>
      <w:jc w:val="left"/>
      <w:outlineLvl w:val="0"/>
    </w:pPr>
  </w:style>
  <w:style w:type="paragraph" w:styleId="Heading2">
    <w:name w:val="heading 2"/>
    <w:basedOn w:val="Normal"/>
    <w:next w:val="Normal"/>
    <w:link w:val="Heading2Char"/>
    <w:semiHidden/>
    <w:rsid w:val="00AE1083"/>
    <w:pPr>
      <w:spacing w:line="240" w:lineRule="auto"/>
      <w:outlineLvl w:val="1"/>
    </w:pPr>
  </w:style>
  <w:style w:type="paragraph" w:styleId="Heading3">
    <w:name w:val="heading 3"/>
    <w:basedOn w:val="Normal"/>
    <w:next w:val="Normal"/>
    <w:link w:val="Heading3Char"/>
    <w:semiHidden/>
    <w:rsid w:val="00AE1083"/>
    <w:pPr>
      <w:spacing w:line="240" w:lineRule="auto"/>
      <w:outlineLvl w:val="2"/>
    </w:pPr>
  </w:style>
  <w:style w:type="paragraph" w:styleId="Heading4">
    <w:name w:val="heading 4"/>
    <w:basedOn w:val="Normal"/>
    <w:next w:val="Normal"/>
    <w:link w:val="Heading4Char"/>
    <w:semiHidden/>
    <w:rsid w:val="00AE1083"/>
    <w:pPr>
      <w:spacing w:line="240" w:lineRule="auto"/>
      <w:outlineLvl w:val="3"/>
    </w:pPr>
  </w:style>
  <w:style w:type="paragraph" w:styleId="Heading5">
    <w:name w:val="heading 5"/>
    <w:basedOn w:val="Normal"/>
    <w:next w:val="Normal"/>
    <w:link w:val="Heading5Char"/>
    <w:semiHidden/>
    <w:rsid w:val="00AE1083"/>
    <w:pPr>
      <w:spacing w:line="240" w:lineRule="auto"/>
      <w:outlineLvl w:val="4"/>
    </w:pPr>
  </w:style>
  <w:style w:type="paragraph" w:styleId="Heading6">
    <w:name w:val="heading 6"/>
    <w:basedOn w:val="Normal"/>
    <w:next w:val="Normal"/>
    <w:link w:val="Heading6Char"/>
    <w:semiHidden/>
    <w:rsid w:val="00AE1083"/>
    <w:pPr>
      <w:spacing w:line="240" w:lineRule="auto"/>
      <w:outlineLvl w:val="5"/>
    </w:pPr>
  </w:style>
  <w:style w:type="paragraph" w:styleId="Heading7">
    <w:name w:val="heading 7"/>
    <w:basedOn w:val="Normal"/>
    <w:next w:val="Normal"/>
    <w:link w:val="Heading7Char"/>
    <w:semiHidden/>
    <w:rsid w:val="00AE1083"/>
    <w:pPr>
      <w:spacing w:line="240" w:lineRule="auto"/>
      <w:outlineLvl w:val="6"/>
    </w:pPr>
  </w:style>
  <w:style w:type="paragraph" w:styleId="Heading8">
    <w:name w:val="heading 8"/>
    <w:basedOn w:val="Normal"/>
    <w:next w:val="Normal"/>
    <w:link w:val="Heading8Char"/>
    <w:semiHidden/>
    <w:rsid w:val="00AE1083"/>
    <w:pPr>
      <w:spacing w:line="240" w:lineRule="auto"/>
      <w:outlineLvl w:val="7"/>
    </w:pPr>
  </w:style>
  <w:style w:type="paragraph" w:styleId="Heading9">
    <w:name w:val="heading 9"/>
    <w:basedOn w:val="Normal"/>
    <w:next w:val="Normal"/>
    <w:link w:val="Heading9Char"/>
    <w:semiHidden/>
    <w:rsid w:val="00AE108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108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AE1083"/>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AE1083"/>
    <w:pPr>
      <w:tabs>
        <w:tab w:val="left" w:pos="1701"/>
        <w:tab w:val="left" w:pos="2268"/>
      </w:tabs>
      <w:spacing w:after="120"/>
      <w:ind w:left="1134" w:right="1134"/>
      <w:jc w:val="both"/>
    </w:pPr>
  </w:style>
  <w:style w:type="paragraph" w:customStyle="1" w:styleId="SLG">
    <w:name w:val="__S_L_G"/>
    <w:basedOn w:val="Normal"/>
    <w:next w:val="Normal"/>
    <w:rsid w:val="00AE1083"/>
    <w:pPr>
      <w:keepNext/>
      <w:keepLines/>
      <w:spacing w:before="240" w:after="240" w:line="580" w:lineRule="exact"/>
      <w:ind w:left="1134" w:right="1134"/>
    </w:pPr>
    <w:rPr>
      <w:b/>
      <w:sz w:val="56"/>
    </w:rPr>
  </w:style>
  <w:style w:type="paragraph" w:customStyle="1" w:styleId="SMG">
    <w:name w:val="__S_M_G"/>
    <w:basedOn w:val="Normal"/>
    <w:next w:val="Normal"/>
    <w:rsid w:val="00AE1083"/>
    <w:pPr>
      <w:keepNext/>
      <w:keepLines/>
      <w:spacing w:before="240" w:after="240" w:line="420" w:lineRule="exact"/>
      <w:ind w:left="1134" w:right="1134"/>
    </w:pPr>
    <w:rPr>
      <w:b/>
      <w:sz w:val="40"/>
    </w:rPr>
  </w:style>
  <w:style w:type="paragraph" w:customStyle="1" w:styleId="SSG">
    <w:name w:val="__S_S_G"/>
    <w:basedOn w:val="Normal"/>
    <w:next w:val="Normal"/>
    <w:rsid w:val="00AE1083"/>
    <w:pPr>
      <w:keepNext/>
      <w:keepLines/>
      <w:spacing w:before="240" w:after="240" w:line="300" w:lineRule="exact"/>
      <w:ind w:left="1134" w:right="1134"/>
    </w:pPr>
    <w:rPr>
      <w:b/>
      <w:sz w:val="28"/>
    </w:rPr>
  </w:style>
  <w:style w:type="paragraph" w:customStyle="1" w:styleId="XLargeG">
    <w:name w:val="__XLarge_G"/>
    <w:basedOn w:val="Normal"/>
    <w:next w:val="Normal"/>
    <w:rsid w:val="00AE1083"/>
    <w:pPr>
      <w:keepNext/>
      <w:keepLines/>
      <w:spacing w:before="240" w:after="240" w:line="420" w:lineRule="exact"/>
      <w:ind w:left="1134" w:right="1134"/>
    </w:pPr>
    <w:rPr>
      <w:b/>
      <w:sz w:val="40"/>
    </w:rPr>
  </w:style>
  <w:style w:type="paragraph" w:customStyle="1" w:styleId="Bullet1G">
    <w:name w:val="_Bullet 1_G"/>
    <w:basedOn w:val="Normal"/>
    <w:rsid w:val="00AE1083"/>
    <w:pPr>
      <w:numPr>
        <w:numId w:val="28"/>
      </w:numPr>
      <w:spacing w:after="120"/>
      <w:ind w:right="1134"/>
      <w:jc w:val="both"/>
    </w:pPr>
  </w:style>
  <w:style w:type="paragraph" w:customStyle="1" w:styleId="Bullet2G">
    <w:name w:val="_Bullet 2_G"/>
    <w:basedOn w:val="Normal"/>
    <w:rsid w:val="00AE1083"/>
    <w:pPr>
      <w:numPr>
        <w:numId w:val="29"/>
      </w:numPr>
      <w:spacing w:after="120"/>
      <w:ind w:right="1134"/>
      <w:jc w:val="both"/>
    </w:pPr>
  </w:style>
  <w:style w:type="paragraph" w:customStyle="1" w:styleId="ParaNoG">
    <w:name w:val="_ParaNo._G"/>
    <w:basedOn w:val="SingleTxtG"/>
    <w:rsid w:val="00AE1083"/>
    <w:pPr>
      <w:numPr>
        <w:numId w:val="30"/>
      </w:numPr>
      <w:tabs>
        <w:tab w:val="clear" w:pos="0"/>
      </w:tabs>
    </w:pPr>
  </w:style>
  <w:style w:type="numbering" w:styleId="111111">
    <w:name w:val="Outline List 2"/>
    <w:basedOn w:val="NoList"/>
    <w:semiHidden/>
    <w:rsid w:val="00AE1083"/>
    <w:pPr>
      <w:numPr>
        <w:numId w:val="5"/>
      </w:numPr>
    </w:pPr>
  </w:style>
  <w:style w:type="numbering" w:styleId="1ai">
    <w:name w:val="Outline List 1"/>
    <w:basedOn w:val="NoList"/>
    <w:semiHidden/>
    <w:rsid w:val="00AE1083"/>
    <w:pPr>
      <w:numPr>
        <w:numId w:val="6"/>
      </w:numPr>
    </w:pPr>
  </w:style>
  <w:style w:type="character" w:styleId="EndnoteReference">
    <w:name w:val="endnote reference"/>
    <w:aliases w:val="1_G"/>
    <w:rsid w:val="00AE1083"/>
    <w:rPr>
      <w:rFonts w:ascii="Times New Roman" w:hAnsi="Times New Roman"/>
      <w:sz w:val="18"/>
      <w:vertAlign w:val="superscript"/>
    </w:rPr>
  </w:style>
  <w:style w:type="paragraph" w:styleId="BalloonText">
    <w:name w:val="Balloon Text"/>
    <w:basedOn w:val="Normal"/>
    <w:link w:val="BalloonTextChar"/>
    <w:rsid w:val="00AE108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E1083"/>
    <w:rPr>
      <w:rFonts w:ascii="Tahoma" w:hAnsi="Tahoma" w:cs="Tahoma"/>
      <w:sz w:val="16"/>
      <w:szCs w:val="16"/>
    </w:rPr>
  </w:style>
  <w:style w:type="paragraph" w:styleId="EndnoteText">
    <w:name w:val="endnote text"/>
    <w:aliases w:val="2_G"/>
    <w:basedOn w:val="FootnoteText"/>
    <w:link w:val="EndnoteTextChar"/>
    <w:rsid w:val="00AE1083"/>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AE1083"/>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AE1083"/>
    <w:rPr>
      <w:rFonts w:ascii="Times New Roman" w:hAnsi="Times New Roman"/>
      <w:b/>
      <w:sz w:val="18"/>
    </w:rPr>
  </w:style>
  <w:style w:type="character" w:customStyle="1" w:styleId="FootnoteTextChar">
    <w:name w:val="Footnote Text Char"/>
    <w:aliases w:val="5_G Char"/>
    <w:basedOn w:val="DefaultParagraphFont"/>
    <w:link w:val="FootnoteText"/>
    <w:rsid w:val="00AE1083"/>
    <w:rPr>
      <w:rFonts w:ascii="Times New Roman" w:hAnsi="Times New Roman" w:cs="Times New Roman"/>
      <w:sz w:val="18"/>
      <w:szCs w:val="20"/>
    </w:rPr>
  </w:style>
  <w:style w:type="table" w:styleId="TableGrid">
    <w:name w:val="Table Grid"/>
    <w:basedOn w:val="TableNormal"/>
    <w:rsid w:val="00AE108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AE1083"/>
    <w:rPr>
      <w:rFonts w:ascii="Times New Roman" w:hAnsi="Times New Roman"/>
      <w:sz w:val="18"/>
      <w:vertAlign w:val="superscript"/>
    </w:rPr>
  </w:style>
  <w:style w:type="character" w:styleId="UnresolvedMention">
    <w:name w:val="Unresolved Mention"/>
    <w:basedOn w:val="DefaultParagraphFont"/>
    <w:uiPriority w:val="99"/>
    <w:semiHidden/>
    <w:unhideWhenUsed/>
    <w:rsid w:val="00AB6514"/>
    <w:rPr>
      <w:color w:val="605E5C"/>
      <w:shd w:val="clear" w:color="auto" w:fill="E1DFDD"/>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609C3"/>
    <w:rPr>
      <w:sz w:val="16"/>
      <w:szCs w:val="16"/>
    </w:rPr>
  </w:style>
  <w:style w:type="paragraph" w:styleId="CommentText">
    <w:name w:val="annotation text"/>
    <w:basedOn w:val="Normal"/>
    <w:link w:val="CommentTextChar"/>
    <w:uiPriority w:val="99"/>
    <w:semiHidden/>
    <w:unhideWhenUsed/>
    <w:rsid w:val="00E609C3"/>
    <w:pPr>
      <w:spacing w:line="240" w:lineRule="auto"/>
    </w:pPr>
  </w:style>
  <w:style w:type="character" w:customStyle="1" w:styleId="CommentTextChar">
    <w:name w:val="Comment Text Char"/>
    <w:basedOn w:val="DefaultParagraphFont"/>
    <w:link w:val="CommentText"/>
    <w:uiPriority w:val="99"/>
    <w:semiHidden/>
    <w:rsid w:val="00E609C3"/>
    <w:rPr>
      <w:rFonts w:ascii="Times New Roman" w:hAnsi="Times New Roman" w:cs="Times New Roman"/>
      <w:sz w:val="20"/>
      <w:szCs w:val="20"/>
    </w:rPr>
  </w:style>
  <w:style w:type="character" w:styleId="Hyperlink">
    <w:name w:val="Hyperlink"/>
    <w:basedOn w:val="DefaultParagraphFont"/>
    <w:rsid w:val="00AE1083"/>
    <w:rPr>
      <w:color w:val="0000FF" w:themeColor="hyperlink"/>
      <w:u w:val="none"/>
    </w:rPr>
  </w:style>
  <w:style w:type="character" w:styleId="FollowedHyperlink">
    <w:name w:val="FollowedHyperlink"/>
    <w:basedOn w:val="DefaultParagraphFont"/>
    <w:uiPriority w:val="99"/>
    <w:semiHidden/>
    <w:unhideWhenUsed/>
    <w:rsid w:val="00F37149"/>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E609C3"/>
    <w:rPr>
      <w:b/>
      <w:bCs/>
    </w:rPr>
  </w:style>
  <w:style w:type="character" w:customStyle="1" w:styleId="CommentSubjectChar">
    <w:name w:val="Comment Subject Char"/>
    <w:basedOn w:val="CommentTextChar"/>
    <w:link w:val="CommentSubject"/>
    <w:uiPriority w:val="99"/>
    <w:semiHidden/>
    <w:rsid w:val="00E609C3"/>
    <w:rPr>
      <w:rFonts w:ascii="Times New Roman" w:hAnsi="Times New Roman" w:cs="Times New Roman"/>
      <w:b/>
      <w:bCs/>
      <w:sz w:val="20"/>
      <w:szCs w:val="20"/>
    </w:rPr>
  </w:style>
  <w:style w:type="paragraph" w:styleId="ListParagraph">
    <w:name w:val="List Paragraph"/>
    <w:basedOn w:val="Normal"/>
    <w:uiPriority w:val="34"/>
    <w:qFormat/>
    <w:rsid w:val="00F37149"/>
    <w:pPr>
      <w:tabs>
        <w:tab w:val="num" w:pos="360"/>
      </w:tabs>
      <w:spacing w:after="113" w:line="276" w:lineRule="auto"/>
      <w:ind w:left="720"/>
      <w:contextualSpacing/>
    </w:pPr>
    <w:rPr>
      <w:rFonts w:cs="Mangal"/>
      <w:kern w:val="1"/>
      <w:sz w:val="22"/>
      <w:szCs w:val="24"/>
      <w:lang w:val="en-AU" w:bidi="hi-IN"/>
    </w:rPr>
  </w:style>
  <w:style w:type="paragraph" w:styleId="Revision">
    <w:name w:val="Revision"/>
    <w:hidden/>
    <w:uiPriority w:val="99"/>
    <w:semiHidden/>
    <w:rsid w:val="00F3714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UKR/CO/6" TargetMode="External"/><Relationship Id="rId13" Type="http://schemas.openxmlformats.org/officeDocument/2006/relationships/hyperlink" Target="http://undocs.org/en/CCPR/C/112/D/2026/2011" TargetMode="External"/><Relationship Id="rId18" Type="http://schemas.openxmlformats.org/officeDocument/2006/relationships/hyperlink" Target="http://undocs.org/en/CERD/C/PSE/CO/1-2" TargetMode="External"/><Relationship Id="rId3" Type="http://schemas.openxmlformats.org/officeDocument/2006/relationships/hyperlink" Target="http://undocs.org/en/CRPD/C/18/D/22/2014" TargetMode="External"/><Relationship Id="rId7" Type="http://schemas.openxmlformats.org/officeDocument/2006/relationships/hyperlink" Target="http://undocs.org/en/CCPR/C/114/D/2134/2012" TargetMode="External"/><Relationship Id="rId12" Type="http://schemas.openxmlformats.org/officeDocument/2006/relationships/hyperlink" Target="http://undocs.org/en/CCPR/C/112/D/2098/2011" TargetMode="External"/><Relationship Id="rId17" Type="http://schemas.openxmlformats.org/officeDocument/2006/relationships/hyperlink" Target="http://undocs.org/en/CEDAW/C/PSE/CO/1" TargetMode="External"/><Relationship Id="rId2" Type="http://schemas.openxmlformats.org/officeDocument/2006/relationships/hyperlink" Target="http://undocs.org/en/A/72/55" TargetMode="External"/><Relationship Id="rId16" Type="http://schemas.openxmlformats.org/officeDocument/2006/relationships/hyperlink" Target="http://undocs.org/en/CAT/C/PSE/CO/1" TargetMode="External"/><Relationship Id="rId1" Type="http://schemas.openxmlformats.org/officeDocument/2006/relationships/hyperlink" Target="http://undocs.org/en/A/70/354" TargetMode="External"/><Relationship Id="rId6" Type="http://schemas.openxmlformats.org/officeDocument/2006/relationships/hyperlink" Target="http://undocs.org/en/CCPR/C/GEO/CO/3" TargetMode="External"/><Relationship Id="rId11" Type="http://schemas.openxmlformats.org/officeDocument/2006/relationships/hyperlink" Target="http://undocs.org/en/CCPR/C/120/D/2267/2013" TargetMode="External"/><Relationship Id="rId5" Type="http://schemas.openxmlformats.org/officeDocument/2006/relationships/hyperlink" Target="http://undocs.org/en/CCPR/C/MDA/CO/2" TargetMode="External"/><Relationship Id="rId15" Type="http://schemas.openxmlformats.org/officeDocument/2006/relationships/hyperlink" Target="http://undocs.org/en/A/HRC/49/87" TargetMode="External"/><Relationship Id="rId10" Type="http://schemas.openxmlformats.org/officeDocument/2006/relationships/hyperlink" Target="http://undocs.org/en/E/C.12/CAF/CO/1" TargetMode="External"/><Relationship Id="rId19" Type="http://schemas.openxmlformats.org/officeDocument/2006/relationships/hyperlink" Target="http://undocs.org/en/CRC/C/PSE/CO/1" TargetMode="External"/><Relationship Id="rId4" Type="http://schemas.openxmlformats.org/officeDocument/2006/relationships/hyperlink" Target="http://undocs.org/en/CRPD/C/PSE/1" TargetMode="External"/><Relationship Id="rId9" Type="http://schemas.openxmlformats.org/officeDocument/2006/relationships/hyperlink" Target="http://undocs.org/en/CRC/C/IRQ/CO/2-4" TargetMode="External"/><Relationship Id="rId14" Type="http://schemas.openxmlformats.org/officeDocument/2006/relationships/hyperlink" Target="http://undocs.org/en/A/HRC/49/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9784</Words>
  <Characters>52117</Characters>
  <Application>Microsoft Office Word</Application>
  <DocSecurity>0</DocSecurity>
  <Lines>746</Lines>
  <Paragraphs>101</Paragraphs>
  <ScaleCrop>false</ScaleCrop>
  <HeadingPairs>
    <vt:vector size="2" baseType="variant">
      <vt:variant>
        <vt:lpstr>Title</vt:lpstr>
      </vt:variant>
      <vt:variant>
        <vt:i4>1</vt:i4>
      </vt:variant>
    </vt:vector>
  </HeadingPairs>
  <TitlesOfParts>
    <vt:vector size="1" baseType="lpstr">
      <vt:lpstr>CRPD/C/28/D/67/2019</vt:lpstr>
    </vt:vector>
  </TitlesOfParts>
  <Company>DCM</Company>
  <LinksUpToDate>false</LinksUpToDate>
  <CharactersWithSpaces>61868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CRPD/C/28/D/67/2019</dc:title>
  <dc:subject>2306850</dc:subject>
  <dc:creator>AVT</dc:creator>
  <cp:keywords/>
  <dc:description/>
  <cp:lastModifiedBy>Maria Rosario Corazon Gatmaytan</cp:lastModifiedBy>
  <cp:revision>2</cp:revision>
  <cp:lastPrinted>2023-05-22T11:23:00Z</cp:lastPrinted>
  <dcterms:created xsi:type="dcterms:W3CDTF">2023-05-22T11:24:00Z</dcterms:created>
  <dcterms:modified xsi:type="dcterms:W3CDTF">2023-05-22T11:24:00Z</dcterms:modified>
</cp:coreProperties>
</file>