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인종차별철폐위원회 제17-19차 최종견해</w:t>
      </w:r>
    </w:p>
    <w:p>
      <w:pPr>
        <w:ind w:left="0" w:firstLine="0" w:hanging="0"/>
        <w:jc w:val="center"/>
      </w:pPr>
      <w:r>
        <w:rPr>
          <w:rFonts w:ascii="Times New Roman" w:hAnsi="굴림체" w:cs="굴림체" w:eastAsia="굴림체"/>
          <w:sz w:val="24"/>
        </w:rPr>
        <w:t>Concluding observations of the CERD</w:t>
      </w:r>
    </w:p>
    <w:p>
      <w:pPr>
        <w:ind w:left="0" w:firstLine="0" w:hanging="0"/>
        <w:jc w:val="center"/>
      </w:pPr>
      <w:r>
        <w:rPr>
          <w:rFonts w:ascii="Times New Roman" w:hAnsi="굴림체" w:cs="굴림체" w:eastAsia="굴림체"/>
          <w:sz w:val="24"/>
        </w:rPr>
        <w:t>배포일 2019. 1. 10.</w:t>
      </w:r>
    </w:p>
    <w:p>
      <w:pPr>
        <w:ind w:left="0" w:firstLine="0" w:hanging="0"/>
        <w:jc w:val="right"/>
      </w:pPr>
      <w:r>
        <w:rPr>
          <w:rFonts w:ascii="Times New Roman" w:hAnsi="굴림체" w:cs="굴림체" w:eastAsia="굴림체"/>
          <w:sz w:val="24"/>
        </w:rPr>
        <w:t>제17-19차 최종견해(2019)</w:t>
      </w:r>
    </w:p>
    <w:p>
      <w:pPr>
        <w:ind w:left="0" w:firstLine="0" w:hanging="0"/>
        <w:jc w:val="right"/>
      </w:pPr>
      <w:r>
        <w:rPr>
          <w:rFonts w:ascii="Times New Roman" w:hAnsi="굴림체" w:cs="굴림체" w:eastAsia="굴림체"/>
          <w:sz w:val="24"/>
        </w:rPr>
        <w:t>CERD/C/KOR/CO/17-19</w:t>
      </w:r>
    </w:p>
    <w:p>
      <w:pPr>
        <w:ind w:left="0" w:firstLine="0" w:hanging="0"/>
        <w:jc w:val="right"/>
      </w:pPr>
      <w:r>
        <w:rPr>
          <w:rFonts w:ascii="Times New Roman" w:hAnsi="굴림체" w:cs="굴림체" w:eastAsia="굴림체"/>
          <w:sz w:val="24"/>
        </w:rPr>
        <w:t>인종</w:t>
      </w:r>
    </w:p>
    <w:p>
      <w:pPr>
        <w:ind w:left="0" w:firstLine="0" w:hanging="0"/>
        <w:jc w:val="right"/>
      </w:pPr>
      <w:r>
        <w:rPr>
          <w:rFonts w:ascii="Times New Roman" w:hAnsi="굴림체" w:cs="굴림체" w:eastAsia="굴림체"/>
          <w:sz w:val="24"/>
        </w:rPr>
        <w:t>인종차별철폐위원회</w:t>
      </w:r>
    </w:p>
    <w:p>
      <w:pPr>
        <w:ind w:left="0" w:firstLine="0" w:hanging="0"/>
        <w:jc w:val="right"/>
      </w:pPr>
      <w:r>
        <w:rPr>
          <w:rFonts w:ascii="Times New Roman" w:hAnsi="굴림체" w:cs="굴림체" w:eastAsia="굴림체"/>
          <w:sz w:val="24"/>
        </w:rPr>
        <w:t>번역: 외교부</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제17-19차 최종견해(2019)</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대한민국</w:t>
      </w:r>
    </w:p>
    <w:p>
      <w:pPr>
        <w:ind w:left="0" w:firstLine="0" w:hanging="0"/>
        <w:jc w:val="left"/>
      </w:pPr>
      <w:r>
        <w:rPr>
          <w:rFonts w:ascii="Times New Roman" w:hAnsi="굴림체" w:cs="굴림체" w:eastAsia="굴림체"/>
          <w:sz w:val="24"/>
        </w:rPr>
        <w:t>1. 인종차별철폐위원회(이하 “위원회”)는 2018.12.3-4간 개최된 제2691 및 제2692차 회의(CERD/C/SR.2691 및 CERD/C/SR.2692)에서 대한민국의 제17-19차 통합 정기보고서(CERD/C/KOR/17-19)를 심의하였다. 위원회는 2018.12.11-12간 개최된 제2703 및 제2704차 회의(CERD/C/SR.2703 및 2704)에서 현재의 최종견해를 채택하였다.</w:t>
      </w:r>
    </w:p>
    <w:p>
      <w:pPr>
        <w:ind w:left="0" w:firstLine="0" w:hanging="0"/>
        <w:jc w:val="center"/>
      </w:pPr>
      <w:r>
        <w:rPr>
          <w:rFonts w:ascii="Times New Roman" w:hAnsi="굴림체" w:cs="굴림체" w:eastAsia="굴림체"/>
          <w:sz w:val="24"/>
        </w:rPr>
        <w:t>A. 서 문 (Introduction)</w:t>
      </w:r>
    </w:p>
    <w:p>
      <w:pPr>
        <w:ind w:left="0" w:firstLine="0" w:hanging="0"/>
        <w:jc w:val="left"/>
      </w:pPr>
      <w:r>
        <w:rPr>
          <w:rFonts w:ascii="Times New Roman" w:hAnsi="굴림체" w:cs="굴림체" w:eastAsia="굴림체"/>
          <w:sz w:val="24"/>
        </w:rPr>
        <w:t>2. 위원회는 당사국의 제17-19차 보고서 제출을 환영한다. 위원회는 당사국의 고위급 대표단과의 솔직하고 건설적인 대화에 사의를 표한다. 위원회는 당사국 보고서 심의 중에 위원회의 질문에 대해 제공한 답변과 대화 이후에 제출된 추가 서면 정보에 대하여도 대표단에게 감사한다. 또한 위원회는 국가인권위원회 및 활기차고 역동적인 시민사회단체의 참여를 환영한다.</w:t>
      </w:r>
    </w:p>
    <w:p>
      <w:pPr>
        <w:ind w:left="0" w:firstLine="0" w:hanging="0"/>
        <w:jc w:val="center"/>
      </w:pPr>
      <w:r>
        <w:rPr>
          <w:rFonts w:ascii="Times New Roman" w:hAnsi="굴림체" w:cs="굴림체" w:eastAsia="굴림체"/>
          <w:sz w:val="24"/>
        </w:rPr>
        <w:t>B. 긍정적 사항 (Positive aspects)</w:t>
      </w:r>
    </w:p>
    <w:p>
      <w:pPr>
        <w:ind w:left="0" w:firstLine="0" w:hanging="0"/>
        <w:jc w:val="left"/>
      </w:pPr>
      <w:r>
        <w:rPr>
          <w:rFonts w:ascii="Times New Roman" w:hAnsi="굴림체" w:cs="굴림체" w:eastAsia="굴림체"/>
          <w:sz w:val="24"/>
        </w:rPr>
        <w:t>3. 위원회는 아래를 포함하여, 인종차별을 철폐하고 다양성을 증진하기 위해 당사국이 행한 여러 긍정적 진전사항 및 활동을 환영한다.</w:t>
      </w:r>
    </w:p>
    <w:p>
      <w:pPr>
        <w:ind w:left="0" w:firstLine="0" w:hanging="0"/>
        <w:jc w:val="left"/>
      </w:pPr>
      <w:r>
        <w:rPr>
          <w:rFonts w:ascii="Times New Roman" w:hAnsi="굴림체" w:cs="굴림체" w:eastAsia="굴림체"/>
          <w:sz w:val="24"/>
        </w:rPr>
        <w:t xml:space="preserve">  (a) 인신매매죄에 대한 처벌을 규정한 형법 개정(2013년 4월 5일)</w:t>
      </w:r>
    </w:p>
    <w:p>
      <w:pPr>
        <w:ind w:left="0" w:firstLine="0" w:hanging="0"/>
        <w:jc w:val="left"/>
      </w:pPr>
      <w:r>
        <w:rPr>
          <w:rFonts w:ascii="Times New Roman" w:hAnsi="굴림체" w:cs="굴림체" w:eastAsia="굴림체"/>
          <w:sz w:val="24"/>
        </w:rPr>
        <w:t xml:space="preserve">  (b) 난민법 제정(2013년 7월 1월)</w:t>
      </w:r>
    </w:p>
    <w:p>
      <w:pPr>
        <w:ind w:left="0" w:firstLine="0" w:hanging="0"/>
        <w:jc w:val="left"/>
      </w:pPr>
      <w:r>
        <w:rPr>
          <w:rFonts w:ascii="Times New Roman" w:hAnsi="굴림체" w:cs="굴림체" w:eastAsia="굴림체"/>
          <w:sz w:val="24"/>
        </w:rPr>
        <w:t xml:space="preserve">  (c) 제3차 외국인정책기본계획 수립(2018년 2월 12일)</w:t>
      </w:r>
    </w:p>
    <w:p>
      <w:pPr>
        <w:ind w:left="0" w:firstLine="0" w:hanging="0"/>
        <w:jc w:val="left"/>
      </w:pPr>
      <w:r>
        <w:rPr>
          <w:rFonts w:ascii="Times New Roman" w:hAnsi="굴림체" w:cs="굴림체" w:eastAsia="굴림체"/>
          <w:sz w:val="24"/>
        </w:rPr>
        <w:t xml:space="preserve">  (d) 제3차 다문화가족정책기본계획 수립(2018년 2월 12일)</w:t>
      </w:r>
    </w:p>
    <w:p>
      <w:pPr>
        <w:ind w:left="0" w:firstLine="0" w:hanging="0"/>
        <w:jc w:val="left"/>
      </w:pPr>
      <w:r>
        <w:rPr>
          <w:rFonts w:ascii="Times New Roman" w:hAnsi="굴림체" w:cs="굴림체" w:eastAsia="굴림체"/>
          <w:sz w:val="24"/>
        </w:rPr>
        <w:t xml:space="preserve">  (e) 제3차 국가인권정책기본계획 수립(2018년 8월 7일)</w:t>
      </w:r>
    </w:p>
    <w:p>
      <w:pPr>
        <w:ind w:left="0" w:firstLine="0" w:hanging="0"/>
        <w:jc w:val="left"/>
      </w:pPr>
      <w:r>
        <w:rPr>
          <w:rFonts w:ascii="Times New Roman" w:hAnsi="굴림체" w:cs="굴림체" w:eastAsia="굴림체"/>
          <w:sz w:val="24"/>
        </w:rPr>
        <w:t>4. 위원회는 2015년 11월 5일 「초국가적 조직범죄 방지협약」 및 「인신매매, 특히 여성과 아동의 인신매매 방지, 억제 및 처벌을 위한 의정서」(이하 “팔레르모 의정서”)을 비준한 것을 긍정적으로 주목한다.</w:t>
      </w:r>
    </w:p>
    <w:p>
      <w:pPr>
        <w:ind w:left="0" w:firstLine="0" w:hanging="0"/>
        <w:jc w:val="center"/>
      </w:pPr>
      <w:r>
        <w:rPr>
          <w:rFonts w:ascii="Times New Roman" w:hAnsi="굴림체" w:cs="굴림체" w:eastAsia="굴림체"/>
          <w:sz w:val="24"/>
        </w:rPr>
        <w:t>C. 우려 및 권고사항 (Concerns and recommendations)</w:t>
      </w:r>
    </w:p>
    <w:p>
      <w:pPr>
        <w:ind w:left="0" w:firstLine="0" w:hanging="0"/>
        <w:jc w:val="center"/>
      </w:pPr>
      <w:r>
        <w:rPr>
          <w:rFonts w:ascii="Times New Roman" w:hAnsi="굴림체" w:cs="굴림체" w:eastAsia="굴림체"/>
          <w:sz w:val="24"/>
        </w:rPr>
        <w:t>인종차별 관련 입법 및 정의</w:t>
      </w:r>
    </w:p>
    <w:p>
      <w:pPr>
        <w:ind w:left="0" w:firstLine="0" w:hanging="0"/>
        <w:jc w:val="left"/>
      </w:pPr>
      <w:r>
        <w:rPr>
          <w:rFonts w:ascii="Times New Roman" w:hAnsi="굴림체" w:cs="굴림체" w:eastAsia="굴림체"/>
          <w:sz w:val="24"/>
        </w:rPr>
        <w:t>5. 위원회는 당사국이 위원회의 지난 권고(CERD/C/KOR/CO/15-16)에도 불구하고 인종차별을 금지하고 정의하는 포괄적인 법률을 제정하지 못한 데에 다시 한 번 유감을 표명한다. 위원회는 차별의 특정한 측면을 다루는 다른 현행 법률들과 대한민국헌법 *1 ) 제11조 1항이 인종차별철폐협약(이하 “협약”)에 따른 차별금지 사유의 완전한 정의 및 서술에 대한 충분한 대체물이 아님을 강조한다. 또한, 위원회는 인종차별적 동기를 가중처벌 요소로 규정하여 보다 중한 처벌이 이루어지도록 하는 형법상 조항이 부재한 데 대해 우려를 표한다(협약 제1, 2, 4조).</w:t>
      </w:r>
    </w:p>
    <w:p>
      <w:pPr>
        <w:ind w:left="0" w:firstLine="0" w:hanging="0"/>
        <w:jc w:val="left"/>
      </w:pPr>
      <w:r>
        <w:rPr>
          <w:rFonts w:ascii="Times New Roman" w:hAnsi="굴림체" w:cs="굴림체" w:eastAsia="굴림체"/>
          <w:sz w:val="24"/>
        </w:rPr>
        <w:t>6. 위원회는 당사국이 협약 제1조에 부합하도록 모든 차별금지사유에 기반한 직접적 및 간접적 인종차별을 정의하고 금지하는 포괄적 법률의 제정을 조속히 추진해야 한다는 지난 권고(CERD/C/KOR/CO/15-16)를 반복한다. 또한, 위원회는 당사국이 협약 제4조에 따라 인종차별 동기를 형사범죄의 가중처벌 사유로 고려하도록 형법을 개정해야 한다는 지난 권고(CERD/C/KOR/CO/15-16)를 반복한다. 더 나아가, 위원회는 당사국이 인종차별에 기인한 범죄에 관한 통계를 인종, 피부색, 민족, 출신국, 종교, 체류자격, 성별 및 서로 교차하는 형태의 차별을 확인할 수 있는 기타 지표로 나누어 수집할 수 있는 매커니즘을 수립할 것을 권고한다.</w:t>
      </w:r>
    </w:p>
    <w:p>
      <w:pPr>
        <w:ind w:left="0" w:firstLine="0" w:hanging="0"/>
        <w:jc w:val="center"/>
      </w:pPr>
      <w:r>
        <w:rPr>
          <w:rFonts w:ascii="Times New Roman" w:hAnsi="굴림체" w:cs="굴림체" w:eastAsia="굴림체"/>
          <w:sz w:val="24"/>
        </w:rPr>
        <w:t>인종주의적 혐오발언</w:t>
      </w:r>
    </w:p>
    <w:p>
      <w:pPr>
        <w:ind w:left="0" w:firstLine="0" w:hanging="0"/>
        <w:jc w:val="left"/>
      </w:pPr>
      <w:r>
        <w:rPr>
          <w:rFonts w:ascii="Times New Roman" w:hAnsi="굴림체" w:cs="굴림체" w:eastAsia="굴림체"/>
          <w:sz w:val="24"/>
        </w:rPr>
        <w:t>7. 위원회는 현재 당사국내 이주민과 난민에 대한 혐오와 불신의 분위기를 우려한다. 또한, 위원회는 특히 2018년 5월 약 500명의 예멘난민들이 제주에 도착하면서 악화된, 인터넷과 소셜 미디어를 포함하여 언론매체에 표현된 혐오발언, 인종 혐오 선동, 인종적 우월성에 근거한 사상 전파 및 인종적 선입견의 증가를 우려한다. 더 나아가, 위원회는 유효한 허가 없이 당사국에 거주하는 이주민을 지칭하기 위해 공식 문서에서 사용되는 “불법체류자”와 같은 비하적인 용어들이 이들에 대한 부정적 인식과 차별을 악화시킨다는 점에 주목하면서, 동 용어의 사용을 우려한다(협약 제2, 4, 7조).</w:t>
      </w:r>
    </w:p>
    <w:p>
      <w:pPr>
        <w:ind w:left="0" w:firstLine="0" w:hanging="0"/>
        <w:jc w:val="left"/>
      </w:pPr>
      <w:r>
        <w:rPr>
          <w:rFonts w:ascii="Times New Roman" w:hAnsi="굴림체" w:cs="굴림체" w:eastAsia="굴림체"/>
          <w:sz w:val="24"/>
        </w:rPr>
        <w:t>8. 인종혐오발언 대응에 관한 위원회 일반권고 제35호(2013)에 비추어, 위원회는 당사국에 다음과 같이 권고한다 :</w:t>
      </w:r>
    </w:p>
    <w:p>
      <w:pPr>
        <w:ind w:left="0" w:firstLine="0" w:hanging="0"/>
        <w:jc w:val="left"/>
      </w:pPr>
      <w:r>
        <w:rPr>
          <w:rFonts w:ascii="Times New Roman" w:hAnsi="굴림체" w:cs="굴림체" w:eastAsia="굴림체"/>
          <w:sz w:val="24"/>
        </w:rPr>
        <w:t xml:space="preserve">  (a) 혐오발언에 단호하게 대응하기 위한 조치를 취하고:</w:t>
      </w:r>
    </w:p>
    <w:p>
      <w:pPr>
        <w:ind w:left="0" w:firstLine="0" w:hanging="0"/>
        <w:jc w:val="left"/>
      </w:pPr>
      <w:r>
        <w:rPr>
          <w:rFonts w:ascii="Times New Roman" w:hAnsi="굴림체" w:cs="굴림체" w:eastAsia="굴림체"/>
          <w:sz w:val="24"/>
        </w:rPr>
        <w:t xml:space="preserve">	(i) 특히 무슬림 난민과 같은 이주민과 난민에 대한 선입견, 오해 및 잘못된 정보에 대응하며;</w:t>
      </w:r>
    </w:p>
    <w:p>
      <w:pPr>
        <w:ind w:left="0" w:firstLine="0" w:hanging="0"/>
        <w:jc w:val="left"/>
      </w:pPr>
      <w:r>
        <w:rPr>
          <w:rFonts w:ascii="Times New Roman" w:hAnsi="굴림체" w:cs="굴림체" w:eastAsia="굴림체"/>
          <w:sz w:val="24"/>
        </w:rPr>
        <w:t xml:space="preserve">	(ii) 난민의 권리에 대한 주민의 인식을 제고하고;</w:t>
      </w:r>
    </w:p>
    <w:p>
      <w:pPr>
        <w:ind w:left="0" w:firstLine="0" w:hanging="0"/>
        <w:jc w:val="left"/>
      </w:pPr>
      <w:r>
        <w:rPr>
          <w:rFonts w:ascii="Times New Roman" w:hAnsi="굴림체" w:cs="굴림체" w:eastAsia="굴림체"/>
          <w:sz w:val="24"/>
        </w:rPr>
        <w:t xml:space="preserve">	(iii) 난민과 지역주민 간의 이해와 관용을 증진하기 위한 전략을 채택;</w:t>
      </w:r>
    </w:p>
    <w:p>
      <w:pPr>
        <w:ind w:left="0" w:firstLine="0" w:hanging="0"/>
        <w:jc w:val="left"/>
      </w:pPr>
      <w:r>
        <w:rPr>
          <w:rFonts w:ascii="Times New Roman" w:hAnsi="굴림체" w:cs="굴림체" w:eastAsia="굴림체"/>
          <w:sz w:val="24"/>
        </w:rPr>
        <w:t xml:space="preserve">  (b) 협약 제4조가 요구하는 바와 같이, 인종적 우월성에 근거한 사상을 전파하거나 외국인에 대한 인종혐오를 선동하는 개인 또는 집단을 파악하기 위해 언론, 인터넷 및 소셜 네트워크를 지속 모니터링하고, 이러한 행위를 조사하고 만일 유죄일 경우 이러한 개인 또는 집단을 적절한 처벌을 가할 것 부과;</w:t>
      </w:r>
    </w:p>
    <w:p>
      <w:pPr>
        <w:ind w:left="0" w:firstLine="0" w:hanging="0"/>
        <w:jc w:val="left"/>
      </w:pPr>
      <w:r>
        <w:rPr>
          <w:rFonts w:ascii="Times New Roman" w:hAnsi="굴림체" w:cs="굴림체" w:eastAsia="굴림체"/>
          <w:sz w:val="24"/>
        </w:rPr>
        <w:t xml:space="preserve">  (c) 방송언어가이드라인의 실효적 이행 확보;</w:t>
      </w:r>
    </w:p>
    <w:p>
      <w:pPr>
        <w:ind w:left="0" w:firstLine="0" w:hanging="0"/>
        <w:jc w:val="left"/>
      </w:pPr>
      <w:r>
        <w:rPr>
          <w:rFonts w:ascii="Times New Roman" w:hAnsi="굴림체" w:cs="굴림체" w:eastAsia="굴림체"/>
          <w:sz w:val="24"/>
        </w:rPr>
        <w:t xml:space="preserve">  (d) “불법체류자” 용어의 사용을 철폐하고 장래에 그 사용을 방지하기 위한 관련 법령 및 공식 문서 검토;</w:t>
      </w:r>
    </w:p>
    <w:p>
      <w:pPr>
        <w:ind w:left="0" w:firstLine="0" w:hanging="0"/>
        <w:jc w:val="left"/>
      </w:pPr>
      <w:r>
        <w:rPr>
          <w:rFonts w:ascii="Times New Roman" w:hAnsi="굴림체" w:cs="굴림체" w:eastAsia="굴림체"/>
          <w:sz w:val="24"/>
        </w:rPr>
        <w:t xml:space="preserve">	(e) 위원회는 당사국이 사회 전반에서 이주민에 대한 적대감을 감소시키고 이주민의 사회통합을 촉진할 수 있는 환경을 조성하기 위한 조치를 취할 것을 권고한다.</w:t>
      </w:r>
    </w:p>
    <w:p>
      <w:pPr>
        <w:ind w:left="0" w:firstLine="0" w:hanging="0"/>
        <w:jc w:val="center"/>
      </w:pPr>
      <w:r>
        <w:rPr>
          <w:rFonts w:ascii="Times New Roman" w:hAnsi="굴림체" w:cs="굴림체" w:eastAsia="굴림체"/>
          <w:sz w:val="24"/>
        </w:rPr>
        <w:t>이주노동자</w:t>
      </w:r>
    </w:p>
    <w:p>
      <w:pPr>
        <w:ind w:left="0" w:firstLine="0" w:hanging="0"/>
        <w:jc w:val="left"/>
      </w:pPr>
      <w:r>
        <w:rPr>
          <w:rFonts w:ascii="Times New Roman" w:hAnsi="굴림체" w:cs="굴림체" w:eastAsia="굴림체"/>
          <w:sz w:val="24"/>
        </w:rPr>
        <w:t>9. 위원회는 2012년 고용허가제의 개정에도 불구하고, 이주노동자들이 여전히 다음과 같은 어려움에 직면하고 있다는 것을 우려한다: a) 사업장 변경 횟수 제한; b) 국내 최장 체류허가기간의 제한; c) 가족 결합 불가능; d) 매우 제한된 여타 비자 취득 가능성으로 인한 장기 또는 영주 체류 허가에 대한 이주노동자의 접근 저해 및 비정기 체류 위험성 증가(협약 제5조).</w:t>
      </w:r>
    </w:p>
    <w:p>
      <w:pPr>
        <w:ind w:left="0" w:firstLine="0" w:hanging="0"/>
        <w:jc w:val="left"/>
      </w:pPr>
      <w:r>
        <w:rPr>
          <w:rFonts w:ascii="Times New Roman" w:hAnsi="굴림체" w:cs="굴림체" w:eastAsia="굴림체"/>
          <w:sz w:val="24"/>
        </w:rPr>
        <w:t>10. 위원회는 a) 이주노동자의 가족 결합 촉진; b) 사업장 변경 제한 폐지; c) 체류 가능 기간 연장; d) 여타 비자 취득 허용을 위하여 당사국이 고용허가제와 이주노동자에 적용가능한 여타 법률을 개정할 것을 권고한다:</w:t>
      </w:r>
    </w:p>
    <w:p>
      <w:pPr>
        <w:ind w:left="0" w:firstLine="0" w:hanging="0"/>
        <w:jc w:val="left"/>
      </w:pPr>
      <w:r>
        <w:rPr>
          <w:rFonts w:ascii="Times New Roman" w:hAnsi="굴림체" w:cs="굴림체" w:eastAsia="굴림체"/>
          <w:sz w:val="24"/>
        </w:rPr>
        <w:t>11. 위원회는 근로기준법이 농·어업에 적용되지 않고, 제조, 건설 및 축산업에서는 대개 실제적으로 적용되지 않고 있으며, 동 분야에 종사하는 이주노동자들의 근로조건이 불충분한 수준에 머물러 있다는 보고에 대해 우려를 표한다. 또한, 위원회는 이주노동자들이 어업에서 내국인들과 같은 최저임금의 혜택을 받지 못하며 보고에 따르면 이익이 내국인 노동자들 사이에서만 배분된다는 점에 대해 우려를 표한다. 아울러, 위원회는 이주노동자들이 자신들이 노출된 물리적 및 언어적 학대, 노동 착취와 괴롭힘을 신고하는 데 어려움을 겪고 있는 점에 대해 우려를 표한다(협약 제1, 5, 6조).</w:t>
      </w:r>
    </w:p>
    <w:p>
      <w:pPr>
        <w:ind w:left="0" w:firstLine="0" w:hanging="0"/>
        <w:jc w:val="left"/>
      </w:pPr>
      <w:r>
        <w:rPr>
          <w:rFonts w:ascii="Times New Roman" w:hAnsi="굴림체" w:cs="굴림체" w:eastAsia="굴림체"/>
          <w:sz w:val="24"/>
        </w:rPr>
        <w:t>12. 외국인 차별에 관한 위원회 일반권고 제30호(2005)에 비추어, 위원회는 당사국이 차별적 목적이나 효과를 가질 수 있는 고용 규정과 관행을 포함한 근로 조건과 취업 요건에 있어 외국인에 대한 차별을 철폐하기 위해 이주노동자에게 적용가능한 관련 법률에 대해 필요한 개정을 할 것을 권고한다. 또한 위원회는 당사국이 체류 자격과 관계없이 외국인 고용사업장에 대한 근로 감독 강화를 포함하여 내국인과 외국인 노동자간의 차별에 단호히 대응할 것을 권고한다. 더 나아가, 위원회는 이주노동자의 권리 침해시 적절한 구제수단에 대한 접근을 보장하며, 가해자에게 책임을 묻고 적절한 처벌로 제재가 가해지도록 보장할 것을 권고한다. 마지막으로, 위원회는 당사국이 차기 정기 보고서에 근로 감독 또는 여타 기관에 의한 방문, 위반사항 적발, 제재, 구제 및 처벌에 관한 통계를 포함할 것을 요청한다.</w:t>
      </w:r>
    </w:p>
    <w:p>
      <w:pPr>
        <w:ind w:left="0" w:firstLine="0" w:hanging="0"/>
        <w:jc w:val="center"/>
      </w:pPr>
      <w:r>
        <w:rPr>
          <w:rFonts w:ascii="Times New Roman" w:hAnsi="굴림체" w:cs="굴림체" w:eastAsia="굴림체"/>
          <w:sz w:val="24"/>
        </w:rPr>
        <w:t>난민 및 난민신청자</w:t>
      </w:r>
    </w:p>
    <w:p>
      <w:pPr>
        <w:ind w:left="0" w:firstLine="0" w:hanging="0"/>
        <w:jc w:val="left"/>
      </w:pPr>
      <w:r>
        <w:rPr>
          <w:rFonts w:ascii="Times New Roman" w:hAnsi="굴림체" w:cs="굴림체" w:eastAsia="굴림체"/>
          <w:sz w:val="24"/>
        </w:rPr>
        <w:t>13. 위원회는 당사국이 유엔 난민최고대표와 함께 난민심사관 교육을 실시하고, 신속, 투명, 공정한 난민인정심사 절차를 촉진하고, 출입국항에서 난민신청을 받기 위해 경주한 노력을 주목하는 한편, 여전히 난민인정률이 극도로 낮은 데 우려를 표한다. 또한, 난민불인정 결정이 오직 한국어와 영어, 단 두 언어로만 통지되며 그 결정에 이의신청하기 위한 절차에 대한 포괄적 정보가 제공되지 않는 등 난민신청자들이 여전히 이의신청 절차에서 어려움을 겪고 있음에 우려를 표한다. 더 나아가, 위원회는 몇몇 경우에 난민인정심사 면접이 비전문적으로 수행되었다는 보고에 대해 우려를 표한다. 아울러, 위원회는 당사국이 다른 지역 난민들에 비해 특징 지역 출신 난민들의 재정착을 우선시하는 것으로 보이는 데에 우려를 표한다(제 5, 6 조).</w:t>
      </w:r>
    </w:p>
    <w:p>
      <w:pPr>
        <w:ind w:left="0" w:firstLine="0" w:hanging="0"/>
        <w:jc w:val="left"/>
      </w:pPr>
      <w:r>
        <w:rPr>
          <w:rFonts w:ascii="Times New Roman" w:hAnsi="굴림체" w:cs="굴림체" w:eastAsia="굴림체"/>
          <w:sz w:val="24"/>
        </w:rPr>
        <w:t>14. 위원회는 당사국이 난민신청자가 난민인정심사 절차 전 과정에서 전문적이고 능력있는 인력의 지원을 받고, 그들이 이해할 수 있는 언어로 동 과정에 대한 명확한 정보에 접근할 수 있도록 보장할 것을 권고한다. 또한 위원회는 당사국이 난민신청자들을 상대하는 출입국 담당 공무원 및 통역인에 대한 인권 교육을 지속 실시 및 강화할 것을 권고한다. 더 나아가, 위원회는 당사국이 난민인정심사가 전문적인 방식으로 수행되도록 보장하기 위한 조치들을 취하기를 권고한다. 아울러, 위원회는 당사국이 난민신청자와 난민에 관련된 모든 결정이 공정하며, 인종·피부색·국적·민족 등이 아닌 보호 필요성에만 근거하여 이루어지도록 보장할 것을 요청한다.</w:t>
      </w:r>
    </w:p>
    <w:p>
      <w:pPr>
        <w:ind w:left="0" w:firstLine="0" w:hanging="0"/>
        <w:jc w:val="center"/>
      </w:pPr>
      <w:r>
        <w:rPr>
          <w:rFonts w:ascii="Times New Roman" w:hAnsi="굴림체" w:cs="굴림체" w:eastAsia="굴림체"/>
          <w:sz w:val="24"/>
        </w:rPr>
        <w:t>미등록 이주민</w:t>
      </w:r>
    </w:p>
    <w:p>
      <w:pPr>
        <w:ind w:left="0" w:firstLine="0" w:hanging="0"/>
        <w:jc w:val="left"/>
      </w:pPr>
      <w:r>
        <w:rPr>
          <w:rFonts w:ascii="Times New Roman" w:hAnsi="굴림체" w:cs="굴림체" w:eastAsia="굴림체"/>
          <w:sz w:val="24"/>
        </w:rPr>
        <w:t>15. 위원회는 미등록 이주민들이 당사국에서 탄압을 지속적으로 받고 있으며, 출입국관리 및 경찰 공무원에 의한 단속 과정에서 빈번한 부상 사건들과 몇몇의 사망 사건들이 발생한 것에 대해 우려를 표명한다. 또한, 위원회는 이주노동자 노동조합(이주노조, MTU)에 대해 단속을 실시하고, 경우에 따라서는 동 조합 간부를 강제 추방한 것에 대해 우려를 표한다. 더 나아가, 위원회는 때로는 사망에까지 이르는 인권옹호가에 대한 탄압 활동에 대해 우려를 표한다. 아울러, 인권 침해를 입은 미등록 이주민들이 자신의 체류 자격 때문에 법집행당국에 (인권 침해 사실을) 신고하기를 꺼려하는 것에 대해 우려를 표한다(제 5, 6 조).</w:t>
      </w:r>
    </w:p>
    <w:p>
      <w:pPr>
        <w:ind w:left="0" w:firstLine="0" w:hanging="0"/>
        <w:jc w:val="left"/>
      </w:pPr>
      <w:r>
        <w:rPr>
          <w:rFonts w:ascii="Times New Roman" w:hAnsi="굴림체" w:cs="굴림체" w:eastAsia="굴림체"/>
          <w:sz w:val="24"/>
        </w:rPr>
        <w:t>16. 위원회는 당사국이 노동조합원을 포함한 미등록 이주노동자를 대상으로 한 폭력을 방지하고, 경찰 및 출입국 관리 공무원을 대상으로 실시되는 인권옹호자 보호, 집회·결사의 자유, 노동조합 결성 권리 등에 대한 인권교육을 강화하기 위한 조치를 실시할 것을 권고한다. 또한, 위원회는 당사국이 모든 노동자들의 강제추방에 대한 두려움 없이 노동조합 활동에 참여할 수 있는 권리를 보장해줄 것을 권고한다. 더 나아가, 피해자들이 체류자격을 침해받지 않고 인권침해 사실을 신고할 수 있으며, 적절한 구제수단에 접근할 수 있도록 보장하기 위한 조치를 실시할 것을 권고한다. 위원회는 당사국이 단속으로 인해 체포·강제추방된 이주민 수 및 동 과정에서 과도한 무력이 사용된 경우 관련 조사 건수에 대한 정보를 제공할 것을 요청한다.</w:t>
      </w:r>
    </w:p>
    <w:p>
      <w:pPr>
        <w:ind w:left="0" w:firstLine="0" w:hanging="0"/>
        <w:jc w:val="left"/>
      </w:pPr>
      <w:r>
        <w:rPr>
          <w:rFonts w:ascii="Times New Roman" w:hAnsi="굴림체" w:cs="굴림체" w:eastAsia="굴림체"/>
          <w:sz w:val="24"/>
        </w:rPr>
        <w:t>17. 위원회는 출입국관리법 제63조에 따라 즉시 강제추방이 이루어질 수 없는 이주민 보호 기간이 법무부의 권한으로 3개월마다 무기한 연장될 수 있다는 점에 대해 우려를 표한다. 아울러, 보호된 미등록 이주민들이 행정 심판을 제기할 권리가 있는 반면, 이러한 심판들을 독립적인 기구가 아닌 법무부가 검토한다는 점에 대해 우려를 표한다. 더 나아가, 위원회는 당사국의 출입국관리 관련 법령이 아동의 보호를 허용하고 그들의 최상의 이익을 고려하지 않는다는 점에 대해 우려를 표한다(제 2, 5, 6 조).</w:t>
      </w:r>
    </w:p>
    <w:p>
      <w:pPr>
        <w:ind w:left="0" w:firstLine="0" w:hanging="0"/>
        <w:jc w:val="left"/>
      </w:pPr>
      <w:r>
        <w:rPr>
          <w:rFonts w:ascii="Times New Roman" w:hAnsi="굴림체" w:cs="굴림체" w:eastAsia="굴림체"/>
          <w:sz w:val="24"/>
        </w:rPr>
        <w:t>18. 위원회는 당사국이 즉시 강제추방이 이루어질 수 없는 이주민 보호 시, 그러한 보호의 적법성 여부가 독립적인 기구에 의해 정기적으로 검토될 수 있도록 보장하기 위해 출입국관리법 제63조를 개정할 것을 권고한다. 아울러, 난민신청자에 대한 보호가 최후의 수단으로 인식되고 가능한 최단 기간 동안만 이루어지도록 하고, 이주민에 대한 보호 기간 제한 설정 및 보호 이외 다른 대안적 조치를 우선 적용할 것을 권고한다. 더 나아가, 아동 및 미성년자의 구금을 피하고, 아동의 최상의 이익과 관련된 조항을 포함하도록 출입국관리법을 개정할 것을 권고한다.</w:t>
      </w:r>
    </w:p>
    <w:p>
      <w:pPr>
        <w:ind w:left="0" w:firstLine="0" w:hanging="0"/>
        <w:jc w:val="center"/>
      </w:pPr>
      <w:r>
        <w:rPr>
          <w:rFonts w:ascii="Times New Roman" w:hAnsi="굴림체" w:cs="굴림체" w:eastAsia="굴림체"/>
          <w:sz w:val="24"/>
        </w:rPr>
        <w:t>외국인 여성 보호</w:t>
      </w:r>
    </w:p>
    <w:p>
      <w:pPr>
        <w:ind w:left="0" w:firstLine="0" w:hanging="0"/>
        <w:jc w:val="left"/>
      </w:pPr>
      <w:r>
        <w:rPr>
          <w:rFonts w:ascii="Times New Roman" w:hAnsi="굴림체" w:cs="굴림체" w:eastAsia="굴림체"/>
          <w:sz w:val="24"/>
        </w:rPr>
        <w:t>19. 위원회는 젠더 기반 폭력 피해를 당한 이주 여성들의 사법 및 지원에 대한 접근성을 높이기 위해 2014년 이민법 개정 및 ‘성폭력 피해자에 대한 특칙’ 신설에도 불구하고, 이들이 여전히 적절한 보상을 받지 못하고 있는데 대해 우려를 표한다. 또한, 위원회는 젠더 기반 폭력 피해를 당한 미등록 이주 여성들이 사법 절차가 진행되는 동안 체류 기간을 연장할 수 있는 권리가 있으나, 여전히 해당 사건 종결 후 강제 추방의 위험이 있어 이들이 학대 사실을 신고하지 못하게 하는데 우려를 표한다(제 5, 6 조).</w:t>
      </w:r>
    </w:p>
    <w:p>
      <w:pPr>
        <w:ind w:left="0" w:firstLine="0" w:hanging="0"/>
        <w:jc w:val="left"/>
      </w:pPr>
      <w:r>
        <w:rPr>
          <w:rFonts w:ascii="Times New Roman" w:hAnsi="굴림체" w:cs="굴림체" w:eastAsia="굴림체"/>
          <w:sz w:val="24"/>
        </w:rPr>
        <w:t>20. 위원회는 당사국에 다음과 같이 권고한다 :</w:t>
      </w:r>
    </w:p>
    <w:p>
      <w:pPr>
        <w:ind w:left="0" w:firstLine="0" w:hanging="0"/>
        <w:jc w:val="left"/>
      </w:pPr>
      <w:r>
        <w:rPr>
          <w:rFonts w:ascii="Times New Roman" w:hAnsi="굴림체" w:cs="굴림체" w:eastAsia="굴림체"/>
          <w:sz w:val="24"/>
        </w:rPr>
        <w:t xml:space="preserve">  (a) 젠더 기반 폭력으로부터 이주 여성을 보호하고, 피해 여성들이 체류자격과 무관히 적절한 법률, 의료, 심리적 지원을 제공받을 수 있도록 보장하며, 관련 가해자들이 처벌될 수 있도록 보장하기 위한 조치 실시;</w:t>
      </w:r>
    </w:p>
    <w:p>
      <w:pPr>
        <w:ind w:left="0" w:firstLine="0" w:hanging="0"/>
        <w:jc w:val="left"/>
      </w:pPr>
      <w:r>
        <w:rPr>
          <w:rFonts w:ascii="Times New Roman" w:hAnsi="굴림체" w:cs="굴림체" w:eastAsia="굴림체"/>
          <w:sz w:val="24"/>
        </w:rPr>
        <w:t xml:space="preserve">  (b) 젠더 기반 폭력을 당한 미등록 이주민들이 사건 종결 후에도 국내에 체류할 수 있는 가능성 부여;</w:t>
      </w:r>
    </w:p>
    <w:p>
      <w:pPr>
        <w:ind w:left="0" w:firstLine="0" w:hanging="0"/>
        <w:jc w:val="left"/>
      </w:pPr>
      <w:r>
        <w:rPr>
          <w:rFonts w:ascii="Times New Roman" w:hAnsi="굴림체" w:cs="굴림체" w:eastAsia="굴림체"/>
          <w:sz w:val="24"/>
        </w:rPr>
        <w:t xml:space="preserve">  (c) 이주 여성이 젠더 기반 폭력의 피해자로서 활용할 수 있는 서비스와 구제 수단에 대한 명확한 정보를 자신들이 이해할 수 있는 언어로 제공받을 수 있도록 보장</w:t>
      </w:r>
    </w:p>
    <w:p>
      <w:pPr>
        <w:ind w:left="0" w:firstLine="0" w:hanging="0"/>
        <w:jc w:val="center"/>
      </w:pPr>
      <w:r>
        <w:rPr>
          <w:rFonts w:ascii="Times New Roman" w:hAnsi="굴림체" w:cs="굴림체" w:eastAsia="굴림체"/>
          <w:sz w:val="24"/>
        </w:rPr>
        <w:t>“결혼이민자” 및 “다문화가족”</w:t>
      </w:r>
    </w:p>
    <w:p>
      <w:pPr>
        <w:ind w:left="0" w:firstLine="0" w:hanging="0"/>
        <w:jc w:val="left"/>
      </w:pPr>
      <w:r>
        <w:rPr>
          <w:rFonts w:ascii="Times New Roman" w:hAnsi="굴림체" w:cs="굴림체" w:eastAsia="굴림체"/>
          <w:sz w:val="24"/>
        </w:rPr>
        <w:t>21. 위원회는 국민기초생활보장제도가 대한민국 국민과 혼인 중인 외국인(“결혼 이민자”)이 임신 중인 사람, 자녀를 양육하거나 (대한민국 국적의) 배우자의 가족 구성원을 부양하는 경우에만 적용이 된다는 점에 대해 우려를 표한다. 또한, 이혼 중인 “결혼이민자”의 경우, 이들이 미성년자 자녀를 양육하지 않거나, 배우자의 가족 구성원을 부양하지 않거나, 혼인 단절에 본인 책임이 없다는 점을 입증하지 못하는 등 전통적인 여성 역할을 수행하지 못할 경우 국내 체류할 수 없다는 점에 대해 우려를 표한다. 더 나아가, 위원회는 이혼 후 한국 국적 자녀와 함께 본국으로 귀국하는 “결혼이민자”들의 경우 당사국이 한국 아버지에 의한 자녀 부양을 보장할 수 있는 충분한 조치를 취하지 못하고 있음에 대해 우려를 표명한다(제 5 조).</w:t>
      </w:r>
    </w:p>
    <w:p>
      <w:pPr>
        <w:ind w:left="0" w:firstLine="0" w:hanging="0"/>
        <w:jc w:val="left"/>
      </w:pPr>
      <w:r>
        <w:rPr>
          <w:rFonts w:ascii="Times New Roman" w:hAnsi="굴림체" w:cs="굴림체" w:eastAsia="굴림체"/>
          <w:sz w:val="24"/>
        </w:rPr>
        <w:t>22. 인종차별의 성인지적(gender-related) 차원에 관한 위원회 일반권고 제25호(2000년)을 상기하면서, 위원회는 당사국이 국민기초생활보장제도를 조건 없이 모든 “결혼이민자”에게 확대 적용하고, 모든 “결혼이민자”에게 동등한 지원과 혜택을 보장하기 위한 조치를 실시할 것을 권고한다. 또한, 위원회는 “결혼이민자”가 이혼 후에도 이혼 사유와 무관히, 그리고 자녀 양육 및 배우자 가족 구성원 부양 여부와 상관없이 국내에 계속 거주할 수 있도록 체류 자격 변경을 허용할 것을 권고한다. 더 나아가, 위원회는 이혼 후 한국 국적 자녀와 함께 본국으로 귀국한 “결혼이민자”에 대한 이혼 절차 및 자녀 양육과 관련하여 적절한 행정적 및 사법적 지원을 제공하기 위한 노력을 확대해나갈 것을 권고한다.</w:t>
      </w:r>
    </w:p>
    <w:p>
      <w:pPr>
        <w:ind w:left="0" w:firstLine="0" w:hanging="0"/>
        <w:jc w:val="left"/>
      </w:pPr>
      <w:r>
        <w:rPr>
          <w:rFonts w:ascii="Times New Roman" w:hAnsi="굴림체" w:cs="굴림체" w:eastAsia="굴림체"/>
          <w:sz w:val="24"/>
        </w:rPr>
        <w:t>23. 위원회는 다문화가족지원법상 “다문화가족”의 정의가 적어도 한명의 한국인을 포함한 가족만을 의미함으로써 양 배우자가 모두 외국인이거나 재외동포의 결혼은 배제된 데 대해 우려를 표한다. 또한, 위원회는 이러한 배제가 난민신청자 및 난민을 포함한 이주 가족이 “다문화가족”만 특정하게 제공받는 혜택과 지원의 범위에서 벗어나있는 점에 대해 우려를 표한다(제 2, 5 조).</w:t>
      </w:r>
    </w:p>
    <w:p>
      <w:pPr>
        <w:ind w:left="0" w:firstLine="0" w:hanging="0"/>
        <w:jc w:val="left"/>
      </w:pPr>
      <w:r>
        <w:rPr>
          <w:rFonts w:ascii="Times New Roman" w:hAnsi="굴림체" w:cs="굴림체" w:eastAsia="굴림체"/>
          <w:sz w:val="24"/>
        </w:rPr>
        <w:t>24. 위원회는 당사국이 “다문화가족”의 정의를 재검토하여 (외국인 부부로 구성된 가족 및 재외동포로 구성된 가족과 같이) 적어도 한명의 구성원이 한국인이 아닌 모든 가족으로 확대하여 차별 없이 모든 가족에게 동일한 혜택을 제공할 것을 권고한다.</w:t>
      </w:r>
    </w:p>
    <w:p>
      <w:pPr>
        <w:ind w:left="0" w:firstLine="0" w:hanging="0"/>
        <w:jc w:val="center"/>
      </w:pPr>
      <w:r>
        <w:rPr>
          <w:rFonts w:ascii="Times New Roman" w:hAnsi="굴림체" w:cs="굴림체" w:eastAsia="굴림체"/>
          <w:sz w:val="24"/>
        </w:rPr>
        <w:t>인신매매</w:t>
      </w:r>
    </w:p>
    <w:p>
      <w:pPr>
        <w:ind w:left="0" w:firstLine="0" w:hanging="0"/>
        <w:jc w:val="left"/>
      </w:pPr>
      <w:r>
        <w:rPr>
          <w:rFonts w:ascii="Times New Roman" w:hAnsi="굴림체" w:cs="굴림체" w:eastAsia="굴림체"/>
          <w:sz w:val="24"/>
        </w:rPr>
        <w:t>25. 위원회는 당사국이 여전히 인신매매에 관한 포괄적 법률이 부재한 데 대해 우려를 표명한다. 아울러, 예술흥행비자(E-6) 및 사증 면제로 입국한 이주여성의 강제 성착취에 관한 보고에 우려한다. 더 나아가, 위원회는 (사증) 면제 제도에도 불구, 미등록 이주민들이 특히 인신매매에 취약한 반면, 추방의 두려움 때문에 신고하는 것을 계속 꺼려하고 있는 데 대해 우려를 표한다. 또한, 인신매매 가해자 처벌율이 낮은데 대해 우려한다(제 2, 5, 6 조).</w:t>
      </w:r>
    </w:p>
    <w:p>
      <w:pPr>
        <w:ind w:left="0" w:firstLine="0" w:hanging="0"/>
        <w:jc w:val="left"/>
      </w:pPr>
      <w:r>
        <w:rPr>
          <w:rFonts w:ascii="Times New Roman" w:hAnsi="굴림체" w:cs="굴림체" w:eastAsia="굴림체"/>
          <w:sz w:val="24"/>
        </w:rPr>
        <w:t>26. 위원회는 당사국에 다음과 같이 권고한다 :</w:t>
      </w:r>
    </w:p>
    <w:p>
      <w:pPr>
        <w:ind w:left="0" w:firstLine="0" w:hanging="0"/>
        <w:jc w:val="left"/>
      </w:pPr>
      <w:r>
        <w:rPr>
          <w:rFonts w:ascii="Times New Roman" w:hAnsi="굴림체" w:cs="굴림체" w:eastAsia="굴림체"/>
          <w:sz w:val="24"/>
        </w:rPr>
        <w:t xml:space="preserve">  (a) (「인신, 특히 여성과 아동의 매매 방지, 억제 및 처벌을 위한 의정서」에 합치하도록) 인신매매에 관한 포괄적 법률을 제정하고, 동 법률을 대중에게 알리기 위한 인식제고 캠페인 수행;</w:t>
      </w:r>
    </w:p>
    <w:p>
      <w:pPr>
        <w:ind w:left="0" w:firstLine="0" w:hanging="0"/>
        <w:jc w:val="left"/>
      </w:pPr>
      <w:r>
        <w:rPr>
          <w:rFonts w:ascii="Times New Roman" w:hAnsi="굴림체" w:cs="굴림체" w:eastAsia="굴림체"/>
          <w:sz w:val="24"/>
        </w:rPr>
        <w:t xml:space="preserve">  (b) 인신매매 피해자들이 당국에 신고할 수 있도록 지원하고, 피해자에 대한 지원을 제공하며, 구제절차가 종료될 때까지 피해자들에게 안정적인 체류자격과 기본 생계지원을 제공;</w:t>
      </w:r>
    </w:p>
    <w:p>
      <w:pPr>
        <w:ind w:left="0" w:firstLine="0" w:hanging="0"/>
        <w:jc w:val="left"/>
      </w:pPr>
      <w:r>
        <w:rPr>
          <w:rFonts w:ascii="Times New Roman" w:hAnsi="굴림체" w:cs="굴림체" w:eastAsia="굴림체"/>
          <w:sz w:val="24"/>
        </w:rPr>
        <w:t xml:space="preserve">  (c) 인신매매에 대한 조사가 전문적인 방식으로 수행되고 가해자 처벌이 이루어지며, 인신매매 피해자들이 재활을 포함한 보상에 접근할 수 있도록 보장</w:t>
      </w:r>
    </w:p>
    <w:p>
      <w:pPr>
        <w:ind w:left="0" w:firstLine="0" w:hanging="0"/>
        <w:jc w:val="center"/>
      </w:pPr>
      <w:r>
        <w:rPr>
          <w:rFonts w:ascii="Times New Roman" w:hAnsi="굴림체" w:cs="굴림체" w:eastAsia="굴림체"/>
          <w:sz w:val="24"/>
        </w:rPr>
        <w:t>출생 등록</w:t>
      </w:r>
    </w:p>
    <w:p>
      <w:pPr>
        <w:ind w:left="0" w:firstLine="0" w:hanging="0"/>
        <w:jc w:val="left"/>
      </w:pPr>
      <w:r>
        <w:rPr>
          <w:rFonts w:ascii="Times New Roman" w:hAnsi="굴림체" w:cs="굴림체" w:eastAsia="굴림체"/>
          <w:sz w:val="24"/>
        </w:rPr>
        <w:t>27. 위원회는 외국인들은 자국 대사관에서 (출생)등록을 해야 하기 때문에 외국인 부모 사이에서 출생한 아동은 체계적으로 (출생)등록되지 않는다는 점을 우려한다. 또한, 위원회는 한국인 아버지와 외국인 어머니 사이에서 출생한 혼외 자녀의 국적 취득 절차가 어머니의 국적국에서 발행한 (아동 명의) 여권 제출을 요구하는 점에 대해 우려한다. 그 결과로, 외국인 여권을 발급받을 수 없는 경우 아동은 미등록 상태로 남아 사회적 혜택을 받지 못하게 된다(제 1, 2, 5 조).</w:t>
      </w:r>
    </w:p>
    <w:p>
      <w:pPr>
        <w:ind w:left="0" w:firstLine="0" w:hanging="0"/>
        <w:jc w:val="left"/>
      </w:pPr>
      <w:r>
        <w:rPr>
          <w:rFonts w:ascii="Times New Roman" w:hAnsi="굴림체" w:cs="굴림체" w:eastAsia="굴림체"/>
          <w:sz w:val="24"/>
        </w:rPr>
        <w:t>28. 외국인에 대한 차별에 관한 위원회 일반 권고 제30호(2004)에 비추어, 위원회는 출생 등록이 다양한 인권 향유의 전제 조건임을 강조한다. 위원회는 당사국이 국적 및 체류자격과 무관하게 국내에서 출생한 모든 아동에 대한 등록이 이루어지도록 보장하기 위한 조치를 실시할 것을 권고한다. 또한, 한국인 아버지와 외국인 어머니 사이에서 출생한 혼외 자녀의 한국 국적 취득 제한을 폐지할 것을 권고한다. 더 나아가, 당사국이 1961년 무국적자 감소에 관한 협약에 비준할 것을 권고한다.</w:t>
      </w:r>
    </w:p>
    <w:p>
      <w:pPr>
        <w:ind w:left="0" w:firstLine="0" w:hanging="0"/>
        <w:jc w:val="center"/>
      </w:pPr>
      <w:r>
        <w:rPr>
          <w:rFonts w:ascii="Times New Roman" w:hAnsi="굴림체" w:cs="굴림체" w:eastAsia="굴림체"/>
          <w:sz w:val="24"/>
        </w:rPr>
        <w:t>교육 접근</w:t>
      </w:r>
    </w:p>
    <w:p>
      <w:pPr>
        <w:ind w:left="0" w:firstLine="0" w:hanging="0"/>
        <w:jc w:val="left"/>
      </w:pPr>
      <w:r>
        <w:rPr>
          <w:rFonts w:ascii="Times New Roman" w:hAnsi="굴림체" w:cs="굴림체" w:eastAsia="굴림체"/>
          <w:sz w:val="24"/>
        </w:rPr>
        <w:t>29. 위원회는 교육기본법에 따라 교육이 내국인에게만 의무인 것에 대해 우려한다. 또한, 이주 아동들이 학교에 등록할 권리가 있으나 입학이 학교장 자유재량에 맡겨져 있어, 일부 이주 아동들이 학교에서 입학 거부를 하였거나 이들의 부모들이 학교 등록을 못하여 결국 입학을 못하는 사례가 발생하고 있는 데 대해 우려를 표한다. 더 나아가, 위원회는 이주 아동의 대안학교 등록 관행이 차별적이며 한국사회로의 통합에 부정적인 영향을 미치는 점에 대해 우려한다(제 1, 2, 5 조).</w:t>
      </w:r>
    </w:p>
    <w:p>
      <w:pPr>
        <w:ind w:left="0" w:firstLine="0" w:hanging="0"/>
        <w:jc w:val="left"/>
      </w:pPr>
      <w:r>
        <w:rPr>
          <w:rFonts w:ascii="Times New Roman" w:hAnsi="굴림체" w:cs="굴림체" w:eastAsia="굴림체"/>
          <w:sz w:val="24"/>
        </w:rPr>
        <w:t>30. 위원회는 당사국이 모든 아동에게 차별없이 의무 교육이 확대 적용될 수 있도록 교육기본법 제정될 수 있도록 교육기본법을 제정할 것을 권고한다. 아울러, 이주민 공동체 및 학교 교장단을 포함하여, 아동의 교육에 대한 권리에 관한 인식을 제고할 것을 권고한다. 더 나아가, 이주 아동의 한국사회로의 통합을 강화하기 위해 정규학교에서 이주 아동의 등록률을 제고하기 위한 조치를 실시할 것을 권고한다.</w:t>
      </w:r>
    </w:p>
    <w:p>
      <w:pPr>
        <w:ind w:left="0" w:firstLine="0" w:hanging="0"/>
        <w:jc w:val="center"/>
      </w:pPr>
      <w:r>
        <w:rPr>
          <w:rFonts w:ascii="Times New Roman" w:hAnsi="굴림체" w:cs="굴림체" w:eastAsia="굴림체"/>
          <w:sz w:val="24"/>
        </w:rPr>
        <w:t>사회 보장 접근</w:t>
      </w:r>
    </w:p>
    <w:p>
      <w:pPr>
        <w:ind w:left="0" w:firstLine="0" w:hanging="0"/>
        <w:jc w:val="left"/>
      </w:pPr>
      <w:r>
        <w:rPr>
          <w:rFonts w:ascii="Times New Roman" w:hAnsi="굴림체" w:cs="굴림체" w:eastAsia="굴림체"/>
          <w:sz w:val="24"/>
        </w:rPr>
        <w:t>31. 위원회는 이주 아동을 포함한 이주민들의 낮은 건강보험제도 가입률에 대해 우려한다. 당사국이 이주민의 건강보험 적용 범위를 확대할 계획인 반면, 이주민의 보험료를 내국인보다 높게 책정할 예정인 점에 대해 우려를 표한다. 아울러, 위원회는 몇 가지 범주의 이주민들이 사회보장제도에서 배제되어 있고 국민기초생활보장제도가 난민과 특정 범주의 결혼이주민(임신 중이거나, 배우자의 자녀를 양육 또는 가족 구성원을 부양)에게만 적용되어 대다수의 이주민들이 기초생활보장의 수급권자가 될 수 없다는 점에 우려를 표한다. 더 나아가, 위원회는 국가인권위원회에 따르면 긴급복지지원제도가 범죄의 피해자 및 가해자 모두 이주민인 경우 지원 대상에서 배제된다는 점에 대해 우려를 표명한다(제 1, 2, 5 조).</w:t>
      </w:r>
    </w:p>
    <w:p>
      <w:pPr>
        <w:ind w:left="0" w:firstLine="0" w:hanging="0"/>
        <w:jc w:val="left"/>
      </w:pPr>
      <w:r>
        <w:rPr>
          <w:rFonts w:ascii="Times New Roman" w:hAnsi="굴림체" w:cs="굴림체" w:eastAsia="굴림체"/>
          <w:sz w:val="24"/>
        </w:rPr>
        <w:t>32. 위원회는 당사국에 다음과 같이 권고한다 :</w:t>
      </w:r>
    </w:p>
    <w:p>
      <w:pPr>
        <w:ind w:left="0" w:firstLine="0" w:hanging="0"/>
        <w:jc w:val="left"/>
      </w:pPr>
      <w:r>
        <w:rPr>
          <w:rFonts w:ascii="Times New Roman" w:hAnsi="굴림체" w:cs="굴림체" w:eastAsia="굴림체"/>
          <w:sz w:val="24"/>
        </w:rPr>
        <w:t xml:space="preserve">  (a) 이주민에 대한 건강보험 적용 범위 확대 및 국민건강보험이 적용되지 않는 외국인의 자녀를 포함한 모든 이주 아동에 대한 건강보험 적용을 위한 조치 실시, 모든 이주민들이 내국인과 동일한 수준의 보험료를 납부하고 국민건강보험의 적용을 받을 수 있도록 제도 개정;</w:t>
      </w:r>
    </w:p>
    <w:p>
      <w:pPr>
        <w:ind w:left="0" w:firstLine="0" w:hanging="0"/>
        <w:jc w:val="left"/>
      </w:pPr>
      <w:r>
        <w:rPr>
          <w:rFonts w:ascii="Times New Roman" w:hAnsi="굴림체" w:cs="굴림체" w:eastAsia="굴림체"/>
          <w:sz w:val="24"/>
        </w:rPr>
        <w:t xml:space="preserve">  (b) 국내에 거주하는 모든 사람이 국적과 무관하게 기본적인 사회적 지원을 받을 수 있도록 보장하기 위해 사회보장정책을 재검토;</w:t>
      </w:r>
    </w:p>
    <w:p>
      <w:pPr>
        <w:ind w:left="0" w:firstLine="0" w:hanging="0"/>
        <w:jc w:val="left"/>
      </w:pPr>
      <w:r>
        <w:rPr>
          <w:rFonts w:ascii="Times New Roman" w:hAnsi="굴림체" w:cs="굴림체" w:eastAsia="굴림체"/>
          <w:sz w:val="24"/>
        </w:rPr>
        <w:t xml:space="preserve">  (c) 긴급복지지원제도에 대하여 모든 사람에게 차별없이 동등한 신청 자격 요건이 적용될 수 있도록 보장하기 위한 조치 실시</w:t>
      </w:r>
    </w:p>
    <w:p>
      <w:pPr>
        <w:ind w:left="0" w:firstLine="0" w:hanging="0"/>
        <w:jc w:val="left"/>
      </w:pPr>
      <w:r>
        <w:rPr>
          <w:rFonts w:ascii="Times New Roman" w:hAnsi="굴림체" w:cs="굴림체" w:eastAsia="굴림체"/>
          <w:sz w:val="24"/>
        </w:rPr>
        <w:t>33. 위원회는 당사국과 상호보증협정을 체결한 국가의 국민만 범죄피해자보호법의 혜택을 받음으로써 대다수의 외국인들이 당사국과 이러한 협정이 부재한 국가 출신이라는 점 때문에 대다수의 외국인들이 구제를 못 받는 점에 대해 우려한다(제 1, 6 조).</w:t>
      </w:r>
    </w:p>
    <w:p>
      <w:pPr>
        <w:ind w:left="0" w:firstLine="0" w:hanging="0"/>
        <w:jc w:val="left"/>
      </w:pPr>
      <w:r>
        <w:rPr>
          <w:rFonts w:ascii="Times New Roman" w:hAnsi="굴림체" w:cs="굴림체" w:eastAsia="굴림체"/>
          <w:sz w:val="24"/>
        </w:rPr>
        <w:t>34. 형사사법 체계의 관리와 기능에 있어서 인종차별의 방지에 대한 위원회 일반권고 제31호(2004)에 비추어, 위원회는 관할권 내의 모든 사람의 실효적 구제에 대한 권리를 보장하기 위해, 특히 범죄에 취약한 미등록 이주민을 포함하여 모든 외국인에게 범죄피해자보호법이 적용될 수 있도록 개정할 것을 권고한다.</w:t>
      </w:r>
    </w:p>
    <w:p>
      <w:pPr>
        <w:ind w:left="0" w:firstLine="0" w:hanging="0"/>
        <w:jc w:val="center"/>
      </w:pPr>
      <w:r>
        <w:rPr>
          <w:rFonts w:ascii="Times New Roman" w:hAnsi="굴림체" w:cs="굴림체" w:eastAsia="굴림체"/>
          <w:sz w:val="24"/>
        </w:rPr>
        <w:t>D. 기타 권고사항 (Other recommendations)</w:t>
      </w:r>
    </w:p>
    <w:p>
      <w:pPr>
        <w:ind w:left="0" w:firstLine="0" w:hanging="0"/>
        <w:jc w:val="center"/>
      </w:pPr>
      <w:r>
        <w:rPr>
          <w:rFonts w:ascii="Times New Roman" w:hAnsi="굴림체" w:cs="굴림체" w:eastAsia="굴림체"/>
          <w:sz w:val="24"/>
        </w:rPr>
        <w:t>여타 기구 비준</w:t>
      </w:r>
    </w:p>
    <w:p>
      <w:pPr>
        <w:ind w:left="0" w:firstLine="0" w:hanging="0"/>
        <w:jc w:val="left"/>
      </w:pPr>
      <w:r>
        <w:rPr>
          <w:rFonts w:ascii="Times New Roman" w:hAnsi="굴림체" w:cs="굴림체" w:eastAsia="굴림체"/>
          <w:sz w:val="24"/>
        </w:rPr>
        <w:t>35. 모든 인권의 불가분성을 유념하면서, 위원회는 아직 비준이 되지 않은 국제인권기구, 특히「강제실종으로부터 모든 사람을 보호하기 위한 국제협약」, 「모든 이주노동자와 그 가족의 권리 보호를 위한 국제협약」등 인종차별의 대상이 될 수 있는 집단과 직접적인 관련이 있는 조항을 포함한 조약의 비준을 검토할 것을 촉구한다. 또한, 위원회는 당사국이 1961년 무국적자 감소에 관한 협약 및 가사노동자에 관한 ILO 제189호 협약을 비준할 것을 권고한다.</w:t>
      </w:r>
    </w:p>
    <w:p>
      <w:pPr>
        <w:ind w:left="0" w:firstLine="0" w:hanging="0"/>
        <w:jc w:val="center"/>
      </w:pPr>
      <w:r>
        <w:rPr>
          <w:rFonts w:ascii="Times New Roman" w:hAnsi="굴림체" w:cs="굴림체" w:eastAsia="굴림체"/>
          <w:sz w:val="24"/>
        </w:rPr>
        <w:t>더반 선언 및 행동계획 후속조치</w:t>
      </w:r>
    </w:p>
    <w:p>
      <w:pPr>
        <w:ind w:left="0" w:firstLine="0" w:hanging="0"/>
        <w:jc w:val="left"/>
      </w:pPr>
      <w:r>
        <w:rPr>
          <w:rFonts w:ascii="Times New Roman" w:hAnsi="굴림체" w:cs="굴림체" w:eastAsia="굴림체"/>
          <w:sz w:val="24"/>
        </w:rPr>
        <w:t>36. 위원회 일반권고 제33호(2009)에 비추어, 위원회는 당사국이 더반 검토회의(2009년 4월)의 결과 문건을 고려하여「인종주의, 인종차별, 외국인혐오 및 관련 불관용 철폐에 관한 세계회의(2001)」에서 채택된 더반선언 및 행동계획을 시행하고, 이를 보고할 것을 권고한다.</w:t>
      </w:r>
    </w:p>
    <w:p>
      <w:pPr>
        <w:ind w:left="0" w:firstLine="0" w:hanging="0"/>
        <w:jc w:val="center"/>
      </w:pPr>
      <w:r>
        <w:rPr>
          <w:rFonts w:ascii="Times New Roman" w:hAnsi="굴림체" w:cs="굴림체" w:eastAsia="굴림체"/>
          <w:sz w:val="24"/>
        </w:rPr>
        <w:t>아프리카 후손을 위한 10년</w:t>
      </w:r>
    </w:p>
    <w:p>
      <w:pPr>
        <w:ind w:left="0" w:firstLine="0" w:hanging="0"/>
        <w:jc w:val="left"/>
      </w:pPr>
      <w:r>
        <w:rPr>
          <w:rFonts w:ascii="Times New Roman" w:hAnsi="굴림체" w:cs="굴림체" w:eastAsia="굴림체"/>
          <w:sz w:val="24"/>
        </w:rPr>
        <w:t>37. 유엔 총회 결의 68/237에 비추어, 위원회는 당사국이 아프리카 후손에 대한 인종차별에 관한 위원회 일반권고 제34호(2011)를 고려하면서, 차기 보고서에 아프리카 후손을 위한 10년 프레임워크에서 채택된 구체적 조치에 관한 명확한 정보를 포함할 것을 요청한다.</w:t>
      </w:r>
    </w:p>
    <w:p>
      <w:pPr>
        <w:ind w:left="0" w:firstLine="0" w:hanging="0"/>
        <w:jc w:val="center"/>
      </w:pPr>
      <w:r>
        <w:rPr>
          <w:rFonts w:ascii="Times New Roman" w:hAnsi="굴림체" w:cs="굴림체" w:eastAsia="굴림체"/>
          <w:sz w:val="24"/>
        </w:rPr>
        <w:t>시민사회와의 협의</w:t>
      </w:r>
    </w:p>
    <w:p>
      <w:pPr>
        <w:ind w:left="0" w:firstLine="0" w:hanging="0"/>
        <w:jc w:val="left"/>
      </w:pPr>
      <w:r>
        <w:rPr>
          <w:rFonts w:ascii="Times New Roman" w:hAnsi="굴림체" w:cs="굴림체" w:eastAsia="굴림체"/>
          <w:sz w:val="24"/>
        </w:rPr>
        <w:t>38. 위원회는 당사국이 차기 보고서 준비 및 최종견해의 후속조치에 있어 인종차별 철폐를 위해 노력하는 인권 보호 관련 시민사회단체와 지속 협의하고 대화를 증가할 것을 권고한다.</w:t>
      </w:r>
    </w:p>
    <w:p>
      <w:pPr>
        <w:ind w:left="0" w:firstLine="0" w:hanging="0"/>
        <w:jc w:val="center"/>
      </w:pPr>
      <w:r>
        <w:rPr>
          <w:rFonts w:ascii="Times New Roman" w:hAnsi="굴림체" w:cs="굴림체" w:eastAsia="굴림체"/>
          <w:sz w:val="24"/>
        </w:rPr>
        <w:t>공통핵심문서</w:t>
      </w:r>
    </w:p>
    <w:p>
      <w:pPr>
        <w:ind w:left="0" w:firstLine="0" w:hanging="0"/>
        <w:jc w:val="left"/>
      </w:pPr>
      <w:r>
        <w:rPr>
          <w:rFonts w:ascii="Times New Roman" w:hAnsi="굴림체" w:cs="굴림체" w:eastAsia="굴림체"/>
          <w:sz w:val="24"/>
        </w:rPr>
        <w:t>39. 위원회는 당사국이 2016년 공통핵심문서를 제출한 것을 환영하나, 동 문서가 국제인권조약상 보고서에 관한 통합 가이드라인, 그 중에서도 특히 국제인권조약상 보고(HRI/GEN/2/Rev.6,chapI)에 완전히 부합되지 않는 점에 주목한다. 위원회는 당사국이 이러한 가이드라인에 따라 공통핵심문서를 수정하고 재제출할 것을 요청한다. 동 문서는 42,400 단어 분량 제한을 준수할 것을 촉구한다(유엔 총회 결의 68/268).</w:t>
      </w:r>
    </w:p>
    <w:p>
      <w:pPr>
        <w:ind w:left="0" w:firstLine="0" w:hanging="0"/>
        <w:jc w:val="center"/>
      </w:pPr>
      <w:r>
        <w:rPr>
          <w:rFonts w:ascii="Times New Roman" w:hAnsi="굴림체" w:cs="굴림체" w:eastAsia="굴림체"/>
          <w:sz w:val="24"/>
        </w:rPr>
        <w:t>최종견해 관련 후속조치</w:t>
      </w:r>
    </w:p>
    <w:p>
      <w:pPr>
        <w:ind w:left="0" w:firstLine="0" w:hanging="0"/>
        <w:jc w:val="left"/>
      </w:pPr>
      <w:r>
        <w:rPr>
          <w:rFonts w:ascii="Times New Roman" w:hAnsi="굴림체" w:cs="굴림체" w:eastAsia="굴림체"/>
          <w:sz w:val="24"/>
        </w:rPr>
        <w:t>40. 협약 제9조 1항 및 개정 절차 규정 제65조에 의거, 위원회는 당사국이 금번 최종견해 제16항(노동자들의 집회·결사 자유), 제28항(출생등록)항에 포함된 권고사항에 대한 후속조치 관련 정보를 동 최종견해 채택 1년 내에 제공할 것을 요청한다.</w:t>
      </w:r>
    </w:p>
    <w:p>
      <w:pPr>
        <w:ind w:left="0" w:firstLine="0" w:hanging="0"/>
        <w:jc w:val="center"/>
      </w:pPr>
      <w:r>
        <w:rPr>
          <w:rFonts w:ascii="Times New Roman" w:hAnsi="굴림체" w:cs="굴림체" w:eastAsia="굴림체"/>
          <w:sz w:val="24"/>
        </w:rPr>
        <w:t>특별히 중요한 항들</w:t>
      </w:r>
    </w:p>
    <w:p>
      <w:pPr>
        <w:ind w:left="0" w:firstLine="0" w:hanging="0"/>
        <w:jc w:val="left"/>
      </w:pPr>
      <w:r>
        <w:rPr>
          <w:rFonts w:ascii="Times New Roman" w:hAnsi="굴림체" w:cs="굴림체" w:eastAsia="굴림체"/>
          <w:sz w:val="24"/>
        </w:rPr>
        <w:t>41. 위원회는 제6항(차별금지법, 형법 개정 및 인종차별에 기인한 범죄 관련 통계 수집 매커니즘), 제10, 12항(고용허가제 및 외국인에 대한 차별 관련 노동법 개정), 제18항(이주민 구금(보호)), 제26항(인신매매에 관한 포괄적 법률), 제30항(의무 교육)의 권고사항들이 갖는 특별한 중요성에 대해 한국의 주의를 환기하고자 하며, 이러한 권고사항을 이행하기 위해 취한 구체적 조치들에 대한 세부 정보를 차기 보고서에서 제공할 것을 요청한다.</w:t>
      </w:r>
    </w:p>
    <w:p>
      <w:pPr>
        <w:ind w:left="0" w:firstLine="0" w:hanging="0"/>
        <w:jc w:val="center"/>
      </w:pPr>
      <w:r>
        <w:rPr>
          <w:rFonts w:ascii="Times New Roman" w:hAnsi="굴림체" w:cs="굴림체" w:eastAsia="굴림체"/>
          <w:sz w:val="24"/>
        </w:rPr>
        <w:t>정보 전파</w:t>
      </w:r>
    </w:p>
    <w:p>
      <w:pPr>
        <w:ind w:left="0" w:firstLine="0" w:hanging="0"/>
        <w:jc w:val="left"/>
      </w:pPr>
      <w:r>
        <w:rPr>
          <w:rFonts w:ascii="Times New Roman" w:hAnsi="굴림체" w:cs="굴림체" w:eastAsia="굴림체"/>
          <w:sz w:val="24"/>
        </w:rPr>
        <w:t>42. 위원회는 당사국의 보고서 제출 시기에 일반 대중이 동 보고서에 손쉽게 접근하여 이용할 수 있도록 하며, 위원회의 보고서 관련 최종견해 역시 이와 유사하게 공식 언어 및 여타 적절한 상용 언어로 공개할 것을 권고한다.</w:t>
      </w:r>
    </w:p>
    <w:p>
      <w:pPr>
        <w:ind w:left="0" w:firstLine="0" w:hanging="0"/>
        <w:jc w:val="center"/>
      </w:pPr>
      <w:r>
        <w:rPr>
          <w:rFonts w:ascii="Times New Roman" w:hAnsi="굴림체" w:cs="굴림체" w:eastAsia="굴림체"/>
          <w:sz w:val="24"/>
        </w:rPr>
        <w:t>차기 보고서 준비</w:t>
      </w:r>
    </w:p>
    <w:p>
      <w:pPr>
        <w:ind w:left="0" w:firstLine="0" w:hanging="0"/>
        <w:jc w:val="left"/>
      </w:pPr>
      <w:r>
        <w:rPr>
          <w:rFonts w:ascii="Times New Roman" w:hAnsi="굴림체" w:cs="굴림체" w:eastAsia="굴림체"/>
          <w:sz w:val="24"/>
        </w:rPr>
        <w:t>43. 위원회는 제71차 인종차별철폐위원회(CERD/C/2007/1)에서 채택된 인종차별철폐협약 관련 문서에 대한 가이드라인을 고려하여, 2022년 1월 4일을 기한으로 제20차 내지 제22차 보고서를 통합된 문서로 제출하고, 금번 최종견해에서 제기된 모든 논점들을 차기 보고서에서 다룰 것을 권고한다. 총회 결의 68/268에 따라, 보고서 작성은 21,200 단어 분량 제한을 준수할 것을 촉구한다.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