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568"/>
        <w:tblOverlap w:val="never"/>
        <w:tblW w:w="9798" w:type="dxa"/>
        <w:tblLayout w:type="fixed"/>
        <w:tblCellMar>
          <w:left w:w="0" w:type="dxa"/>
          <w:right w:w="0" w:type="dxa"/>
        </w:tblCellMar>
        <w:tblLook w:val="01E0" w:firstRow="1" w:lastRow="1" w:firstColumn="1" w:lastColumn="1" w:noHBand="0" w:noVBand="0"/>
      </w:tblPr>
      <w:tblGrid>
        <w:gridCol w:w="1418"/>
        <w:gridCol w:w="2236"/>
        <w:gridCol w:w="3214"/>
        <w:gridCol w:w="2930"/>
      </w:tblGrid>
      <w:tr w:rsidR="00D40054" w:rsidRPr="00F131DB" w14:paraId="028A158E" w14:textId="77777777" w:rsidTr="00C9609B">
        <w:trPr>
          <w:trHeight w:val="851"/>
        </w:trPr>
        <w:tc>
          <w:tcPr>
            <w:tcW w:w="1418" w:type="dxa"/>
            <w:tcBorders>
              <w:top w:val="nil"/>
              <w:left w:val="nil"/>
              <w:bottom w:val="single" w:sz="4" w:space="0" w:color="auto"/>
              <w:right w:val="nil"/>
            </w:tcBorders>
          </w:tcPr>
          <w:p w14:paraId="60B306C0" w14:textId="77777777" w:rsidR="00B35496" w:rsidRPr="00F131DB" w:rsidRDefault="00B35496">
            <w:pPr>
              <w:tabs>
                <w:tab w:val="right" w:pos="850"/>
                <w:tab w:val="left" w:pos="1134"/>
                <w:tab w:val="right" w:leader="dot" w:pos="8504"/>
              </w:tabs>
              <w:spacing w:before="360" w:after="240"/>
              <w:rPr>
                <w:rFonts w:asciiTheme="majorBidi" w:hAnsiTheme="majorBidi" w:cstheme="majorBidi"/>
              </w:rPr>
            </w:pPr>
          </w:p>
        </w:tc>
        <w:tc>
          <w:tcPr>
            <w:tcW w:w="2236" w:type="dxa"/>
            <w:tcBorders>
              <w:top w:val="nil"/>
              <w:left w:val="nil"/>
              <w:bottom w:val="single" w:sz="4" w:space="0" w:color="auto"/>
              <w:right w:val="nil"/>
            </w:tcBorders>
            <w:vAlign w:val="bottom"/>
          </w:tcPr>
          <w:p w14:paraId="4F16E245" w14:textId="2599D8B4" w:rsidR="00B35496" w:rsidRPr="00F131DB" w:rsidRDefault="00B35496">
            <w:pPr>
              <w:spacing w:after="80" w:line="300" w:lineRule="exact"/>
              <w:rPr>
                <w:rFonts w:asciiTheme="majorBidi" w:hAnsiTheme="majorBidi" w:cstheme="majorBidi"/>
              </w:rPr>
            </w:pPr>
          </w:p>
        </w:tc>
        <w:tc>
          <w:tcPr>
            <w:tcW w:w="6144" w:type="dxa"/>
            <w:gridSpan w:val="2"/>
            <w:tcBorders>
              <w:top w:val="nil"/>
              <w:left w:val="nil"/>
              <w:bottom w:val="single" w:sz="4" w:space="0" w:color="auto"/>
              <w:right w:val="nil"/>
            </w:tcBorders>
            <w:vAlign w:val="bottom"/>
          </w:tcPr>
          <w:p w14:paraId="3BF35ED6" w14:textId="6B4FF654" w:rsidR="00B35496" w:rsidRPr="00F131DB" w:rsidRDefault="00582628" w:rsidP="00D84DF4">
            <w:pPr>
              <w:jc w:val="right"/>
              <w:rPr>
                <w:rFonts w:asciiTheme="majorBidi" w:hAnsiTheme="majorBidi" w:cstheme="majorBidi"/>
              </w:rPr>
            </w:pPr>
            <w:r>
              <w:t>Annex</w:t>
            </w:r>
            <w:r w:rsidR="00C20AB6">
              <w:t xml:space="preserve"> </w:t>
            </w:r>
            <w:r w:rsidR="008B33A2">
              <w:t>2</w:t>
            </w:r>
            <w:r w:rsidR="00D84DF4">
              <w:t xml:space="preserve"> </w:t>
            </w:r>
            <w:r w:rsidR="00C9609B">
              <w:t xml:space="preserve">to </w:t>
            </w:r>
            <w:r w:rsidR="00D84DF4" w:rsidRPr="00D84DF4">
              <w:rPr>
                <w:rFonts w:asciiTheme="majorBidi" w:hAnsiTheme="majorBidi" w:cstheme="majorBidi"/>
                <w:lang w:val="en-CA"/>
              </w:rPr>
              <w:t>A/HRC/</w:t>
            </w:r>
            <w:r w:rsidR="00293C02">
              <w:rPr>
                <w:rFonts w:asciiTheme="majorBidi" w:hAnsiTheme="majorBidi" w:cstheme="majorBidi"/>
                <w:lang w:val="en-CA"/>
              </w:rPr>
              <w:t>55</w:t>
            </w:r>
            <w:r w:rsidR="00D84DF4" w:rsidRPr="00D84DF4">
              <w:rPr>
                <w:rFonts w:asciiTheme="majorBidi" w:hAnsiTheme="majorBidi" w:cstheme="majorBidi"/>
                <w:lang w:val="en-CA"/>
              </w:rPr>
              <w:t>/</w:t>
            </w:r>
            <w:r w:rsidR="00BB00E8">
              <w:rPr>
                <w:rFonts w:asciiTheme="majorBidi" w:hAnsiTheme="majorBidi" w:cstheme="majorBidi"/>
                <w:lang w:val="en-CA"/>
              </w:rPr>
              <w:t>43</w:t>
            </w:r>
          </w:p>
        </w:tc>
      </w:tr>
      <w:tr w:rsidR="00C9609B" w:rsidRPr="00F131DB" w14:paraId="60DDEBB4" w14:textId="77777777" w:rsidTr="00C9609B">
        <w:trPr>
          <w:trHeight w:val="2835"/>
        </w:trPr>
        <w:tc>
          <w:tcPr>
            <w:tcW w:w="1418" w:type="dxa"/>
            <w:tcBorders>
              <w:top w:val="single" w:sz="4" w:space="0" w:color="auto"/>
              <w:left w:val="nil"/>
              <w:bottom w:val="single" w:sz="12" w:space="0" w:color="auto"/>
              <w:right w:val="nil"/>
            </w:tcBorders>
          </w:tcPr>
          <w:p w14:paraId="0669ABF3" w14:textId="583DACA1" w:rsidR="00C9609B" w:rsidRPr="00F131DB" w:rsidRDefault="00C9609B" w:rsidP="00C9609B">
            <w:pPr>
              <w:spacing w:before="120"/>
              <w:ind w:right="-300"/>
              <w:jc w:val="center"/>
              <w:rPr>
                <w:rFonts w:asciiTheme="majorBidi" w:hAnsiTheme="majorBidi" w:cstheme="majorBidi"/>
              </w:rPr>
            </w:pPr>
            <w:r w:rsidRPr="00950325">
              <w:rPr>
                <w:noProof/>
                <w:color w:val="000000"/>
                <w:lang w:eastAsia="en-GB"/>
              </w:rPr>
              <w:drawing>
                <wp:anchor distT="0" distB="0" distL="114300" distR="114300" simplePos="0" relativeHeight="251658240" behindDoc="0" locked="0" layoutInCell="1" allowOverlap="1" wp14:anchorId="64E31D09" wp14:editId="2FDCF316">
                  <wp:simplePos x="0" y="0"/>
                  <wp:positionH relativeFrom="column">
                    <wp:posOffset>0</wp:posOffset>
                  </wp:positionH>
                  <wp:positionV relativeFrom="paragraph">
                    <wp:posOffset>77470</wp:posOffset>
                  </wp:positionV>
                  <wp:extent cx="854075" cy="393700"/>
                  <wp:effectExtent l="0" t="0" r="3175" b="6350"/>
                  <wp:wrapSquare wrapText="bothSides"/>
                  <wp:docPr id="3" name="Picture 3" descr="A picture contain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 Logo blue - english.png"/>
                          <pic:cNvPicPr/>
                        </pic:nvPicPr>
                        <pic:blipFill rotWithShape="1">
                          <a:blip r:embed="rId11" cstate="print">
                            <a:biLevel thresh="50000"/>
                            <a:extLst>
                              <a:ext uri="{28A0092B-C50C-407E-A947-70E740481C1C}">
                                <a14:useLocalDpi xmlns:a14="http://schemas.microsoft.com/office/drawing/2010/main" val="0"/>
                              </a:ext>
                            </a:extLst>
                          </a:blip>
                          <a:srcRect l="13904" t="14421" r="15247" b="10356"/>
                          <a:stretch/>
                        </pic:blipFill>
                        <pic:spPr bwMode="auto">
                          <a:xfrm>
                            <a:off x="0" y="0"/>
                            <a:ext cx="854075" cy="393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450" w:type="dxa"/>
            <w:gridSpan w:val="2"/>
            <w:tcBorders>
              <w:top w:val="single" w:sz="4" w:space="0" w:color="auto"/>
              <w:left w:val="nil"/>
              <w:bottom w:val="single" w:sz="12" w:space="0" w:color="auto"/>
              <w:right w:val="nil"/>
            </w:tcBorders>
          </w:tcPr>
          <w:p w14:paraId="1EF64812" w14:textId="76F812E9" w:rsidR="00C9609B" w:rsidRPr="00F131DB" w:rsidRDefault="00C9609B" w:rsidP="00C9609B">
            <w:pPr>
              <w:spacing w:before="120" w:line="420" w:lineRule="exact"/>
              <w:rPr>
                <w:rFonts w:asciiTheme="majorBidi" w:hAnsiTheme="majorBidi" w:cstheme="majorBidi"/>
                <w:b/>
              </w:rPr>
            </w:pPr>
            <w:r w:rsidRPr="00950325">
              <w:rPr>
                <w:b/>
                <w:sz w:val="36"/>
                <w:szCs w:val="36"/>
                <w:lang w:val="en-US"/>
              </w:rPr>
              <w:t>Special Rapporteur on human rights and the environment</w:t>
            </w:r>
          </w:p>
        </w:tc>
        <w:tc>
          <w:tcPr>
            <w:tcW w:w="2930" w:type="dxa"/>
            <w:tcBorders>
              <w:top w:val="single" w:sz="4" w:space="0" w:color="auto"/>
              <w:left w:val="nil"/>
              <w:bottom w:val="single" w:sz="12" w:space="0" w:color="auto"/>
              <w:right w:val="nil"/>
            </w:tcBorders>
          </w:tcPr>
          <w:p w14:paraId="1069DEED" w14:textId="77777777" w:rsidR="00C9609B" w:rsidRDefault="00C9609B" w:rsidP="00C9609B">
            <w:pPr>
              <w:spacing w:before="240" w:line="240" w:lineRule="exact"/>
            </w:pPr>
            <w:r>
              <w:t>Distr.: General</w:t>
            </w:r>
          </w:p>
          <w:p w14:paraId="4899ED4F" w14:textId="170B65DE" w:rsidR="00C9609B" w:rsidRDefault="00293C02" w:rsidP="00C9609B">
            <w:pPr>
              <w:spacing w:line="240" w:lineRule="exact"/>
            </w:pPr>
            <w:r>
              <w:t>1</w:t>
            </w:r>
            <w:r w:rsidR="00401B7B">
              <w:t>9</w:t>
            </w:r>
            <w:r w:rsidR="00D84DF4">
              <w:t>/0</w:t>
            </w:r>
            <w:r>
              <w:t>2</w:t>
            </w:r>
            <w:r w:rsidR="00D84DF4">
              <w:t>/202</w:t>
            </w:r>
            <w:r>
              <w:t>4</w:t>
            </w:r>
          </w:p>
          <w:p w14:paraId="5431C6EA" w14:textId="77777777" w:rsidR="00C9609B" w:rsidRDefault="00C9609B" w:rsidP="00C9609B">
            <w:pPr>
              <w:spacing w:line="240" w:lineRule="exact"/>
            </w:pPr>
          </w:p>
          <w:p w14:paraId="01818527" w14:textId="14A8E956" w:rsidR="00C9609B" w:rsidRPr="00F131DB" w:rsidRDefault="00C9609B" w:rsidP="00C9609B">
            <w:pPr>
              <w:spacing w:line="240" w:lineRule="exact"/>
              <w:rPr>
                <w:rFonts w:asciiTheme="majorBidi" w:hAnsiTheme="majorBidi" w:cstheme="majorBidi"/>
              </w:rPr>
            </w:pPr>
            <w:r>
              <w:t>Original: English</w:t>
            </w:r>
          </w:p>
        </w:tc>
      </w:tr>
    </w:tbl>
    <w:p w14:paraId="5E7DF748" w14:textId="1368A320" w:rsidR="000E44F7" w:rsidRPr="00407868" w:rsidRDefault="00D87837" w:rsidP="00407868">
      <w:pPr>
        <w:pStyle w:val="HChG"/>
        <w:rPr>
          <w:lang w:val="en-CA"/>
        </w:rPr>
      </w:pPr>
      <w:r>
        <w:tab/>
      </w:r>
      <w:r>
        <w:tab/>
      </w:r>
      <w:r w:rsidR="000E44F7">
        <w:tab/>
      </w:r>
      <w:r w:rsidR="00C418B2">
        <w:rPr>
          <w:lang w:val="en-CA"/>
        </w:rPr>
        <w:t>Good practices</w:t>
      </w:r>
    </w:p>
    <w:p w14:paraId="1B43342F" w14:textId="2CE59413" w:rsidR="000E44F7" w:rsidRPr="00BA4527" w:rsidRDefault="000E44F7" w:rsidP="00C9609B">
      <w:pPr>
        <w:pStyle w:val="H1G"/>
      </w:pPr>
      <w:r>
        <w:rPr>
          <w:lang w:val="en-CA"/>
        </w:rPr>
        <w:tab/>
      </w:r>
      <w:r>
        <w:rPr>
          <w:lang w:val="en-CA"/>
        </w:rPr>
        <w:tab/>
      </w:r>
      <w:r w:rsidR="00EB5095" w:rsidRPr="00EB5095">
        <w:rPr>
          <w:bCs/>
          <w:lang w:val="en-CA"/>
        </w:rPr>
        <w:t xml:space="preserve">Supplementary information to “Business, planetary boundaries and the right to a clean, healthy and sustainable environment”, the Report of the Special Rapporteur on the issue of human rights obligations relating to the enjoyment of a safe, clean, healthy and sustainable </w:t>
      </w:r>
      <w:proofErr w:type="gramStart"/>
      <w:r w:rsidR="00EB5095" w:rsidRPr="00EB5095">
        <w:rPr>
          <w:bCs/>
          <w:lang w:val="en-CA"/>
        </w:rPr>
        <w:t>environment</w:t>
      </w:r>
      <w:proofErr w:type="gramEnd"/>
    </w:p>
    <w:p w14:paraId="1D933CC5" w14:textId="626E35A9" w:rsidR="00D84DF4" w:rsidRDefault="00D87837" w:rsidP="00D84DF4">
      <w:pPr>
        <w:pStyle w:val="SingleTxtG"/>
        <w:rPr>
          <w:lang w:val="en-CA"/>
        </w:rPr>
      </w:pPr>
      <w:r>
        <w:tab/>
      </w:r>
      <w:r>
        <w:tab/>
      </w:r>
      <w:r w:rsidR="00D84DF4" w:rsidRPr="00D84DF4">
        <w:rPr>
          <w:lang w:val="en-CA"/>
        </w:rPr>
        <w:t xml:space="preserve">The following information is supplementary to the report of the Special Rapporteur on the issue of human rights obligations relating to the enjoyment of a safe, clean, </w:t>
      </w:r>
      <w:proofErr w:type="gramStart"/>
      <w:r w:rsidR="00D84DF4" w:rsidRPr="00D84DF4">
        <w:rPr>
          <w:lang w:val="en-CA"/>
        </w:rPr>
        <w:t>healthy</w:t>
      </w:r>
      <w:proofErr w:type="gramEnd"/>
      <w:r w:rsidR="00D84DF4" w:rsidRPr="00D84DF4">
        <w:rPr>
          <w:lang w:val="en-CA"/>
        </w:rPr>
        <w:t xml:space="preserve"> and sustainable environment (A/HRC/</w:t>
      </w:r>
      <w:r w:rsidR="00293C02">
        <w:rPr>
          <w:lang w:val="en-CA"/>
        </w:rPr>
        <w:t>55</w:t>
      </w:r>
      <w:r w:rsidR="00D84DF4" w:rsidRPr="00D84DF4">
        <w:rPr>
          <w:lang w:val="en-CA"/>
        </w:rPr>
        <w:t>/</w:t>
      </w:r>
      <w:r w:rsidR="00BB1651">
        <w:rPr>
          <w:lang w:val="en-CA"/>
        </w:rPr>
        <w:t>43</w:t>
      </w:r>
      <w:r w:rsidR="00D84DF4" w:rsidRPr="00D84DF4">
        <w:rPr>
          <w:lang w:val="en-CA"/>
        </w:rPr>
        <w:t xml:space="preserve">). It is available on the website of the Office of the High Commissioner for Human Rights </w:t>
      </w:r>
    </w:p>
    <w:p w14:paraId="19EBD451" w14:textId="4A6E02AB" w:rsidR="00D84DF4" w:rsidRPr="00D84DF4" w:rsidRDefault="00540A03" w:rsidP="00D84DF4">
      <w:pPr>
        <w:pStyle w:val="SingleTxtG"/>
        <w:rPr>
          <w:rStyle w:val="Hyperlink"/>
          <w:color w:val="0070C0"/>
          <w:u w:val="single"/>
          <w:lang w:val="en-CA"/>
        </w:rPr>
      </w:pPr>
      <w:hyperlink r:id="rId12" w:history="1">
        <w:r w:rsidR="00D84DF4" w:rsidRPr="00D84DF4">
          <w:rPr>
            <w:rStyle w:val="Hyperlink"/>
            <w:color w:val="0070C0"/>
            <w:u w:val="single"/>
            <w:lang w:val="en-CA"/>
          </w:rPr>
          <w:t>https://www.ohchr.org/EN/Issues/Environment/SREnvironment/Pages/Annualreports.aspx</w:t>
        </w:r>
      </w:hyperlink>
    </w:p>
    <w:p w14:paraId="0E451686" w14:textId="77777777" w:rsidR="00293C02" w:rsidRDefault="00EF35ED" w:rsidP="0051770F">
      <w:pPr>
        <w:pStyle w:val="SingleTxtG"/>
        <w:numPr>
          <w:ilvl w:val="0"/>
          <w:numId w:val="25"/>
        </w:numPr>
        <w:ind w:left="1134" w:firstLine="0"/>
      </w:pPr>
      <w:r w:rsidRPr="6DB3E7B9">
        <w:rPr>
          <w:rFonts w:asciiTheme="majorBidi" w:hAnsiTheme="majorBidi" w:cstheme="majorBidi"/>
        </w:rPr>
        <w:br w:type="page"/>
      </w:r>
    </w:p>
    <w:p w14:paraId="713394B4" w14:textId="33993B4F" w:rsidR="00293C02" w:rsidRPr="005600D0" w:rsidRDefault="00293C02" w:rsidP="005600D0">
      <w:pPr>
        <w:pStyle w:val="HChG"/>
      </w:pPr>
      <w:r>
        <w:lastRenderedPageBreak/>
        <w:tab/>
        <w:t>I.</w:t>
      </w:r>
      <w:r>
        <w:tab/>
      </w:r>
      <w:r w:rsidR="009402CE">
        <w:t>Introduction</w:t>
      </w:r>
    </w:p>
    <w:p w14:paraId="78FFE65B" w14:textId="0517DB6B" w:rsidR="009402CE" w:rsidRPr="009402CE" w:rsidRDefault="009402CE" w:rsidP="004D55C6">
      <w:pPr>
        <w:pStyle w:val="ParNoG"/>
      </w:pPr>
      <w:r w:rsidRPr="00513D84">
        <w:t>Due to a restrictive word limit, the following good practices could not be included in the main body of the Special Rapporteur’s report “Business, planetary boundaries and the right to a clean, healthy and sustainable environment”,</w:t>
      </w:r>
      <w:r w:rsidRPr="00513D84">
        <w:rPr>
          <w:b/>
          <w:bCs/>
        </w:rPr>
        <w:t xml:space="preserve"> </w:t>
      </w:r>
      <w:r w:rsidRPr="00513D84">
        <w:t xml:space="preserve">(A/HRC/55/43). However, these good practices are important because they demonstrate the availability of effective and equitable actions </w:t>
      </w:r>
      <w:r>
        <w:t xml:space="preserve">by businesses, and by States regulating businesses, </w:t>
      </w:r>
      <w:r w:rsidRPr="00513D84">
        <w:t xml:space="preserve">to address the </w:t>
      </w:r>
      <w:r>
        <w:t>planetary climate and</w:t>
      </w:r>
      <w:r w:rsidRPr="00513D84">
        <w:t xml:space="preserve"> environmental crisis</w:t>
      </w:r>
      <w:r>
        <w:t>, respect, protect and fulfil human rights,</w:t>
      </w:r>
      <w:r w:rsidRPr="00513D84">
        <w:t xml:space="preserve"> and advance sustainable development. </w:t>
      </w:r>
    </w:p>
    <w:p w14:paraId="60DED6BF" w14:textId="2A1572F8" w:rsidR="00293C02" w:rsidRPr="009402CE" w:rsidRDefault="009402CE" w:rsidP="004D55C6">
      <w:pPr>
        <w:pStyle w:val="ParNoG"/>
        <w:rPr>
          <w:rStyle w:val="Hyperlink"/>
          <w:u w:val="single"/>
          <w:lang w:val="en-CA"/>
        </w:rPr>
      </w:pPr>
      <w:r w:rsidRPr="00513D84">
        <w:t xml:space="preserve">Drawn from every </w:t>
      </w:r>
      <w:proofErr w:type="gramStart"/>
      <w:r w:rsidRPr="00513D84">
        <w:t>region, and</w:t>
      </w:r>
      <w:proofErr w:type="gramEnd"/>
      <w:r w:rsidRPr="00513D84">
        <w:t xml:space="preserve"> featuring more than 100 States and a wide range of </w:t>
      </w:r>
      <w:r>
        <w:t>businesses</w:t>
      </w:r>
      <w:r w:rsidRPr="00513D84">
        <w:t xml:space="preserve">, the following examples are intended to inspire others to take ambitious action to fulfil the right to a clean, healthy and sustainable environment. The Special Rapporteur is grateful for the submissions received from Chile, Colombia, Ecuador, El Salvador, Equatorial Guinea, Guatemala, Italy, Mexico, Montenegro, </w:t>
      </w:r>
      <w:proofErr w:type="gramStart"/>
      <w:r w:rsidRPr="00513D84">
        <w:t>Serbia</w:t>
      </w:r>
      <w:proofErr w:type="gramEnd"/>
      <w:r w:rsidRPr="00513D84">
        <w:t xml:space="preserve"> and Switzerland, and from young people, civil society organizations</w:t>
      </w:r>
      <w:r>
        <w:t>,</w:t>
      </w:r>
      <w:r w:rsidRPr="00513D84">
        <w:t xml:space="preserve"> and academics. The examples </w:t>
      </w:r>
      <w:r>
        <w:t xml:space="preserve">in this Annex </w:t>
      </w:r>
      <w:r w:rsidRPr="00513D84">
        <w:t>should be considered as illustrative rather than exhaustive, meaning many more good practices are being implemented across the world. Many additional good practices related to both the right to a clean, healthy and sustainable environment and business enterprises are contained in previous reports (</w:t>
      </w:r>
      <w:proofErr w:type="gramStart"/>
      <w:r w:rsidRPr="00513D84">
        <w:t>e.g.</w:t>
      </w:r>
      <w:proofErr w:type="gramEnd"/>
      <w:r w:rsidRPr="00513D84">
        <w:t xml:space="preserve"> A/HRC/43/53).</w:t>
      </w:r>
      <w:r>
        <w:t xml:space="preserve"> It is also important to note that a State or business may exemplify a good practice in one area but still not be fully compliant with its full array of human rights obligations and responsibilities.</w:t>
      </w:r>
    </w:p>
    <w:p w14:paraId="7BC56459" w14:textId="6CA6E3F2" w:rsidR="005600D0" w:rsidRPr="00580251" w:rsidRDefault="00A139BF" w:rsidP="00580251">
      <w:pPr>
        <w:pStyle w:val="HChG"/>
      </w:pPr>
      <w:r>
        <w:tab/>
      </w:r>
      <w:r w:rsidR="005600D0">
        <w:t>II</w:t>
      </w:r>
      <w:r>
        <w:t>.</w:t>
      </w:r>
      <w:r>
        <w:tab/>
      </w:r>
      <w:r w:rsidR="00580251" w:rsidRPr="00580251">
        <w:rPr>
          <w:lang w:val="en-CA"/>
        </w:rPr>
        <w:t>Submissions from Member States</w:t>
      </w:r>
    </w:p>
    <w:p w14:paraId="2C658F4E" w14:textId="77777777" w:rsidR="00160AF0" w:rsidRDefault="00160AF0" w:rsidP="00160AF0">
      <w:pPr>
        <w:pStyle w:val="ParNoG"/>
      </w:pPr>
      <w:r w:rsidRPr="00221E20">
        <w:rPr>
          <w:b/>
          <w:bCs/>
        </w:rPr>
        <w:t>Brazil</w:t>
      </w:r>
      <w:r w:rsidRPr="00513D84">
        <w:t>, guided by Art</w:t>
      </w:r>
      <w:r>
        <w:t>icle</w:t>
      </w:r>
      <w:r w:rsidRPr="00513D84">
        <w:t xml:space="preserve"> 225 of the Constitution (establishing the right to a healthy and ecologically balanced environment) has National Guidelines on Business and Human Rights, Decree 9571/2018, which contain extensive guidance concerning environmental sustainability </w:t>
      </w:r>
      <w:r>
        <w:t>(</w:t>
      </w:r>
      <w:proofErr w:type="gramStart"/>
      <w:r>
        <w:t>e.g.</w:t>
      </w:r>
      <w:proofErr w:type="gramEnd"/>
      <w:r>
        <w:t xml:space="preserve"> see </w:t>
      </w:r>
      <w:r w:rsidRPr="00513D84">
        <w:t>Article 12</w:t>
      </w:r>
      <w:r>
        <w:t>)</w:t>
      </w:r>
      <w:r w:rsidRPr="00513D84">
        <w:t xml:space="preserve">. </w:t>
      </w:r>
    </w:p>
    <w:p w14:paraId="78CDF961" w14:textId="102667B7" w:rsidR="00160AF0" w:rsidRPr="00513D84" w:rsidRDefault="00160AF0" w:rsidP="00160AF0">
      <w:pPr>
        <w:pStyle w:val="ParNoG"/>
      </w:pPr>
      <w:r w:rsidRPr="00160AF0">
        <w:rPr>
          <w:b/>
          <w:bCs/>
        </w:rPr>
        <w:t>Colombia</w:t>
      </w:r>
      <w:r w:rsidRPr="00513D84">
        <w:t xml:space="preserve"> recently strengthened the regulatory framework related to the environmental liabilities of businesses and the right to a clean, </w:t>
      </w:r>
      <w:proofErr w:type="gramStart"/>
      <w:r w:rsidRPr="00513D84">
        <w:t>healthy</w:t>
      </w:r>
      <w:proofErr w:type="gramEnd"/>
      <w:r w:rsidRPr="00513D84">
        <w:t xml:space="preserve"> and sustainable environment.</w:t>
      </w:r>
      <w:r w:rsidRPr="009567E8">
        <w:rPr>
          <w:rStyle w:val="FootnoteReference"/>
          <w:szCs w:val="14"/>
        </w:rPr>
        <w:footnoteReference w:id="1"/>
      </w:r>
      <w:r>
        <w:t xml:space="preserve"> </w:t>
      </w:r>
      <w:r w:rsidRPr="00160AF0">
        <w:rPr>
          <w:b/>
          <w:bCs/>
        </w:rPr>
        <w:t xml:space="preserve">Colombia </w:t>
      </w:r>
      <w:r w:rsidRPr="00513D84">
        <w:t xml:space="preserve">is developing an action plan to ensure the timely and comprehensive implementation of its obligations under the Escazú Agreement. Among the specific measures that </w:t>
      </w:r>
      <w:r w:rsidRPr="00160AF0">
        <w:rPr>
          <w:b/>
          <w:bCs/>
        </w:rPr>
        <w:t>Colombia</w:t>
      </w:r>
      <w:r w:rsidRPr="00513D84">
        <w:t xml:space="preserve"> is proposing: </w:t>
      </w:r>
    </w:p>
    <w:p w14:paraId="7E0E9A2D" w14:textId="77777777" w:rsidR="009567E8" w:rsidRDefault="00160AF0" w:rsidP="00AE6C80">
      <w:pPr>
        <w:pStyle w:val="SingleTxtG"/>
        <w:ind w:left="1418"/>
      </w:pPr>
      <w:r w:rsidRPr="00513D84">
        <w:t>• Conduct a gender analysis to identify the differentiated effects of climate change on women and girls, as well as to highlight the role of women defenders.</w:t>
      </w:r>
    </w:p>
    <w:p w14:paraId="10E4F5C1" w14:textId="113DBE44" w:rsidR="00160AF0" w:rsidRPr="00513D84" w:rsidRDefault="00160AF0" w:rsidP="00AE6C80">
      <w:pPr>
        <w:pStyle w:val="SingleTxtG"/>
        <w:ind w:left="1418"/>
      </w:pPr>
      <w:r w:rsidRPr="00513D84">
        <w:t>• Promote sustainable agricultural practices that protect the environment and ensure food security for farmers.</w:t>
      </w:r>
    </w:p>
    <w:p w14:paraId="16C29A60" w14:textId="77777777" w:rsidR="009567E8" w:rsidRDefault="00160AF0" w:rsidP="00AE6C80">
      <w:pPr>
        <w:pStyle w:val="SingleTxtG"/>
        <w:ind w:left="1418"/>
        <w:jc w:val="left"/>
      </w:pPr>
      <w:r w:rsidRPr="00513D84">
        <w:t xml:space="preserve">• Recognize the territories of Afro-descendant communities </w:t>
      </w:r>
      <w:proofErr w:type="gramStart"/>
      <w:r w:rsidRPr="00513D84">
        <w:t>in order to</w:t>
      </w:r>
      <w:proofErr w:type="gramEnd"/>
      <w:r w:rsidRPr="00513D84">
        <w:t xml:space="preserve"> contribute to the preservation of their identity and culture.</w:t>
      </w:r>
    </w:p>
    <w:p w14:paraId="3AB495CD" w14:textId="42A90641" w:rsidR="00160AF0" w:rsidRPr="00513D84" w:rsidRDefault="00160AF0" w:rsidP="00AE6C80">
      <w:pPr>
        <w:pStyle w:val="SingleTxtG"/>
        <w:ind w:left="1418"/>
        <w:jc w:val="left"/>
      </w:pPr>
      <w:r w:rsidRPr="00513D84">
        <w:t xml:space="preserve">• </w:t>
      </w:r>
      <w:r>
        <w:t>E</w:t>
      </w:r>
      <w:r w:rsidRPr="00513D84">
        <w:t xml:space="preserve">nsure a safe and enabling environment for individuals, </w:t>
      </w:r>
      <w:proofErr w:type="gramStart"/>
      <w:r w:rsidRPr="00513D84">
        <w:t>groups</w:t>
      </w:r>
      <w:proofErr w:type="gramEnd"/>
      <w:r w:rsidRPr="00513D84">
        <w:t xml:space="preserve"> and organizations to carry out their advocacy work. </w:t>
      </w:r>
    </w:p>
    <w:p w14:paraId="04438E2E" w14:textId="36A0FF3E" w:rsidR="00160AF0" w:rsidRPr="00513D84" w:rsidRDefault="00160AF0" w:rsidP="00AE6C80">
      <w:pPr>
        <w:pStyle w:val="SingleTxtG"/>
        <w:ind w:left="1418"/>
      </w:pPr>
      <w:r w:rsidRPr="00513D84">
        <w:t xml:space="preserve">• Prevent, </w:t>
      </w:r>
      <w:proofErr w:type="gramStart"/>
      <w:r w:rsidRPr="00513D84">
        <w:t>investigate</w:t>
      </w:r>
      <w:proofErr w:type="gramEnd"/>
      <w:r w:rsidRPr="00513D84">
        <w:t xml:space="preserve"> and punish attacks against environmental defenders. </w:t>
      </w:r>
    </w:p>
    <w:p w14:paraId="2546E900" w14:textId="77777777" w:rsidR="00A82A98" w:rsidRDefault="00160AF0" w:rsidP="00160AF0">
      <w:pPr>
        <w:pStyle w:val="ParNoG"/>
        <w:rPr>
          <w:rFonts w:eastAsia="Museo 300"/>
        </w:rPr>
      </w:pPr>
      <w:r w:rsidRPr="00160AF0">
        <w:rPr>
          <w:rFonts w:eastAsia="Museo 300"/>
          <w:b/>
          <w:bCs/>
        </w:rPr>
        <w:t>Ecuador</w:t>
      </w:r>
      <w:r w:rsidRPr="00160AF0">
        <w:rPr>
          <w:rFonts w:eastAsia="Museo 300"/>
        </w:rPr>
        <w:t xml:space="preserve"> acknowledged that current regulations intended to limit the adverse environmental impacts of businesses are insufficient and the application of these regulations is inconsistent.</w:t>
      </w:r>
      <w:r>
        <w:rPr>
          <w:rStyle w:val="FootnoteReference"/>
          <w:rFonts w:eastAsia="Museo 300"/>
          <w:lang w:val="es-SV"/>
        </w:rPr>
        <w:footnoteReference w:id="2"/>
      </w:r>
      <w:r w:rsidRPr="00160AF0">
        <w:rPr>
          <w:rFonts w:eastAsia="Museo 300"/>
        </w:rPr>
        <w:t xml:space="preserve"> In particular, </w:t>
      </w:r>
      <w:r w:rsidRPr="00160AF0">
        <w:rPr>
          <w:rFonts w:eastAsia="Museo 300"/>
          <w:b/>
          <w:bCs/>
        </w:rPr>
        <w:t>Ecuador</w:t>
      </w:r>
      <w:r w:rsidRPr="00160AF0">
        <w:rPr>
          <w:rFonts w:eastAsia="Museo 300"/>
        </w:rPr>
        <w:t xml:space="preserve"> expressed concern about greenwashing, a type of false advertising where businesses deceive consumers about the impact of their products and services. All States should implement laws, </w:t>
      </w:r>
      <w:proofErr w:type="gramStart"/>
      <w:r w:rsidRPr="00160AF0">
        <w:rPr>
          <w:rFonts w:eastAsia="Museo 300"/>
        </w:rPr>
        <w:t>policies</w:t>
      </w:r>
      <w:proofErr w:type="gramEnd"/>
      <w:r w:rsidRPr="00160AF0">
        <w:rPr>
          <w:rFonts w:eastAsia="Museo 300"/>
        </w:rPr>
        <w:t xml:space="preserve"> and educational programs to </w:t>
      </w:r>
      <w:proofErr w:type="spellStart"/>
      <w:r w:rsidRPr="00160AF0">
        <w:rPr>
          <w:rFonts w:eastAsia="Museo 300"/>
        </w:rPr>
        <w:t>cultive</w:t>
      </w:r>
      <w:proofErr w:type="spellEnd"/>
      <w:r w:rsidRPr="00160AF0">
        <w:rPr>
          <w:rFonts w:eastAsia="Museo 300"/>
        </w:rPr>
        <w:t xml:space="preserve"> accurate understandings of environmental and human rights issues. Businesses that engage in greenwashing and other types of environmental misinformation should be prosecuted and penalized. In conclusion, </w:t>
      </w:r>
      <w:r w:rsidRPr="00160AF0">
        <w:rPr>
          <w:rFonts w:eastAsia="Museo 300"/>
          <w:b/>
          <w:bCs/>
        </w:rPr>
        <w:t>Ecuador</w:t>
      </w:r>
      <w:r w:rsidRPr="00160AF0">
        <w:rPr>
          <w:rFonts w:eastAsia="Museo 300"/>
        </w:rPr>
        <w:t xml:space="preserve"> believes that existing environmental and human rights standards need to be strengthened, especially with legal teeth, and enhanced mechanisms are needed for monitoring and enforcement to compel business enterprises to comply with their human rights responsibilities.</w:t>
      </w:r>
    </w:p>
    <w:p w14:paraId="5427E6C0" w14:textId="77777777" w:rsidR="00A82A98" w:rsidRPr="00A82A98" w:rsidRDefault="00160AF0" w:rsidP="00A82A98">
      <w:pPr>
        <w:pStyle w:val="ParNoG"/>
        <w:rPr>
          <w:rFonts w:eastAsia="Museo 300"/>
        </w:rPr>
      </w:pPr>
      <w:r w:rsidRPr="00A82A98">
        <w:rPr>
          <w:rFonts w:eastAsia="Museo 300"/>
        </w:rPr>
        <w:t xml:space="preserve">Environmental law in </w:t>
      </w:r>
      <w:r w:rsidRPr="00A82A98">
        <w:rPr>
          <w:rFonts w:eastAsia="Museo 300"/>
          <w:b/>
          <w:bCs/>
        </w:rPr>
        <w:t>El Salvador</w:t>
      </w:r>
      <w:r w:rsidRPr="00A82A98">
        <w:rPr>
          <w:rFonts w:eastAsia="Museo 300"/>
        </w:rPr>
        <w:t xml:space="preserve"> authorizes the State to order the closure of a business facility if its operations pollute or endanger human health, quality of life, or the environment.</w:t>
      </w:r>
      <w:r>
        <w:rPr>
          <w:rStyle w:val="FootnoteReference"/>
          <w:rFonts w:eastAsia="Museo 300"/>
          <w:lang w:val="es-SV"/>
        </w:rPr>
        <w:footnoteReference w:id="3"/>
      </w:r>
      <w:r w:rsidRPr="00A82A98">
        <w:rPr>
          <w:rFonts w:eastAsia="Museo 300"/>
        </w:rPr>
        <w:t xml:space="preserve"> </w:t>
      </w:r>
      <w:r w:rsidRPr="00A82A98">
        <w:rPr>
          <w:b/>
        </w:rPr>
        <w:t>El Salvador</w:t>
      </w:r>
      <w:r w:rsidRPr="00A82A98">
        <w:rPr>
          <w:bCs/>
        </w:rPr>
        <w:t xml:space="preserve"> has a Special Law for the Protection of Victims and Witnesses that is important in the context of environmental human rights defenders. The law is intended to: ensure that victims, </w:t>
      </w:r>
      <w:proofErr w:type="gramStart"/>
      <w:r w:rsidRPr="00A82A98">
        <w:rPr>
          <w:bCs/>
        </w:rPr>
        <w:t>witnesses</w:t>
      </w:r>
      <w:proofErr w:type="gramEnd"/>
      <w:r w:rsidRPr="00A82A98">
        <w:rPr>
          <w:bCs/>
        </w:rPr>
        <w:t xml:space="preserve"> and other persons involved in the investigation of crimes or in judicial proceedings are protected; facilitate the determination of victims to seek justice; avoid infringement of victims’ rights; and guarantee the effectiveness of prosecutions targeting perpetrators.  Criminal legislation in </w:t>
      </w:r>
      <w:r w:rsidRPr="00A82A98">
        <w:rPr>
          <w:b/>
        </w:rPr>
        <w:t>El Salvador</w:t>
      </w:r>
      <w:r w:rsidRPr="00A82A98">
        <w:rPr>
          <w:bCs/>
        </w:rPr>
        <w:t xml:space="preserve"> contemplates as an aggravating circumstance of criminal responsibility that the criminal act targets a victim because of their work in the promotion and protection of human rights. </w:t>
      </w:r>
    </w:p>
    <w:p w14:paraId="0C5FD2C1" w14:textId="77777777" w:rsidR="00A82A98" w:rsidRPr="00A82A98" w:rsidRDefault="00160AF0" w:rsidP="00160AF0">
      <w:pPr>
        <w:pStyle w:val="ParNoG"/>
        <w:rPr>
          <w:rFonts w:eastAsia="Museo 300"/>
        </w:rPr>
      </w:pPr>
      <w:r w:rsidRPr="00A82A98">
        <w:rPr>
          <w:bCs/>
        </w:rPr>
        <w:t xml:space="preserve">Since 2014 </w:t>
      </w:r>
      <w:r w:rsidRPr="00A82A98">
        <w:rPr>
          <w:b/>
        </w:rPr>
        <w:t>El Salvador</w:t>
      </w:r>
      <w:r w:rsidRPr="00A82A98">
        <w:rPr>
          <w:bCs/>
        </w:rPr>
        <w:t xml:space="preserve"> has had environmental courts and tribunals with exclusive jurisdiction to hear and resolve civil actions regarding acts that harm the environment. This jurisdiction is complemented with competences provided by the national environmental legislation. Environmental courts are empowered to: receive claims from citizens; order precautionary measures for environmental protection; order measures of environmental restoration; order expert evidence; close establishments; suspend activities or projects harmful to the environment; and any other measures necessary to protect the environment, health, human rights, and the quality of life of the people.</w:t>
      </w:r>
    </w:p>
    <w:p w14:paraId="3EA0D250" w14:textId="77777777" w:rsidR="00C61E9C" w:rsidRDefault="00160AF0" w:rsidP="00160AF0">
      <w:pPr>
        <w:pStyle w:val="ParNoG"/>
      </w:pPr>
      <w:r w:rsidRPr="00A82A98">
        <w:rPr>
          <w:color w:val="000000" w:themeColor="text1"/>
        </w:rPr>
        <w:t xml:space="preserve">Pursuant to its second National Action Plan on Business and Human Rights (2021-2026), </w:t>
      </w:r>
      <w:r w:rsidRPr="00A82A98">
        <w:rPr>
          <w:b/>
          <w:bCs/>
          <w:color w:val="000000" w:themeColor="text1"/>
        </w:rPr>
        <w:t>Italy</w:t>
      </w:r>
      <w:r w:rsidRPr="00A82A98">
        <w:rPr>
          <w:color w:val="000000" w:themeColor="text1"/>
        </w:rPr>
        <w:t xml:space="preserve"> is striving to strengthen access to justice for victims of human rights abuses by businesses.</w:t>
      </w:r>
      <w:r>
        <w:rPr>
          <w:rStyle w:val="FootnoteReference"/>
          <w:color w:val="000000" w:themeColor="text1"/>
        </w:rPr>
        <w:footnoteReference w:id="4"/>
      </w:r>
      <w:r w:rsidRPr="00A82A98">
        <w:rPr>
          <w:color w:val="000000" w:themeColor="text1"/>
        </w:rPr>
        <w:t xml:space="preserve"> Guided by the UN’s Accountability and Remedy project, </w:t>
      </w:r>
      <w:r w:rsidRPr="00A82A98">
        <w:rPr>
          <w:b/>
          <w:bCs/>
          <w:color w:val="000000" w:themeColor="text1"/>
        </w:rPr>
        <w:t>Italy</w:t>
      </w:r>
      <w:r w:rsidRPr="00A82A98">
        <w:rPr>
          <w:color w:val="000000" w:themeColor="text1"/>
        </w:rPr>
        <w:t xml:space="preserve"> has introduced legislative measures to establish remedial mechanisms across </w:t>
      </w:r>
      <w:r w:rsidRPr="00513D84">
        <w:t>multiple legal disciplines (environmental law, protection of freedom of information, protection of whistle-blowers, contracts, competition, arbitration, labour law, consumer law, privacy, and non-discrimination and equality).</w:t>
      </w:r>
    </w:p>
    <w:p w14:paraId="761B7065" w14:textId="77777777" w:rsidR="00C61E9C" w:rsidRDefault="00160AF0" w:rsidP="00C61E9C">
      <w:pPr>
        <w:pStyle w:val="ParNoG"/>
      </w:pPr>
      <w:r w:rsidRPr="00513D84">
        <w:t xml:space="preserve">The Constitution of </w:t>
      </w:r>
      <w:r w:rsidRPr="00C61E9C">
        <w:rPr>
          <w:b/>
          <w:bCs/>
        </w:rPr>
        <w:t>Mauritius</w:t>
      </w:r>
      <w:r w:rsidRPr="00513D84">
        <w:t xml:space="preserve"> guarantees freedom of expression (section 12) and freedom of association (section 13). These rights are among the key enabling conditions for a healthy environmental democracy. For example, persons feeling deprived of their rights to enjoy public beaches have freely raised their voice to express their dissatisfaction. There have been several projects</w:t>
      </w:r>
      <w:r>
        <w:t>,</w:t>
      </w:r>
      <w:r w:rsidRPr="00513D84">
        <w:t xml:space="preserve"> </w:t>
      </w:r>
      <w:r>
        <w:t xml:space="preserve">proposed by businesses, </w:t>
      </w:r>
      <w:r w:rsidRPr="00513D84">
        <w:t>which were not approved due to public outcry related to the environmental impacts of these projects and pressure from environmentalists.</w:t>
      </w:r>
      <w:r w:rsidRPr="00C61E9C">
        <w:rPr>
          <w:rStyle w:val="FootnoteReference"/>
          <w:color w:val="000000" w:themeColor="text1"/>
          <w:szCs w:val="14"/>
        </w:rPr>
        <w:footnoteReference w:id="5"/>
      </w:r>
    </w:p>
    <w:p w14:paraId="54009BEA" w14:textId="77777777" w:rsidR="00C61E9C" w:rsidRDefault="00160AF0" w:rsidP="00160AF0">
      <w:pPr>
        <w:pStyle w:val="ParNoG"/>
      </w:pPr>
      <w:r w:rsidRPr="00C61E9C">
        <w:rPr>
          <w:b/>
          <w:bCs/>
        </w:rPr>
        <w:t>Mexico</w:t>
      </w:r>
      <w:r w:rsidRPr="00513D84">
        <w:t xml:space="preserve"> recently reformed the Mining Law, including provisions intended to improve protection for the right to a clean, </w:t>
      </w:r>
      <w:proofErr w:type="gramStart"/>
      <w:r w:rsidRPr="00513D84">
        <w:t>healthy</w:t>
      </w:r>
      <w:proofErr w:type="gramEnd"/>
      <w:r w:rsidRPr="00513D84">
        <w:t xml:space="preserve"> and sustainable environment. Every business owning or operating a mine must present a mine closure plan, which details the obligations, </w:t>
      </w:r>
      <w:proofErr w:type="gramStart"/>
      <w:r w:rsidRPr="00513D84">
        <w:t>procedures</w:t>
      </w:r>
      <w:proofErr w:type="gramEnd"/>
      <w:r w:rsidRPr="00513D84">
        <w:t xml:space="preserve"> and actions to be carried out for the repair, restoration, rehabilitation or environmental remediation and mitigation or social compensation, once mining operations are concluded. Detailed regulations governing mine closure and other provisions that will contribute to the sustainability of the mining sector are still being developed.</w:t>
      </w:r>
    </w:p>
    <w:p w14:paraId="7CA2C1D9" w14:textId="77777777" w:rsidR="00C61E9C" w:rsidRDefault="00160AF0" w:rsidP="00C61E9C">
      <w:pPr>
        <w:pStyle w:val="ParNoG"/>
      </w:pPr>
      <w:r w:rsidRPr="00C61E9C">
        <w:rPr>
          <w:b/>
          <w:bCs/>
        </w:rPr>
        <w:t>Mexico</w:t>
      </w:r>
      <w:r w:rsidRPr="00513D84">
        <w:t xml:space="preserve"> considers greenwashing to be a form of misleading advertising that undermines sustainability, damages consumer confidence, and</w:t>
      </w:r>
      <w:r>
        <w:t xml:space="preserve"> </w:t>
      </w:r>
      <w:r w:rsidRPr="00513D84">
        <w:t>violates the Federal Consumer Protection Act, enforced by the Federal Consumer Protection Agency. Article 32 of the Federal Consumer Protection Act obliges suppliers to provide information and advertising that is truthful, verifiable, and free of descriptions that may mislead the consumer's purchasing decisions.</w:t>
      </w:r>
      <w:r>
        <w:t xml:space="preserve"> </w:t>
      </w:r>
    </w:p>
    <w:p w14:paraId="0A69460A" w14:textId="2476CCFD" w:rsidR="00160AF0" w:rsidRPr="00513D84" w:rsidRDefault="00160AF0" w:rsidP="00C61E9C">
      <w:pPr>
        <w:pStyle w:val="ParNoG"/>
      </w:pPr>
      <w:r w:rsidRPr="00513D84">
        <w:t xml:space="preserve">The </w:t>
      </w:r>
      <w:r w:rsidRPr="00221E20">
        <w:rPr>
          <w:b/>
          <w:bCs/>
        </w:rPr>
        <w:t>National Human Rights Commission of Mexico</w:t>
      </w:r>
      <w:r w:rsidRPr="00513D84">
        <w:t xml:space="preserve"> issued General Recommendation No. 37, which has three objectives: </w:t>
      </w:r>
    </w:p>
    <w:p w14:paraId="03B0999F" w14:textId="77777777" w:rsidR="00160AF0" w:rsidRPr="00513D84" w:rsidRDefault="00160AF0" w:rsidP="00AE6C80">
      <w:pPr>
        <w:pStyle w:val="SingleTxt"/>
        <w:tabs>
          <w:tab w:val="clear" w:pos="1267"/>
          <w:tab w:val="left" w:pos="1418"/>
        </w:tabs>
        <w:ind w:left="1560"/>
      </w:pPr>
      <w:r w:rsidRPr="00513D84">
        <w:t xml:space="preserve">a) establish the parameters of respect and observance of human rights in the activities of public and private businesses in Mexico, </w:t>
      </w:r>
    </w:p>
    <w:p w14:paraId="29020DC7" w14:textId="77777777" w:rsidR="00160AF0" w:rsidRPr="00513D84" w:rsidRDefault="00160AF0" w:rsidP="00AE6C80">
      <w:pPr>
        <w:pStyle w:val="SingleTxt"/>
        <w:tabs>
          <w:tab w:val="clear" w:pos="1267"/>
          <w:tab w:val="left" w:pos="1418"/>
        </w:tabs>
        <w:ind w:left="1560"/>
      </w:pPr>
      <w:r w:rsidRPr="00513D84">
        <w:t>b) present proposals for public policies aimed at ensuring that there is proper alignment of relationships between the State, human right</w:t>
      </w:r>
      <w:r>
        <w:t>s</w:t>
      </w:r>
      <w:r w:rsidRPr="00513D84">
        <w:t xml:space="preserve">, and businesses; and </w:t>
      </w:r>
    </w:p>
    <w:p w14:paraId="7F7655F8" w14:textId="77777777" w:rsidR="00C61E9C" w:rsidRDefault="00160AF0" w:rsidP="00AE6C80">
      <w:pPr>
        <w:pStyle w:val="SingleTxt"/>
        <w:tabs>
          <w:tab w:val="clear" w:pos="1267"/>
          <w:tab w:val="left" w:pos="1418"/>
        </w:tabs>
        <w:ind w:left="1560"/>
      </w:pPr>
      <w:r w:rsidRPr="00513D84">
        <w:t>c) present proposals for specific legislative modifications so that the activities of businesses include human rights as a component of their due diligence obligations.</w:t>
      </w:r>
      <w:r>
        <w:rPr>
          <w:rStyle w:val="FootnoteReference"/>
        </w:rPr>
        <w:footnoteReference w:id="6"/>
      </w:r>
    </w:p>
    <w:p w14:paraId="1E46294B" w14:textId="77777777" w:rsidR="00C61E9C" w:rsidRDefault="00160AF0" w:rsidP="00160AF0">
      <w:pPr>
        <w:pStyle w:val="ParNoG"/>
      </w:pPr>
      <w:r w:rsidRPr="00221E20">
        <w:rPr>
          <w:b/>
          <w:bCs/>
        </w:rPr>
        <w:t>Montenegro</w:t>
      </w:r>
      <w:r w:rsidRPr="00513D84">
        <w:t xml:space="preserve"> has enacted a comprehensive suite of environmental laws intended to limit the adverse impacts of business activities.</w:t>
      </w:r>
      <w:r w:rsidRPr="00513D84">
        <w:rPr>
          <w:rStyle w:val="FootnoteReference"/>
          <w:sz w:val="24"/>
        </w:rPr>
        <w:footnoteReference w:id="7"/>
      </w:r>
      <w:r w:rsidRPr="00513D84">
        <w:t xml:space="preserve"> One of the key elements relevant to the regulation of businesses is the polluter pays principle, codified in the Law on the Environment.  The Law on environment defines eco-fees a</w:t>
      </w:r>
      <w:r>
        <w:t>s</w:t>
      </w:r>
      <w:r w:rsidRPr="00513D84">
        <w:t xml:space="preserve"> the fees for the environmental pollution payable </w:t>
      </w:r>
      <w:r>
        <w:t>pursuant to</w:t>
      </w:r>
      <w:r w:rsidRPr="00513D84">
        <w:t xml:space="preserve"> the "polluter pays" principle. </w:t>
      </w:r>
      <w:proofErr w:type="gramStart"/>
      <w:r w:rsidRPr="00513D84">
        <w:t>A number of</w:t>
      </w:r>
      <w:proofErr w:type="gramEnd"/>
      <w:r w:rsidRPr="00513D84">
        <w:t xml:space="preserve"> heavily polluted industrial sites in </w:t>
      </w:r>
      <w:r w:rsidRPr="00221E20">
        <w:rPr>
          <w:b/>
          <w:bCs/>
        </w:rPr>
        <w:t>Montenegro</w:t>
      </w:r>
      <w:r w:rsidRPr="00513D84">
        <w:t xml:space="preserve"> have been remediated through project</w:t>
      </w:r>
      <w:r>
        <w:t>s</w:t>
      </w:r>
      <w:r w:rsidRPr="00513D84">
        <w:t xml:space="preserve"> implemented in cooperation with the </w:t>
      </w:r>
      <w:r w:rsidRPr="00221E20">
        <w:rPr>
          <w:b/>
          <w:bCs/>
        </w:rPr>
        <w:t>World Bank</w:t>
      </w:r>
      <w:r w:rsidRPr="00513D84">
        <w:t xml:space="preserve">. These sites included the </w:t>
      </w:r>
      <w:proofErr w:type="spellStart"/>
      <w:r w:rsidRPr="00513D84">
        <w:t>Bijela</w:t>
      </w:r>
      <w:proofErr w:type="spellEnd"/>
      <w:r w:rsidRPr="00513D84">
        <w:t xml:space="preserve"> shipyard, the </w:t>
      </w:r>
      <w:proofErr w:type="spellStart"/>
      <w:r w:rsidRPr="00513D84">
        <w:t>Maljevac</w:t>
      </w:r>
      <w:proofErr w:type="spellEnd"/>
      <w:r w:rsidRPr="00513D84">
        <w:t xml:space="preserve"> ash and slag landfill, the </w:t>
      </w:r>
      <w:proofErr w:type="spellStart"/>
      <w:r w:rsidRPr="00513D84">
        <w:t>Gradac</w:t>
      </w:r>
      <w:proofErr w:type="spellEnd"/>
      <w:r w:rsidRPr="00513D84">
        <w:t xml:space="preserve"> flotation tailings pond, and the Aluminium Plant Podgorica (sludge and solid waste landfill).  In addition, in 2022, a comprehensive project to implement environmentally friendly management of industrial waste containing PCBs was completed. As noted by the Government, “unhealthy levels of pollution endanger </w:t>
      </w:r>
      <w:r>
        <w:t xml:space="preserve">the </w:t>
      </w:r>
      <w:r w:rsidRPr="00513D84">
        <w:t>right to healthy environment which is guaranteed by the Montenegrin Constitution”.</w:t>
      </w:r>
      <w:r w:rsidRPr="00C61E9C">
        <w:rPr>
          <w:rStyle w:val="FootnoteReference"/>
          <w:szCs w:val="14"/>
        </w:rPr>
        <w:footnoteReference w:id="8"/>
      </w:r>
      <w:r w:rsidRPr="00513D84">
        <w:t xml:space="preserve"> </w:t>
      </w:r>
    </w:p>
    <w:p w14:paraId="624D6BB2" w14:textId="77777777" w:rsidR="00C61E9C" w:rsidRDefault="00160AF0" w:rsidP="00C61E9C">
      <w:pPr>
        <w:pStyle w:val="ParNoG"/>
      </w:pPr>
      <w:r w:rsidRPr="00C61E9C">
        <w:rPr>
          <w:b/>
          <w:bCs/>
          <w:color w:val="000000" w:themeColor="text1"/>
        </w:rPr>
        <w:t>Serbia</w:t>
      </w:r>
      <w:r w:rsidRPr="00C61E9C">
        <w:rPr>
          <w:color w:val="000000" w:themeColor="text1"/>
        </w:rPr>
        <w:t xml:space="preserve"> enacted a comprehensive law that </w:t>
      </w:r>
      <w:r w:rsidRPr="00513D84">
        <w:t xml:space="preserve">regulates whistleblowing, the rights of </w:t>
      </w:r>
      <w:proofErr w:type="spellStart"/>
      <w:r w:rsidRPr="00513D84">
        <w:t>whistleblowers</w:t>
      </w:r>
      <w:proofErr w:type="spellEnd"/>
      <w:r w:rsidRPr="00513D84">
        <w:t xml:space="preserve">, the obligations of the State, other authorities and organizations, and legal and natural persons in connection with whistleblowing, and judicial protection of </w:t>
      </w:r>
      <w:proofErr w:type="spellStart"/>
      <w:r w:rsidRPr="00513D84">
        <w:t>whistleblowers</w:t>
      </w:r>
      <w:proofErr w:type="spellEnd"/>
      <w:r w:rsidRPr="00513D84">
        <w:t>.</w:t>
      </w:r>
      <w:r w:rsidRPr="00513D84">
        <w:rPr>
          <w:rStyle w:val="FootnoteReference"/>
          <w:sz w:val="24"/>
        </w:rPr>
        <w:footnoteReference w:id="9"/>
      </w:r>
      <w:r w:rsidRPr="00513D84">
        <w:t xml:space="preserve"> Whistleblowing can be internal (submitting information to the employer), external (submitting information to an authorized body) or public (submitting information to the media, via the Internet, at public meetings or in another way by which the notification can be made available to the public). The employer must not, by act or omission, put the </w:t>
      </w:r>
      <w:proofErr w:type="spellStart"/>
      <w:r w:rsidRPr="00513D84">
        <w:t>whistleblower</w:t>
      </w:r>
      <w:proofErr w:type="spellEnd"/>
      <w:r w:rsidRPr="00513D84">
        <w:t xml:space="preserve"> or a related person in an unfavourable position, especially in relation </w:t>
      </w:r>
      <w:proofErr w:type="gramStart"/>
      <w:r w:rsidRPr="00513D84">
        <w:t>to:</w:t>
      </w:r>
      <w:proofErr w:type="gramEnd"/>
      <w:r w:rsidRPr="00513D84">
        <w:t xml:space="preserve"> employment; disciplinary measures and punishments; working conditions; termination of employment; job assignment or transfer to another workplace; etc. Courts are authorized to postpone the legal effect of acts done by employers, to prohibit the performance of a harmful action, as well as to order the elimination of the consequences caused by the harmful action. Based on the Law on </w:t>
      </w:r>
      <w:proofErr w:type="spellStart"/>
      <w:r w:rsidRPr="00513D84">
        <w:t>Whistleblowers</w:t>
      </w:r>
      <w:proofErr w:type="spellEnd"/>
      <w:r w:rsidRPr="00513D84">
        <w:t>, two by-laws were adopted to facilitate implementation.</w:t>
      </w:r>
      <w:r w:rsidRPr="00C61E9C">
        <w:rPr>
          <w:rStyle w:val="FootnoteReference"/>
          <w:szCs w:val="14"/>
        </w:rPr>
        <w:footnoteReference w:id="10"/>
      </w:r>
    </w:p>
    <w:p w14:paraId="2C7AF8E5" w14:textId="3A0B65CE" w:rsidR="00C61E9C" w:rsidRDefault="00160AF0" w:rsidP="00C61E9C">
      <w:pPr>
        <w:pStyle w:val="ParNoG"/>
      </w:pPr>
      <w:r w:rsidRPr="00513D84">
        <w:t xml:space="preserve">Various public institutions in </w:t>
      </w:r>
      <w:r w:rsidRPr="00C61E9C">
        <w:rPr>
          <w:b/>
          <w:bCs/>
        </w:rPr>
        <w:t>Serbia</w:t>
      </w:r>
      <w:r w:rsidRPr="00513D84">
        <w:t xml:space="preserve"> work with </w:t>
      </w:r>
      <w:proofErr w:type="spellStart"/>
      <w:r w:rsidRPr="00513D84">
        <w:t>whistleblowers</w:t>
      </w:r>
      <w:proofErr w:type="spellEnd"/>
      <w:r w:rsidRPr="00513D84">
        <w:t>, investigate their reports, and try to protect them.</w:t>
      </w:r>
      <w:r w:rsidRPr="00C61E9C">
        <w:rPr>
          <w:rStyle w:val="FootnoteReference"/>
          <w:szCs w:val="14"/>
        </w:rPr>
        <w:footnoteReference w:id="11"/>
      </w:r>
      <w:r w:rsidRPr="00513D84">
        <w:t xml:space="preserve"> These institutions include the Anti-Corruption Agency, the Anti-Corruption Council, the Ombudsman, the Ministry of Justice, and the Commissioner for Information of Public Importance and Personal Data Protection. The Bureau for Social Research advises and supports </w:t>
      </w:r>
      <w:proofErr w:type="spellStart"/>
      <w:r w:rsidRPr="00513D84">
        <w:t>whistleblowers</w:t>
      </w:r>
      <w:proofErr w:type="spellEnd"/>
      <w:r w:rsidRPr="00513D84">
        <w:t xml:space="preserve">, including the analysis of their submissions, providing legal </w:t>
      </w:r>
      <w:proofErr w:type="gramStart"/>
      <w:r w:rsidRPr="00513D84">
        <w:t>advice</w:t>
      </w:r>
      <w:proofErr w:type="gramEnd"/>
      <w:r w:rsidRPr="00513D84">
        <w:t xml:space="preserve"> and making referrals to relevant authorities. </w:t>
      </w:r>
      <w:r w:rsidRPr="00C61E9C">
        <w:rPr>
          <w:b/>
          <w:bCs/>
        </w:rPr>
        <w:t>Transparency Serbia</w:t>
      </w:r>
      <w:r w:rsidRPr="00513D84">
        <w:t xml:space="preserve"> works as an advocacy and legal assistance centre where victims and witnesses of corruption can report cases and receive advice on filing official charges. Several NGOs also support </w:t>
      </w:r>
      <w:proofErr w:type="spellStart"/>
      <w:r w:rsidRPr="00513D84">
        <w:t>whistleblowers</w:t>
      </w:r>
      <w:proofErr w:type="spellEnd"/>
      <w:r w:rsidRPr="00513D84">
        <w:t xml:space="preserve">, investigate cases and work to strengthen legal protection. The acquisition of special knowledge and professional development of persons </w:t>
      </w:r>
      <w:proofErr w:type="gramStart"/>
      <w:r w:rsidRPr="00513D84">
        <w:t>in the area of</w:t>
      </w:r>
      <w:proofErr w:type="gramEnd"/>
      <w:r w:rsidRPr="00513D84">
        <w:t xml:space="preserve"> </w:t>
      </w:r>
      <w:proofErr w:type="spellStart"/>
      <w:r w:rsidRPr="00513D84">
        <w:t>whistleblower</w:t>
      </w:r>
      <w:proofErr w:type="spellEnd"/>
      <w:r w:rsidRPr="00513D84">
        <w:t xml:space="preserve"> protection is overseen by the Judicial Academy in cooperation with the ministry responsible for judicial affairs.</w:t>
      </w:r>
    </w:p>
    <w:p w14:paraId="417A262B" w14:textId="0381FAB1" w:rsidR="00FA7004" w:rsidRPr="00C61E9C" w:rsidRDefault="00160AF0" w:rsidP="00C61E9C">
      <w:pPr>
        <w:pStyle w:val="ParNoG"/>
      </w:pPr>
      <w:r w:rsidRPr="00443CC6">
        <w:t xml:space="preserve">In 2022, </w:t>
      </w:r>
      <w:r w:rsidRPr="00160AF0">
        <w:rPr>
          <w:b/>
          <w:bCs/>
        </w:rPr>
        <w:t>Switzerland</w:t>
      </w:r>
      <w:r w:rsidRPr="00443CC6">
        <w:t xml:space="preserve"> introduced new provisions in its Code of Obligations that require large Swiss companies to report on a broad range of risks generated by their activities. These businesses must report on risks related to environmental degradation, social challenges including inequality and poverty, personnel, human rights, and corruption. They must also present the measures they have adopted in to address these issues. Businesses</w:t>
      </w:r>
      <w:r w:rsidR="00C61E9C">
        <w:t xml:space="preserve"> </w:t>
      </w:r>
      <w:r w:rsidRPr="00443CC6">
        <w:t>whose activities present significant risks in the sensitive areas of child labour and ores and metals sourced from conflict zones will have to comply with extended duties of due diligence.</w:t>
      </w:r>
      <w:r w:rsidRPr="00C61E9C">
        <w:rPr>
          <w:rStyle w:val="FootnoteReference"/>
          <w:szCs w:val="14"/>
          <w:lang w:val="fr-CH"/>
        </w:rPr>
        <w:footnoteReference w:id="12"/>
      </w:r>
    </w:p>
    <w:p w14:paraId="3F7F09F9" w14:textId="33A12A74" w:rsidR="00146C80" w:rsidRDefault="0090631B" w:rsidP="00E9049A">
      <w:pPr>
        <w:pStyle w:val="HChG"/>
        <w:rPr>
          <w:lang w:val="en-CA"/>
        </w:rPr>
      </w:pPr>
      <w:r>
        <w:tab/>
      </w:r>
      <w:r w:rsidR="00A359E9">
        <w:t>III</w:t>
      </w:r>
      <w:r>
        <w:t>.</w:t>
      </w:r>
      <w:r>
        <w:tab/>
      </w:r>
      <w:r w:rsidR="00E9049A" w:rsidRPr="00E9049A">
        <w:rPr>
          <w:lang w:val="en-CA"/>
        </w:rPr>
        <w:t>Good practices by businesses</w:t>
      </w:r>
    </w:p>
    <w:p w14:paraId="4BC36826" w14:textId="4DE5FDAA" w:rsidR="000B6361" w:rsidRPr="00513D84" w:rsidRDefault="000B6361" w:rsidP="00F4611E">
      <w:pPr>
        <w:pStyle w:val="ParNoG"/>
      </w:pPr>
      <w:r>
        <w:t>Research by the Special Rapporteur and students working under his supervision revealed that t</w:t>
      </w:r>
      <w:r w:rsidRPr="00513D84">
        <w:t>here are many, many examples of small and medium sized businesses that are making admirable efforts to provide sustainable goods and services, in sectors including renewable energy, fair trade and organic agriculture, energy efficient goods and services, products independently certified as “cradle to cradle”, sustainable transport (e.g. bicycles and e-bikes)</w:t>
      </w:r>
      <w:r>
        <w:t>, and products that can be repaired, reused, and ultimately recycled</w:t>
      </w:r>
      <w:r w:rsidRPr="00513D84">
        <w:t xml:space="preserve">. </w:t>
      </w:r>
    </w:p>
    <w:p w14:paraId="227F5705" w14:textId="15E94136" w:rsidR="000B6361" w:rsidRPr="0032634E" w:rsidRDefault="000B6361" w:rsidP="00F4611E">
      <w:pPr>
        <w:pStyle w:val="ParNoG"/>
        <w:rPr>
          <w:color w:val="000000" w:themeColor="text1"/>
        </w:rPr>
      </w:pPr>
      <w:r w:rsidRPr="00513D84">
        <w:t xml:space="preserve">Thousands of businesses have altered their purposes to become benefit corporations, providing </w:t>
      </w:r>
      <w:r>
        <w:t xml:space="preserve">substantial </w:t>
      </w:r>
      <w:r w:rsidRPr="00513D84">
        <w:t>societal benefits and serving a broader range of rights holders and other stakeholders than the conventional shareholder</w:t>
      </w:r>
      <w:r>
        <w:t>-</w:t>
      </w:r>
      <w:r w:rsidRPr="00513D84">
        <w:t>focused corporation.</w:t>
      </w:r>
      <w:r>
        <w:rPr>
          <w:rStyle w:val="FootnoteReference"/>
        </w:rPr>
        <w:footnoteReference w:id="13"/>
      </w:r>
      <w:r w:rsidRPr="00513D84">
        <w:t xml:space="preserve"> Examples include </w:t>
      </w:r>
      <w:r w:rsidRPr="00221E20">
        <w:rPr>
          <w:b/>
          <w:bCs/>
        </w:rPr>
        <w:t xml:space="preserve">Patagonia, Kickstarter, </w:t>
      </w:r>
      <w:proofErr w:type="spellStart"/>
      <w:r w:rsidRPr="00221E20">
        <w:rPr>
          <w:b/>
          <w:bCs/>
        </w:rPr>
        <w:t>Warby</w:t>
      </w:r>
      <w:proofErr w:type="spellEnd"/>
      <w:r w:rsidRPr="00221E20">
        <w:rPr>
          <w:b/>
          <w:bCs/>
        </w:rPr>
        <w:t xml:space="preserve"> Parker, Body Shop, </w:t>
      </w:r>
      <w:r w:rsidRPr="00221E20">
        <w:rPr>
          <w:b/>
          <w:bCs/>
          <w:color w:val="000000" w:themeColor="text1"/>
        </w:rPr>
        <w:t xml:space="preserve">TOMS, </w:t>
      </w:r>
      <w:r w:rsidRPr="0032634E">
        <w:rPr>
          <w:color w:val="000000" w:themeColor="text1"/>
        </w:rPr>
        <w:t xml:space="preserve">and </w:t>
      </w:r>
      <w:r w:rsidRPr="00221E20">
        <w:rPr>
          <w:b/>
          <w:bCs/>
          <w:color w:val="000000" w:themeColor="text1"/>
        </w:rPr>
        <w:t>Moodle</w:t>
      </w:r>
      <w:r w:rsidRPr="0032634E">
        <w:rPr>
          <w:color w:val="000000" w:themeColor="text1"/>
        </w:rPr>
        <w:t>.</w:t>
      </w:r>
      <w:r w:rsidRPr="00F4611E">
        <w:rPr>
          <w:rStyle w:val="FootnoteReference"/>
          <w:color w:val="000000" w:themeColor="text1"/>
          <w:szCs w:val="14"/>
        </w:rPr>
        <w:footnoteReference w:id="14"/>
      </w:r>
      <w:r w:rsidRPr="0032634E">
        <w:rPr>
          <w:color w:val="000000" w:themeColor="text1"/>
        </w:rPr>
        <w:t xml:space="preserve"> </w:t>
      </w:r>
      <w:r w:rsidRPr="00221E20">
        <w:rPr>
          <w:b/>
          <w:bCs/>
          <w:color w:val="000000" w:themeColor="text1"/>
        </w:rPr>
        <w:t>Patagonia</w:t>
      </w:r>
      <w:r w:rsidRPr="0032634E">
        <w:rPr>
          <w:color w:val="000000" w:themeColor="text1"/>
        </w:rPr>
        <w:t xml:space="preserve"> is an outdoor clothing business that pursues the vision of a circular economy, using large volumes of recycled and organic materials in its products, supporting conservation organizations with millions of dollars in grants, and using advertising to discourage consumerism.</w:t>
      </w:r>
      <w:r w:rsidRPr="00F4611E">
        <w:rPr>
          <w:rStyle w:val="FootnoteReference"/>
          <w:color w:val="000000" w:themeColor="text1"/>
          <w:szCs w:val="14"/>
        </w:rPr>
        <w:footnoteReference w:id="15"/>
      </w:r>
      <w:r w:rsidRPr="0032634E">
        <w:rPr>
          <w:color w:val="000000" w:themeColor="text1"/>
        </w:rPr>
        <w:t xml:space="preserve"> </w:t>
      </w:r>
      <w:proofErr w:type="spellStart"/>
      <w:r w:rsidRPr="00221E20">
        <w:rPr>
          <w:b/>
          <w:bCs/>
          <w:color w:val="000000" w:themeColor="text1"/>
          <w:lang w:val="en-US"/>
        </w:rPr>
        <w:t>Barnana</w:t>
      </w:r>
      <w:proofErr w:type="spellEnd"/>
      <w:r>
        <w:rPr>
          <w:color w:val="000000" w:themeColor="text1"/>
          <w:lang w:val="en-US"/>
        </w:rPr>
        <w:t xml:space="preserve"> is a benefit corporation that upcycles organic but imperfect bananas and plantains that are rejected for export, turning them into healthy snacks.</w:t>
      </w:r>
      <w:r>
        <w:rPr>
          <w:rStyle w:val="FootnoteReference"/>
          <w:color w:val="000000" w:themeColor="text1"/>
          <w:lang w:val="en-US"/>
        </w:rPr>
        <w:footnoteReference w:id="16"/>
      </w:r>
      <w:r>
        <w:rPr>
          <w:color w:val="000000" w:themeColor="text1"/>
          <w:lang w:val="en-US"/>
        </w:rPr>
        <w:t xml:space="preserve"> </w:t>
      </w:r>
      <w:proofErr w:type="spellStart"/>
      <w:r w:rsidRPr="00221E20">
        <w:rPr>
          <w:b/>
          <w:bCs/>
          <w:color w:val="000000" w:themeColor="text1"/>
          <w:lang w:val="en-US"/>
        </w:rPr>
        <w:t>Allbirds</w:t>
      </w:r>
      <w:proofErr w:type="spellEnd"/>
      <w:r>
        <w:rPr>
          <w:color w:val="000000" w:themeColor="text1"/>
          <w:lang w:val="en-US"/>
        </w:rPr>
        <w:t xml:space="preserve"> is a sustainable footwear benefit corporation with a strong reputation for ethical sourcing, production, recycling and re-use. </w:t>
      </w:r>
    </w:p>
    <w:p w14:paraId="3D6BDEF3" w14:textId="4A767F2E" w:rsidR="000B6361" w:rsidRPr="00F4611E" w:rsidRDefault="000B6361" w:rsidP="00F4611E">
      <w:pPr>
        <w:pStyle w:val="ParNoG"/>
        <w:rPr>
          <w:color w:val="000000" w:themeColor="text1"/>
          <w:lang w:val="en-US"/>
        </w:rPr>
      </w:pPr>
      <w:r>
        <w:t xml:space="preserve">There are many inspiring renewable energy businesses, ranging from local to global. A growing number of solar panel manufacturers, including </w:t>
      </w:r>
      <w:proofErr w:type="spellStart"/>
      <w:r w:rsidRPr="000E2804">
        <w:rPr>
          <w:b/>
          <w:bCs/>
        </w:rPr>
        <w:t>Solitek</w:t>
      </w:r>
      <w:proofErr w:type="spellEnd"/>
      <w:r>
        <w:t xml:space="preserve"> and </w:t>
      </w:r>
      <w:r w:rsidRPr="000E2804">
        <w:rPr>
          <w:b/>
          <w:bCs/>
        </w:rPr>
        <w:t>SunPower</w:t>
      </w:r>
      <w:r>
        <w:t>, are achieving Cradle-to-Cradle certification, based on their small ecological footprint, avoidance of toxic substances and recyclability.</w:t>
      </w:r>
      <w:r w:rsidRPr="00F4611E">
        <w:rPr>
          <w:rStyle w:val="FootnoteReference"/>
        </w:rPr>
        <w:footnoteReference w:id="17"/>
      </w:r>
      <w:r>
        <w:t xml:space="preserve"> </w:t>
      </w:r>
      <w:proofErr w:type="spellStart"/>
      <w:r w:rsidRPr="00221E20">
        <w:rPr>
          <w:b/>
          <w:bCs/>
          <w:color w:val="000000" w:themeColor="text1"/>
          <w:lang w:val="en-US"/>
        </w:rPr>
        <w:t>Ørsted</w:t>
      </w:r>
      <w:proofErr w:type="spellEnd"/>
      <w:r w:rsidRPr="00221E20">
        <w:rPr>
          <w:b/>
          <w:bCs/>
          <w:color w:val="000000" w:themeColor="text1"/>
          <w:lang w:val="en-US"/>
        </w:rPr>
        <w:t xml:space="preserve"> </w:t>
      </w:r>
      <w:r w:rsidRPr="00221E20">
        <w:rPr>
          <w:color w:val="000000" w:themeColor="text1"/>
          <w:lang w:val="en-US"/>
        </w:rPr>
        <w:t>i</w:t>
      </w:r>
      <w:r w:rsidRPr="0032634E">
        <w:rPr>
          <w:color w:val="000000" w:themeColor="text1"/>
          <w:lang w:val="en-US"/>
        </w:rPr>
        <w:t xml:space="preserve">s an energy company based in </w:t>
      </w:r>
      <w:r w:rsidRPr="00221E20">
        <w:rPr>
          <w:b/>
          <w:bCs/>
          <w:color w:val="000000" w:themeColor="text1"/>
          <w:lang w:val="en-US"/>
        </w:rPr>
        <w:t>Denmark</w:t>
      </w:r>
      <w:r w:rsidRPr="0032634E">
        <w:rPr>
          <w:color w:val="000000" w:themeColor="text1"/>
          <w:lang w:val="en-US"/>
        </w:rPr>
        <w:t xml:space="preserve"> that has achieved a rapid transformation from a business based almost entirely on fossil fuels (responsible for one-third of Danish carbon emissions in 2006) to almost complete reliance on renewable forms of energy, resulting in an 86 percent decrease in emissions since 2006.</w:t>
      </w:r>
      <w:r>
        <w:rPr>
          <w:rStyle w:val="FootnoteReference"/>
          <w:color w:val="000000" w:themeColor="text1"/>
          <w:lang w:val="en-US"/>
        </w:rPr>
        <w:footnoteReference w:id="18"/>
      </w:r>
    </w:p>
    <w:p w14:paraId="6E54D715" w14:textId="78711524" w:rsidR="000B6361" w:rsidRPr="00513D84" w:rsidRDefault="000B6361" w:rsidP="00F4611E">
      <w:pPr>
        <w:pStyle w:val="ParNoG"/>
      </w:pPr>
      <w:r w:rsidRPr="00513D84">
        <w:t xml:space="preserve">Highly successful smaller businesses that have strong social and environmental records are often bought by much larger businesses, </w:t>
      </w:r>
      <w:r>
        <w:t xml:space="preserve">potentially </w:t>
      </w:r>
      <w:r w:rsidRPr="00513D84">
        <w:t xml:space="preserve">leading to the loss of the strong sustainability </w:t>
      </w:r>
      <w:r>
        <w:t xml:space="preserve">and human rights </w:t>
      </w:r>
      <w:r w:rsidRPr="00513D84">
        <w:t xml:space="preserve">focus. However, it is possible to include specific clauses in purchase agreements that enable the business being purchased to maintain its core environmental and social missions, as exemplified by </w:t>
      </w:r>
      <w:r w:rsidRPr="00221E20">
        <w:rPr>
          <w:b/>
          <w:bCs/>
        </w:rPr>
        <w:t>Ben &amp; Jerry’s</w:t>
      </w:r>
      <w:r w:rsidRPr="00513D84">
        <w:t xml:space="preserve"> (ice cream) and </w:t>
      </w:r>
      <w:r w:rsidRPr="00221E20">
        <w:rPr>
          <w:b/>
          <w:bCs/>
        </w:rPr>
        <w:t>Seventh Generation</w:t>
      </w:r>
      <w:r w:rsidRPr="00513D84">
        <w:t xml:space="preserve"> (household cleaning and personal care products</w:t>
      </w:r>
      <w:r>
        <w:t>)</w:t>
      </w:r>
      <w:r w:rsidRPr="00513D84">
        <w:t>.</w:t>
      </w:r>
      <w:r w:rsidRPr="00F4611E">
        <w:rPr>
          <w:rStyle w:val="FootnoteReference"/>
          <w:szCs w:val="14"/>
        </w:rPr>
        <w:footnoteReference w:id="19"/>
      </w:r>
    </w:p>
    <w:p w14:paraId="47CC336B" w14:textId="77777777" w:rsidR="000B6361" w:rsidRPr="00513D84" w:rsidRDefault="000B6361" w:rsidP="000B6361"/>
    <w:p w14:paraId="7FDD7432" w14:textId="47B2FD8C" w:rsidR="000B6361" w:rsidRPr="00513D84" w:rsidRDefault="000B6361" w:rsidP="00B95B79">
      <w:pPr>
        <w:pStyle w:val="ParNoG"/>
      </w:pPr>
      <w:r w:rsidRPr="00221E20">
        <w:rPr>
          <w:b/>
          <w:bCs/>
        </w:rPr>
        <w:t>Unilever</w:t>
      </w:r>
      <w:r w:rsidRPr="00513D84">
        <w:t xml:space="preserve"> has published a</w:t>
      </w:r>
      <w:r>
        <w:t xml:space="preserve"> useful</w:t>
      </w:r>
      <w:r w:rsidRPr="00513D84">
        <w:t xml:space="preserve"> guide to the actions that businesses should take to support human rights defenders.</w:t>
      </w:r>
      <w:r w:rsidRPr="00513D84">
        <w:rPr>
          <w:rStyle w:val="FootnoteReference"/>
          <w:sz w:val="24"/>
        </w:rPr>
        <w:footnoteReference w:id="20"/>
      </w:r>
      <w:r w:rsidRPr="00513D84">
        <w:t xml:space="preserve"> The guiding principles recognized by Unilever include:</w:t>
      </w:r>
    </w:p>
    <w:p w14:paraId="6DBFAAAE" w14:textId="2518A304" w:rsidR="000B6361" w:rsidRPr="00513D84" w:rsidRDefault="000B6361" w:rsidP="00E43A92">
      <w:pPr>
        <w:pStyle w:val="SingleTxtG"/>
        <w:ind w:left="1418"/>
      </w:pPr>
      <w:r w:rsidRPr="00513D84">
        <w:tab/>
        <w:t>-</w:t>
      </w:r>
      <w:r w:rsidR="00E43A92">
        <w:t xml:space="preserve"> </w:t>
      </w:r>
      <w:r w:rsidRPr="00513D84">
        <w:t xml:space="preserve">human rights defenders and the importance of their </w:t>
      </w:r>
      <w:proofErr w:type="gramStart"/>
      <w:r w:rsidRPr="00513D84">
        <w:t>role;</w:t>
      </w:r>
      <w:proofErr w:type="gramEnd"/>
    </w:p>
    <w:p w14:paraId="6D03D39D" w14:textId="77777777" w:rsidR="000B6361" w:rsidRPr="00513D84" w:rsidRDefault="000B6361" w:rsidP="00E43A92">
      <w:pPr>
        <w:pStyle w:val="SingleTxtG"/>
        <w:ind w:left="1418"/>
      </w:pPr>
      <w:r w:rsidRPr="00513D84">
        <w:tab/>
        <w:t xml:space="preserve">- human rights defenders’ </w:t>
      </w:r>
      <w:proofErr w:type="gramStart"/>
      <w:r w:rsidRPr="00513D84">
        <w:t>vulnerability;</w:t>
      </w:r>
      <w:proofErr w:type="gramEnd"/>
    </w:p>
    <w:p w14:paraId="2D2BEA75" w14:textId="77777777" w:rsidR="00E43A92" w:rsidRDefault="000B6361" w:rsidP="00E43A92">
      <w:pPr>
        <w:pStyle w:val="SingleTxtG"/>
        <w:ind w:left="1418"/>
      </w:pPr>
      <w:r w:rsidRPr="00513D84">
        <w:tab/>
        <w:t>-</w:t>
      </w:r>
      <w:r w:rsidR="00E43A92">
        <w:t xml:space="preserve"> </w:t>
      </w:r>
      <w:r w:rsidRPr="00513D84">
        <w:t xml:space="preserve">the respective roles of States and </w:t>
      </w:r>
      <w:proofErr w:type="gramStart"/>
      <w:r w:rsidRPr="00513D84">
        <w:t>businesses;</w:t>
      </w:r>
      <w:proofErr w:type="gramEnd"/>
    </w:p>
    <w:p w14:paraId="37E551AC" w14:textId="30BBF9CA" w:rsidR="000B6361" w:rsidRPr="00513D84" w:rsidRDefault="00E43A92" w:rsidP="004730D2">
      <w:pPr>
        <w:pStyle w:val="SingleTxtG"/>
        <w:ind w:left="1843" w:hanging="142"/>
      </w:pPr>
      <w:r>
        <w:t>-</w:t>
      </w:r>
      <w:r w:rsidR="004730D2">
        <w:t xml:space="preserve"> </w:t>
      </w:r>
      <w:r w:rsidR="000B6361" w:rsidRPr="00513D84">
        <w:t>the need for meaningful and safe dialogue and constructive engagement with human rights defenders; and</w:t>
      </w:r>
    </w:p>
    <w:p w14:paraId="737AFB90" w14:textId="13C3AA07" w:rsidR="000B6361" w:rsidRPr="00513D84" w:rsidRDefault="000B6361" w:rsidP="004730D2">
      <w:pPr>
        <w:pStyle w:val="SingleTxtG"/>
        <w:ind w:left="1418"/>
      </w:pPr>
      <w:r w:rsidRPr="00513D84">
        <w:tab/>
        <w:t>-</w:t>
      </w:r>
      <w:r w:rsidR="004730D2">
        <w:t xml:space="preserve"> </w:t>
      </w:r>
      <w:r w:rsidRPr="00513D84">
        <w:t>the importance of grievance mechanisms and redress.</w:t>
      </w:r>
    </w:p>
    <w:p w14:paraId="5011B979" w14:textId="77777777" w:rsidR="000B6361" w:rsidRDefault="000B6361" w:rsidP="00E43A92">
      <w:pPr>
        <w:pStyle w:val="ParNoG"/>
        <w:rPr>
          <w:rFonts w:eastAsia="Calibri"/>
        </w:rPr>
      </w:pPr>
      <w:r w:rsidRPr="00513D84">
        <w:rPr>
          <w:rFonts w:eastAsia="Calibri"/>
          <w:color w:val="000000" w:themeColor="text1"/>
        </w:rPr>
        <w:t xml:space="preserve">Businesses should change their policies and practices </w:t>
      </w:r>
      <w:r w:rsidRPr="00513D84">
        <w:rPr>
          <w:rFonts w:eastAsia="Calibri"/>
        </w:rPr>
        <w:t xml:space="preserve">to address structural or systemic problems identified through operational-level grievance mechanism processes, and publicly disclose the nature of those changes. </w:t>
      </w:r>
    </w:p>
    <w:p w14:paraId="0BC2F60A" w14:textId="5434BF8C" w:rsidR="000B6361" w:rsidRDefault="000B6361" w:rsidP="00E43A92">
      <w:pPr>
        <w:pStyle w:val="ParNoG"/>
      </w:pPr>
      <w:r w:rsidRPr="00221E20">
        <w:rPr>
          <w:b/>
          <w:bCs/>
        </w:rPr>
        <w:t>Danone</w:t>
      </w:r>
      <w:r w:rsidRPr="00EE77BA">
        <w:t xml:space="preserve">, a transnational food corporation, promotes regenerative agriculture to protect soil, empower farmers and promote animal welfare, and provides financial and technical support to more than 100,000 farmers worldwide. In </w:t>
      </w:r>
      <w:r w:rsidRPr="00221E20">
        <w:rPr>
          <w:b/>
          <w:bCs/>
        </w:rPr>
        <w:t>Mexico</w:t>
      </w:r>
      <w:r w:rsidRPr="00EE77BA">
        <w:t xml:space="preserve">, for example, it supports strawberry producers to implement sustainable soil practices and better water management, reducing the environmental impacts of growing strawberries while increasing producers’ income. In </w:t>
      </w:r>
      <w:r w:rsidRPr="00221E20">
        <w:rPr>
          <w:b/>
          <w:bCs/>
        </w:rPr>
        <w:t>Senegal</w:t>
      </w:r>
      <w:r w:rsidRPr="00EE77BA">
        <w:t>, Danone supported the one of the world’s largest mangrove restoration projects, with 79 million mangrove trees replanted in 10,000 hectares.</w:t>
      </w:r>
      <w:r w:rsidRPr="00540A03">
        <w:rPr>
          <w:rStyle w:val="FootnoteReference"/>
          <w:color w:val="000000" w:themeColor="text1"/>
          <w:szCs w:val="14"/>
        </w:rPr>
        <w:footnoteReference w:id="21"/>
      </w:r>
    </w:p>
    <w:p w14:paraId="421A9E39" w14:textId="467DD038" w:rsidR="000B6361" w:rsidRPr="00513D84" w:rsidRDefault="000B6361" w:rsidP="00E43A92">
      <w:pPr>
        <w:pStyle w:val="ParNoG"/>
        <w:rPr>
          <w:color w:val="000000" w:themeColor="text1"/>
        </w:rPr>
      </w:pPr>
      <w:r w:rsidRPr="00E27FD6">
        <w:rPr>
          <w:rFonts w:eastAsia="Calibri"/>
        </w:rPr>
        <w:t xml:space="preserve">The </w:t>
      </w:r>
      <w:r w:rsidRPr="00E27FD6">
        <w:rPr>
          <w:rFonts w:eastAsia="Calibri"/>
          <w:b/>
          <w:bCs/>
        </w:rPr>
        <w:t>Business and Human Rights Resource Centre</w:t>
      </w:r>
      <w:r w:rsidRPr="00E27FD6">
        <w:rPr>
          <w:rFonts w:eastAsia="Calibri"/>
        </w:rPr>
        <w:t xml:space="preserve"> and the </w:t>
      </w:r>
      <w:r w:rsidRPr="00E27FD6">
        <w:rPr>
          <w:rFonts w:eastAsia="Calibri"/>
          <w:b/>
        </w:rPr>
        <w:t>International Service for</w:t>
      </w:r>
      <w:r w:rsidRPr="00221E20">
        <w:rPr>
          <w:rFonts w:eastAsia="Calibri"/>
          <w:b/>
        </w:rPr>
        <w:t xml:space="preserve"> Human Rights</w:t>
      </w:r>
      <w:r w:rsidRPr="00513D84">
        <w:rPr>
          <w:rFonts w:eastAsia="Calibri"/>
        </w:rPr>
        <w:t xml:space="preserve"> published a report called “Shared Space Under Pressure: Business Support for Civic Freedoms and Human Rights Defenders, Guidance for Companies that identifies business responsibilities, key human rights principles and critical actions.</w:t>
      </w:r>
      <w:r w:rsidRPr="00540A03">
        <w:rPr>
          <w:rStyle w:val="FootnoteReference"/>
          <w:rFonts w:eastAsia="Calibri"/>
          <w:szCs w:val="14"/>
        </w:rPr>
        <w:footnoteReference w:id="22"/>
      </w:r>
      <w:r w:rsidRPr="00513D84">
        <w:rPr>
          <w:rFonts w:eastAsia="Calibri"/>
        </w:rPr>
        <w:t xml:space="preserve"> The report is very strong on the importance of establishing</w:t>
      </w:r>
      <w:r w:rsidRPr="00513D84">
        <w:t xml:space="preserve"> o</w:t>
      </w:r>
      <w:r w:rsidRPr="00513D84">
        <w:rPr>
          <w:color w:val="000000" w:themeColor="text1"/>
        </w:rPr>
        <w:t>perational-level grievance mechanisms</w:t>
      </w:r>
      <w:r w:rsidRPr="00513D84">
        <w:rPr>
          <w:rFonts w:eastAsia="Calibri"/>
        </w:rPr>
        <w:t xml:space="preserve"> with an </w:t>
      </w:r>
      <w:r w:rsidRPr="00513D84">
        <w:rPr>
          <w:rFonts w:eastAsia="Calibri"/>
          <w:highlight w:val="white"/>
        </w:rPr>
        <w:t xml:space="preserve">explicit mandate to consider impacts on </w:t>
      </w:r>
      <w:r w:rsidRPr="00513D84">
        <w:rPr>
          <w:rFonts w:eastAsia="Calibri"/>
          <w:color w:val="000000" w:themeColor="text1"/>
          <w:highlight w:val="white"/>
        </w:rPr>
        <w:t>human rights defenders</w:t>
      </w:r>
      <w:r w:rsidRPr="00513D84">
        <w:rPr>
          <w:rFonts w:eastAsia="Calibri"/>
          <w:color w:val="000000" w:themeColor="text1"/>
        </w:rPr>
        <w:t>. Key elements include</w:t>
      </w:r>
      <w:r>
        <w:rPr>
          <w:rFonts w:eastAsia="Calibri"/>
          <w:color w:val="000000" w:themeColor="text1"/>
        </w:rPr>
        <w:t>:</w:t>
      </w:r>
    </w:p>
    <w:p w14:paraId="1234B81E" w14:textId="77777777" w:rsidR="000B6361" w:rsidRPr="00513D84" w:rsidRDefault="000B6361" w:rsidP="00540A03">
      <w:pPr>
        <w:pStyle w:val="SingleTxt"/>
        <w:numPr>
          <w:ilvl w:val="0"/>
          <w:numId w:val="33"/>
        </w:numPr>
        <w:ind w:left="1701" w:hanging="283"/>
        <w:rPr>
          <w:rFonts w:eastAsia="Calibri"/>
          <w:highlight w:val="white"/>
        </w:rPr>
      </w:pPr>
      <w:r w:rsidRPr="00513D84">
        <w:rPr>
          <w:rFonts w:eastAsia="Calibri"/>
          <w:highlight w:val="white"/>
        </w:rPr>
        <w:t xml:space="preserve">sufficient protections for confidentiality and anonymity, where required or desired by the </w:t>
      </w:r>
      <w:proofErr w:type="gramStart"/>
      <w:r w:rsidRPr="00513D84">
        <w:rPr>
          <w:rFonts w:eastAsia="Calibri"/>
          <w:highlight w:val="white"/>
        </w:rPr>
        <w:t>complainant;</w:t>
      </w:r>
      <w:proofErr w:type="gramEnd"/>
      <w:r w:rsidRPr="00513D84">
        <w:rPr>
          <w:rFonts w:eastAsia="Calibri"/>
          <w:highlight w:val="white"/>
        </w:rPr>
        <w:t xml:space="preserve"> </w:t>
      </w:r>
    </w:p>
    <w:p w14:paraId="0B880E59" w14:textId="77777777" w:rsidR="000B6361" w:rsidRPr="00513D84" w:rsidRDefault="000B6361" w:rsidP="00540A03">
      <w:pPr>
        <w:pStyle w:val="SingleTxt"/>
        <w:numPr>
          <w:ilvl w:val="0"/>
          <w:numId w:val="33"/>
        </w:numPr>
        <w:ind w:left="1701" w:hanging="283"/>
        <w:rPr>
          <w:rFonts w:eastAsia="Calibri"/>
          <w:highlight w:val="white"/>
        </w:rPr>
      </w:pPr>
      <w:r w:rsidRPr="00513D84">
        <w:rPr>
          <w:rFonts w:eastAsia="Calibri"/>
          <w:highlight w:val="white"/>
        </w:rPr>
        <w:t xml:space="preserve">accessibility via a range of modalities (in-person, written, virtual) and relevant </w:t>
      </w:r>
      <w:proofErr w:type="gramStart"/>
      <w:r w:rsidRPr="00513D84">
        <w:rPr>
          <w:rFonts w:eastAsia="Calibri"/>
          <w:highlight w:val="white"/>
        </w:rPr>
        <w:t>languages;</w:t>
      </w:r>
      <w:proofErr w:type="gramEnd"/>
      <w:r w:rsidRPr="00513D84">
        <w:rPr>
          <w:rFonts w:eastAsia="Calibri"/>
          <w:highlight w:val="white"/>
        </w:rPr>
        <w:t xml:space="preserve"> </w:t>
      </w:r>
    </w:p>
    <w:p w14:paraId="7D9B2FB0" w14:textId="77777777" w:rsidR="000B6361" w:rsidRPr="00513D84" w:rsidRDefault="000B6361" w:rsidP="00540A03">
      <w:pPr>
        <w:pStyle w:val="SingleTxt"/>
        <w:numPr>
          <w:ilvl w:val="0"/>
          <w:numId w:val="33"/>
        </w:numPr>
        <w:ind w:left="1701" w:hanging="283"/>
        <w:rPr>
          <w:rFonts w:eastAsia="Calibri"/>
          <w:highlight w:val="white"/>
        </w:rPr>
      </w:pPr>
      <w:r w:rsidRPr="00513D84">
        <w:rPr>
          <w:rFonts w:eastAsia="Calibri"/>
          <w:highlight w:val="white"/>
        </w:rPr>
        <w:t xml:space="preserve">dedicated and sufficient financial and human </w:t>
      </w:r>
      <w:proofErr w:type="gramStart"/>
      <w:r w:rsidRPr="00513D84">
        <w:rPr>
          <w:rFonts w:eastAsia="Calibri"/>
          <w:highlight w:val="white"/>
        </w:rPr>
        <w:t>resources;</w:t>
      </w:r>
      <w:proofErr w:type="gramEnd"/>
      <w:r w:rsidRPr="00513D84">
        <w:rPr>
          <w:rFonts w:eastAsia="Calibri"/>
          <w:highlight w:val="white"/>
        </w:rPr>
        <w:t xml:space="preserve"> </w:t>
      </w:r>
    </w:p>
    <w:p w14:paraId="45817E74" w14:textId="77777777" w:rsidR="000B6361" w:rsidRPr="00513D84" w:rsidRDefault="000B6361" w:rsidP="00540A03">
      <w:pPr>
        <w:pStyle w:val="SingleTxt"/>
        <w:numPr>
          <w:ilvl w:val="0"/>
          <w:numId w:val="33"/>
        </w:numPr>
        <w:ind w:left="1701" w:hanging="283"/>
        <w:rPr>
          <w:rFonts w:eastAsia="Calibri"/>
          <w:highlight w:val="white"/>
        </w:rPr>
      </w:pPr>
      <w:r w:rsidRPr="00513D84">
        <w:rPr>
          <w:rFonts w:eastAsia="Calibri"/>
          <w:highlight w:val="white"/>
        </w:rPr>
        <w:t xml:space="preserve">publicly available instructions on the mandate of the grievance mechanism and how to use it, available in local </w:t>
      </w:r>
      <w:proofErr w:type="gramStart"/>
      <w:r w:rsidRPr="00513D84">
        <w:rPr>
          <w:rFonts w:eastAsia="Calibri"/>
          <w:highlight w:val="white"/>
        </w:rPr>
        <w:t>languages;</w:t>
      </w:r>
      <w:proofErr w:type="gramEnd"/>
      <w:r w:rsidRPr="00513D84">
        <w:rPr>
          <w:rFonts w:eastAsia="Calibri"/>
          <w:highlight w:val="white"/>
        </w:rPr>
        <w:t xml:space="preserve"> </w:t>
      </w:r>
    </w:p>
    <w:p w14:paraId="13DD0A60" w14:textId="77777777" w:rsidR="000B6361" w:rsidRPr="00513D84" w:rsidRDefault="000B6361" w:rsidP="00540A03">
      <w:pPr>
        <w:pStyle w:val="SingleTxt"/>
        <w:numPr>
          <w:ilvl w:val="0"/>
          <w:numId w:val="33"/>
        </w:numPr>
        <w:ind w:left="1701" w:hanging="283"/>
        <w:rPr>
          <w:rFonts w:eastAsia="Calibri"/>
        </w:rPr>
      </w:pPr>
      <w:r w:rsidRPr="00513D84">
        <w:rPr>
          <w:rFonts w:eastAsia="Calibri"/>
        </w:rPr>
        <w:t xml:space="preserve">a process in place for on-boarding input from meaningful public engagement during business decision-making processes. </w:t>
      </w:r>
    </w:p>
    <w:p w14:paraId="41DC4A89" w14:textId="34B83A48" w:rsidR="00E9049A" w:rsidRDefault="006609E2" w:rsidP="00C1246E">
      <w:pPr>
        <w:pStyle w:val="HChG"/>
        <w:rPr>
          <w:bCs/>
          <w:lang w:val="en-CA"/>
        </w:rPr>
      </w:pPr>
      <w:r>
        <w:rPr>
          <w:lang w:val="en-CA"/>
        </w:rPr>
        <w:tab/>
      </w:r>
      <w:r w:rsidR="00C1246E">
        <w:rPr>
          <w:lang w:val="en-CA"/>
        </w:rPr>
        <w:t>IV</w:t>
      </w:r>
      <w:r>
        <w:rPr>
          <w:lang w:val="en-CA"/>
        </w:rPr>
        <w:t>.</w:t>
      </w:r>
      <w:r>
        <w:rPr>
          <w:lang w:val="en-CA"/>
        </w:rPr>
        <w:tab/>
      </w:r>
      <w:r w:rsidR="006727C3" w:rsidRPr="006727C3">
        <w:rPr>
          <w:bCs/>
          <w:lang w:val="en-CA"/>
        </w:rPr>
        <w:t>State actions to protect substantive elements of the right to a healthy environment from businesses</w:t>
      </w:r>
    </w:p>
    <w:p w14:paraId="074EAE24" w14:textId="73248FAA" w:rsidR="006727C3" w:rsidRDefault="006609E2" w:rsidP="006609E2">
      <w:pPr>
        <w:pStyle w:val="ParNoG"/>
        <w:rPr>
          <w:lang w:val="en-CA"/>
        </w:rPr>
      </w:pPr>
      <w:r w:rsidRPr="006609E2">
        <w:rPr>
          <w:lang w:val="en-CA"/>
        </w:rPr>
        <w:t>As detailed in the report (A/HRC/55/43), States have extensive obligations to prevent businesses within their territory, jurisdiction, or control from committing human rights abuses.</w:t>
      </w:r>
      <w:r w:rsidRPr="006609E2">
        <w:rPr>
          <w:vertAlign w:val="superscript"/>
          <w:lang w:val="en-CA"/>
        </w:rPr>
        <w:footnoteReference w:id="23"/>
      </w:r>
      <w:r w:rsidRPr="006609E2">
        <w:rPr>
          <w:lang w:val="en-CA"/>
        </w:rPr>
        <w:t xml:space="preserve"> </w:t>
      </w:r>
      <w:r w:rsidRPr="006609E2">
        <w:rPr>
          <w:lang w:val="en-US"/>
        </w:rPr>
        <w:t xml:space="preserve">These duties require States to act with due diligence, meaning </w:t>
      </w:r>
      <w:r w:rsidRPr="006609E2">
        <w:rPr>
          <w:lang w:val="en-CA"/>
        </w:rPr>
        <w:t xml:space="preserve">they </w:t>
      </w:r>
      <w:r w:rsidRPr="006609E2">
        <w:rPr>
          <w:lang w:val="en-US"/>
        </w:rPr>
        <w:t>must take all reasonable and appropriate measures to protect, preserve and achieve human rights including the right to a healthy environment</w:t>
      </w:r>
      <w:r w:rsidRPr="006609E2">
        <w:rPr>
          <w:lang w:val="en-CA"/>
        </w:rPr>
        <w:t>.</w:t>
      </w:r>
      <w:r w:rsidRPr="006609E2">
        <w:rPr>
          <w:vertAlign w:val="superscript"/>
          <w:lang w:val="en-US"/>
        </w:rPr>
        <w:footnoteReference w:id="24"/>
      </w:r>
      <w:r w:rsidRPr="006609E2">
        <w:rPr>
          <w:b/>
          <w:bCs/>
          <w:lang w:val="en-CA"/>
        </w:rPr>
        <w:t xml:space="preserve"> </w:t>
      </w:r>
      <w:r w:rsidRPr="006609E2">
        <w:rPr>
          <w:lang w:val="en-CA"/>
        </w:rPr>
        <w:t>State obligations apply to both the substantive (clean air, a safe climate, safe and sufficient water, healthy and sustainably produced food, non-toxic environments and healthy ecosystems and biodiversity) and procedural elements (access to information, public participation and access to justice) of the right to a clean, healthy and sustainable environment. Many of the following good practices are drawn from earlier thematic reports of the Special Rapporteur, including annexes of good practices.</w:t>
      </w:r>
      <w:r w:rsidRPr="006609E2">
        <w:rPr>
          <w:vertAlign w:val="superscript"/>
          <w:lang w:val="en-CA"/>
        </w:rPr>
        <w:footnoteReference w:id="25"/>
      </w:r>
    </w:p>
    <w:p w14:paraId="1EA45527" w14:textId="0BB22D54" w:rsidR="006609E2" w:rsidRPr="00AF3337" w:rsidRDefault="0024550F" w:rsidP="00AF3337">
      <w:pPr>
        <w:pStyle w:val="H1G"/>
      </w:pPr>
      <w:r>
        <w:rPr>
          <w:lang w:val="en-CA"/>
        </w:rPr>
        <w:tab/>
      </w:r>
      <w:r w:rsidR="006609E2">
        <w:rPr>
          <w:lang w:val="en-CA"/>
        </w:rPr>
        <w:t>A</w:t>
      </w:r>
      <w:r>
        <w:rPr>
          <w:lang w:val="en-CA"/>
        </w:rPr>
        <w:t>.</w:t>
      </w:r>
      <w:r>
        <w:rPr>
          <w:lang w:val="en-CA"/>
        </w:rPr>
        <w:tab/>
        <w:t>Clean air</w:t>
      </w:r>
    </w:p>
    <w:p w14:paraId="161DA00B" w14:textId="73DFDF61" w:rsidR="0024550F" w:rsidRPr="00AF3337" w:rsidRDefault="0024550F" w:rsidP="0024550F">
      <w:pPr>
        <w:pStyle w:val="ParNoG"/>
        <w:rPr>
          <w:noProof/>
          <w:color w:val="000000" w:themeColor="text1"/>
        </w:rPr>
      </w:pPr>
      <w:r w:rsidRPr="00513D84">
        <w:t xml:space="preserve">There is compelling evidence that enacting and enforcing strong air quality regulations saves lives and prevents illnesses, despite consistent opposition to these regulations from large businesses. Since the Clean Air Act was enacted in 1970, the economy of the </w:t>
      </w:r>
      <w:r w:rsidRPr="00221E20">
        <w:rPr>
          <w:b/>
          <w:bCs/>
        </w:rPr>
        <w:t>United States of America</w:t>
      </w:r>
      <w:r w:rsidRPr="00513D84">
        <w:t xml:space="preserve"> has grown by 262 per cent (measured by increased gross domestic product) while achieving average reductions of 73 per cent for six main air pollutants. Full implementation of the Clean Air Act will prevent 230,000 premature deaths per year by 2020. Its costs are measured in billions of dollars, while the benefits are in the trillions.</w:t>
      </w:r>
      <w:r w:rsidRPr="00AF3337">
        <w:rPr>
          <w:rStyle w:val="FootnoteReference"/>
          <w:szCs w:val="14"/>
        </w:rPr>
        <w:footnoteReference w:id="26"/>
      </w:r>
      <w:r>
        <w:t xml:space="preserve"> Similarly, </w:t>
      </w:r>
      <w:r w:rsidRPr="00513D84">
        <w:rPr>
          <w:noProof/>
          <w:color w:val="000000" w:themeColor="text1"/>
        </w:rPr>
        <w:t xml:space="preserve">air pollution costs 330 billion to 940 billion euros annually in the </w:t>
      </w:r>
      <w:r w:rsidRPr="00221E20">
        <w:rPr>
          <w:b/>
          <w:bCs/>
          <w:noProof/>
          <w:color w:val="000000" w:themeColor="text1"/>
        </w:rPr>
        <w:t>European Union</w:t>
      </w:r>
      <w:r w:rsidRPr="00513D84">
        <w:rPr>
          <w:noProof/>
          <w:color w:val="000000" w:themeColor="text1"/>
        </w:rPr>
        <w:t>, including lost workdays, health-care costs, crop-yield losses and damage to buildings,</w:t>
      </w:r>
      <w:r w:rsidRPr="00AF3337">
        <w:rPr>
          <w:rStyle w:val="FootnoteReference"/>
          <w:szCs w:val="14"/>
        </w:rPr>
        <w:footnoteReference w:id="27"/>
      </w:r>
      <w:r w:rsidRPr="00513D84">
        <w:rPr>
          <w:noProof/>
          <w:color w:val="000000" w:themeColor="text1"/>
        </w:rPr>
        <w:t xml:space="preserve"> whereas measures to improve air quality cost an estimated 70 billion to 80 billion euros annually.</w:t>
      </w:r>
      <w:r w:rsidRPr="00AF3337">
        <w:rPr>
          <w:rStyle w:val="FootnoteReference"/>
          <w:szCs w:val="14"/>
        </w:rPr>
        <w:footnoteReference w:id="28"/>
      </w:r>
    </w:p>
    <w:p w14:paraId="09917D12" w14:textId="782CA265" w:rsidR="0024550F" w:rsidRPr="00513D84" w:rsidRDefault="0024550F" w:rsidP="00AF3337">
      <w:pPr>
        <w:pStyle w:val="ParNoG"/>
      </w:pPr>
      <w:r w:rsidRPr="00513D84">
        <w:t xml:space="preserve">The closure of coal-fired power plants can contribute to dramatic improvements in air quality and reductions in mercury emissions, preventing premature deaths, reducing cases of respiratory illness, cardiovascular disease and cancer, and spurring progress in fulfilling the right to a healthy environment. For example, the closure of 334 coal-fired power plants in the </w:t>
      </w:r>
      <w:r w:rsidRPr="00221E20">
        <w:rPr>
          <w:b/>
          <w:bCs/>
        </w:rPr>
        <w:t>United States</w:t>
      </w:r>
      <w:r w:rsidRPr="00513D84">
        <w:t xml:space="preserve"> between 2005 and 2016 saved an estimated 22,563 lives due to improved air quality.</w:t>
      </w:r>
      <w:r w:rsidRPr="00AF3337">
        <w:rPr>
          <w:rStyle w:val="FootnoteReference"/>
          <w:szCs w:val="14"/>
        </w:rPr>
        <w:footnoteReference w:id="29"/>
      </w:r>
      <w:r w:rsidRPr="00513D84">
        <w:t xml:space="preserve"> More than 40 States have committed to eliminating coal-fired power production by 2030.</w:t>
      </w:r>
      <w:r w:rsidRPr="00AF3337">
        <w:rPr>
          <w:rStyle w:val="FootnoteReference"/>
          <w:szCs w:val="14"/>
        </w:rPr>
        <w:footnoteReference w:id="30"/>
      </w:r>
      <w:r w:rsidRPr="00513D84">
        <w:t xml:space="preserve"> Ten OECD members plus the European Union pledged to end financial support (including export credits and tied aid) for unabated coal-fired power plants from November 2021.</w:t>
      </w:r>
      <w:r w:rsidRPr="00AF3337">
        <w:rPr>
          <w:rStyle w:val="FootnoteReference"/>
          <w:szCs w:val="14"/>
        </w:rPr>
        <w:footnoteReference w:id="31"/>
      </w:r>
    </w:p>
    <w:p w14:paraId="6B361CA1" w14:textId="219D8489" w:rsidR="0024550F" w:rsidRPr="00513D84" w:rsidRDefault="0024550F" w:rsidP="00AF3337">
      <w:pPr>
        <w:pStyle w:val="ParNoG"/>
      </w:pPr>
      <w:r w:rsidRPr="00513D84">
        <w:t>Two initiatives that have dramatically improved air quality in many countries are the phase-out of leaded gasoline and major reductions in the sulphur content of transport fuels. These actions, which were inexcusably delayed in many States by industry lobbying, have produced enormous health, environmental and economic benefits, valued in the trillions of dollars.</w:t>
      </w:r>
      <w:r w:rsidRPr="00B74BE4">
        <w:rPr>
          <w:rStyle w:val="FootnoteReference"/>
          <w:szCs w:val="14"/>
        </w:rPr>
        <w:footnoteReference w:id="32"/>
      </w:r>
    </w:p>
    <w:p w14:paraId="6AA8D188" w14:textId="43EEA474" w:rsidR="0024550F" w:rsidRPr="00513D84" w:rsidRDefault="0024550F" w:rsidP="00AF3337">
      <w:pPr>
        <w:pStyle w:val="ParNoG"/>
      </w:pPr>
      <w:r w:rsidRPr="00513D84">
        <w:rPr>
          <w:noProof/>
          <w:color w:val="000000" w:themeColor="text1"/>
        </w:rPr>
        <w:t xml:space="preserve">Some States charge </w:t>
      </w:r>
      <w:r w:rsidRPr="00513D84">
        <w:t>fees or taxes on air emissions generated by businesses, thus implementing the polluter pays principle. A challenge is to ensure that the price on air emissions is high enough to produce substantial reductions, as affected businesses will raise competitiveness concerns. Another challenge is that different pollutants have different health and environmental impacts, so prices should be higher on emissions of more harmful substances.</w:t>
      </w:r>
      <w:r>
        <w:t xml:space="preserve"> </w:t>
      </w:r>
      <w:r w:rsidRPr="00513D84">
        <w:t xml:space="preserve">Good examples include a tax in </w:t>
      </w:r>
      <w:r w:rsidRPr="00221E20">
        <w:rPr>
          <w:b/>
          <w:bCs/>
        </w:rPr>
        <w:t>Chile</w:t>
      </w:r>
      <w:r w:rsidRPr="00513D84">
        <w:t xml:space="preserve"> on stationary sources of air pollution that is higher for facilities located in more densely populated areas and the national pollution tax in </w:t>
      </w:r>
      <w:r w:rsidRPr="00E27FD6">
        <w:rPr>
          <w:b/>
          <w:bCs/>
        </w:rPr>
        <w:t>France</w:t>
      </w:r>
      <w:r w:rsidRPr="00513D84">
        <w:t xml:space="preserve">. </w:t>
      </w:r>
      <w:r w:rsidRPr="00221E20">
        <w:rPr>
          <w:b/>
          <w:bCs/>
        </w:rPr>
        <w:t>France’s</w:t>
      </w:r>
      <w:r w:rsidRPr="00513D84">
        <w:t xml:space="preserve"> General Tax on Polluting Activities, established in 1999, applies to a wide range of pollutants, including benzene, arsenic, selenium, mercury, nitrogen oxides, sulphur oxides, volatile organic compounds, polycyclic aromatic hydrocarbons, particulate matter, and garbage. French tax rates on air pollutants tripled in 2013 </w:t>
      </w:r>
      <w:proofErr w:type="gramStart"/>
      <w:r w:rsidRPr="00513D84">
        <w:t>in an effort to</w:t>
      </w:r>
      <w:proofErr w:type="gramEnd"/>
      <w:r w:rsidRPr="00513D84">
        <w:t xml:space="preserve"> improve air quality.</w:t>
      </w:r>
      <w:r>
        <w:t xml:space="preserve"> </w:t>
      </w:r>
      <w:r w:rsidRPr="00221E20">
        <w:rPr>
          <w:b/>
          <w:bCs/>
        </w:rPr>
        <w:t>Turkmenistan’s</w:t>
      </w:r>
      <w:r w:rsidRPr="00513D84">
        <w:t xml:space="preserve"> 1996 Law on Protection of Atmospheric Air authorizes a fee on emissions from stationary sources that is based on their toxicity to humans. </w:t>
      </w:r>
    </w:p>
    <w:p w14:paraId="697B3CA0" w14:textId="13666AC0" w:rsidR="0024550F" w:rsidRDefault="0024550F" w:rsidP="00AF3337">
      <w:pPr>
        <w:pStyle w:val="ParNoG"/>
      </w:pPr>
      <w:r w:rsidRPr="00513D84">
        <w:t xml:space="preserve">The </w:t>
      </w:r>
      <w:r w:rsidRPr="00175C6D">
        <w:rPr>
          <w:b/>
          <w:bCs/>
        </w:rPr>
        <w:t>Economic Commission for Europe Convention on Long-range Transboundary Air Pollution</w:t>
      </w:r>
      <w:r w:rsidRPr="00513D84">
        <w:t xml:space="preserve"> is an excellent example of regional cooperation</w:t>
      </w:r>
      <w:r>
        <w:t xml:space="preserve"> that led to stricter regulations on air pollution from industry</w:t>
      </w:r>
      <w:r w:rsidRPr="00513D84">
        <w:t xml:space="preserve">. The Convention was signed in 1979, entered into force in 1983 and is now accompanied by eight protocols. Fifty-one parties from three continents have collaborated to set emission reduction targets, monitor compliance, build </w:t>
      </w:r>
      <w:proofErr w:type="gramStart"/>
      <w:r w:rsidRPr="00513D84">
        <w:t>capacity</w:t>
      </w:r>
      <w:proofErr w:type="gramEnd"/>
      <w:r w:rsidRPr="00513D84">
        <w:t xml:space="preserve"> and raise awareness. Sulphur dioxide emissions in the region have declined 70 per cent since 1990, while nitrogen dioxide emissions fell 40 per cent.</w:t>
      </w:r>
      <w:r w:rsidRPr="00B74BE4">
        <w:rPr>
          <w:rStyle w:val="FootnoteReference"/>
          <w:szCs w:val="14"/>
        </w:rPr>
        <w:footnoteReference w:id="33"/>
      </w:r>
      <w:r w:rsidRPr="00513D84">
        <w:t xml:space="preserve"> Atmospheric emissions of various POPs have decreased significantly since 1990 among Parties to the Convention (</w:t>
      </w:r>
      <w:proofErr w:type="gramStart"/>
      <w:r w:rsidRPr="00513D84">
        <w:t>e.g.</w:t>
      </w:r>
      <w:proofErr w:type="gramEnd"/>
      <w:r w:rsidRPr="00513D84">
        <w:t xml:space="preserve"> 95 per cent for hexachlorobenzene, 75 per cent for PCBs, 70 per cent for dioxins and furans and 83 per cent for PAHs). The 1999 Gothenburg Protocol to Abate Acidification, Eutrophication and Ground-level Ozone, as amended in 2012, is the first legally binding agreement containing obligations to reduce short-lived climate pollutants. </w:t>
      </w:r>
    </w:p>
    <w:p w14:paraId="0CC4E0AC" w14:textId="2BC7DE83" w:rsidR="0024550F" w:rsidRPr="00B74BE4" w:rsidRDefault="0024550F" w:rsidP="00AF3337">
      <w:pPr>
        <w:pStyle w:val="ParNoG"/>
        <w:rPr>
          <w:lang w:val="en-CA"/>
        </w:rPr>
      </w:pPr>
      <w:r w:rsidRPr="00513D84">
        <w:t xml:space="preserve">The shipping industry is a major source of air pollution. The </w:t>
      </w:r>
      <w:r w:rsidRPr="0024550F">
        <w:rPr>
          <w:b/>
          <w:bCs/>
        </w:rPr>
        <w:t>International Maritime Organization</w:t>
      </w:r>
      <w:r w:rsidRPr="00513D84">
        <w:t xml:space="preserve"> recently established a strict new limit for the sulphur content of fuel used in shipping. If implemented by all States</w:t>
      </w:r>
      <w:r>
        <w:t xml:space="preserve"> and complied with by all major shipping businesses</w:t>
      </w:r>
      <w:r w:rsidRPr="00513D84">
        <w:t>, this change will prevent an estimated 570,000 premature deaths between 2020 and 2025.</w:t>
      </w:r>
      <w:r w:rsidRPr="00B74BE4">
        <w:rPr>
          <w:rStyle w:val="FootnoteReference"/>
          <w:szCs w:val="14"/>
        </w:rPr>
        <w:footnoteReference w:id="34"/>
      </w:r>
    </w:p>
    <w:p w14:paraId="5775A665" w14:textId="37544801" w:rsidR="00B74BE4" w:rsidRDefault="00D2235A" w:rsidP="00B74BE4">
      <w:pPr>
        <w:pStyle w:val="H1G"/>
        <w:rPr>
          <w:lang w:val="en-CA"/>
        </w:rPr>
      </w:pPr>
      <w:r>
        <w:rPr>
          <w:lang w:val="en-CA"/>
        </w:rPr>
        <w:tab/>
      </w:r>
      <w:r w:rsidR="00B74BE4">
        <w:rPr>
          <w:lang w:val="en-CA"/>
        </w:rPr>
        <w:t>B</w:t>
      </w:r>
      <w:r>
        <w:rPr>
          <w:lang w:val="en-CA"/>
        </w:rPr>
        <w:t>.</w:t>
      </w:r>
      <w:r>
        <w:rPr>
          <w:lang w:val="en-CA"/>
        </w:rPr>
        <w:tab/>
        <w:t>Safe climate</w:t>
      </w:r>
    </w:p>
    <w:p w14:paraId="01273E2D" w14:textId="57F216CA" w:rsidR="00D712F5" w:rsidRPr="00513D84" w:rsidRDefault="00D712F5" w:rsidP="00D712F5">
      <w:pPr>
        <w:pStyle w:val="ParNoG"/>
        <w:rPr>
          <w:noProof/>
          <w:color w:val="000000" w:themeColor="text1"/>
        </w:rPr>
      </w:pPr>
      <w:r w:rsidRPr="00513D84">
        <w:rPr>
          <w:b/>
          <w:bCs/>
          <w:noProof/>
          <w:color w:val="000000" w:themeColor="text1"/>
        </w:rPr>
        <w:t>France</w:t>
      </w:r>
      <w:r w:rsidRPr="00513D84">
        <w:rPr>
          <w:noProof/>
          <w:color w:val="000000" w:themeColor="text1"/>
        </w:rPr>
        <w:t xml:space="preserve"> was the first nation in the world to prohibit businesses from </w:t>
      </w:r>
      <w:r w:rsidRPr="00513D84">
        <w:t>exploiting shale gas by hydraulic fracturing. This law was challenged by a fossil fuel industry lawsuit but was upheld by the Constitutional Council.</w:t>
      </w:r>
    </w:p>
    <w:p w14:paraId="753F3AD7" w14:textId="12C984A3" w:rsidR="00D712F5" w:rsidRPr="00513D84" w:rsidRDefault="00D712F5" w:rsidP="00D712F5">
      <w:pPr>
        <w:pStyle w:val="ParNoG"/>
      </w:pPr>
      <w:r w:rsidRPr="00513D84">
        <w:rPr>
          <w:b/>
          <w:bCs/>
        </w:rPr>
        <w:t>Costa Rica</w:t>
      </w:r>
      <w:r w:rsidRPr="00513D84">
        <w:t xml:space="preserve"> (by Executive Decree No. 41578) and </w:t>
      </w:r>
      <w:r w:rsidRPr="00513D84">
        <w:rPr>
          <w:b/>
          <w:bCs/>
        </w:rPr>
        <w:t>Belize</w:t>
      </w:r>
      <w:r w:rsidRPr="00513D84">
        <w:t xml:space="preserve"> (by the Petroleum Operations (Maritime Zone Moratorium) Act, 2017) were the first States to prohibit all offshore oil and gas exploration and development, demonstrating climate leadership and protecting marine ecosystems. Denmark and New Zealand have also established limits on exploration for oil and gas.</w:t>
      </w:r>
      <w:r w:rsidRPr="00D712F5">
        <w:rPr>
          <w:rStyle w:val="FootnoteReference"/>
          <w:szCs w:val="14"/>
        </w:rPr>
        <w:footnoteReference w:id="35"/>
      </w:r>
    </w:p>
    <w:p w14:paraId="34521EC1" w14:textId="644DB0CF" w:rsidR="00D712F5" w:rsidRPr="00513D84" w:rsidRDefault="00D712F5" w:rsidP="00D712F5">
      <w:pPr>
        <w:pStyle w:val="ParNoG"/>
      </w:pPr>
      <w:r w:rsidRPr="00513D84">
        <w:rPr>
          <w:b/>
          <w:bCs/>
        </w:rPr>
        <w:t>Canada</w:t>
      </w:r>
      <w:r w:rsidRPr="00513D84">
        <w:t xml:space="preserve"> and the </w:t>
      </w:r>
      <w:r w:rsidRPr="00513D84">
        <w:rPr>
          <w:b/>
          <w:bCs/>
        </w:rPr>
        <w:t>United Kingdom</w:t>
      </w:r>
      <w:r w:rsidRPr="00513D84">
        <w:t xml:space="preserve"> created the Powering Past Coal Alliance in 2017. Sixty States have pledged to end the use of coal to generate electricity (unless accompanied by carbon capture and storage), and a moratorium on new coal-fired power stations (unless accompanied by carbon capture and storage).</w:t>
      </w:r>
      <w:r w:rsidRPr="00D712F5">
        <w:rPr>
          <w:rStyle w:val="FootnoteReference"/>
          <w:szCs w:val="14"/>
        </w:rPr>
        <w:footnoteReference w:id="36"/>
      </w:r>
      <w:r w:rsidRPr="00513D84">
        <w:t xml:space="preserve"> For example, in 2019, </w:t>
      </w:r>
      <w:r w:rsidRPr="00175C6D">
        <w:rPr>
          <w:b/>
          <w:bCs/>
        </w:rPr>
        <w:t xml:space="preserve">Finland </w:t>
      </w:r>
      <w:r w:rsidRPr="00513D84">
        <w:t>enacted law No. 416/2019 that bans the use of coal for electricity generation and heating as of 1 May 2029.</w:t>
      </w:r>
    </w:p>
    <w:p w14:paraId="40CBBD60" w14:textId="38CD320F" w:rsidR="00D712F5" w:rsidRPr="00513D84" w:rsidRDefault="00D712F5" w:rsidP="00D712F5">
      <w:pPr>
        <w:pStyle w:val="ParNoG"/>
        <w:rPr>
          <w:color w:val="000000"/>
          <w:shd w:val="clear" w:color="auto" w:fill="FFFFFF"/>
        </w:rPr>
      </w:pPr>
      <w:r w:rsidRPr="00513D84">
        <w:rPr>
          <w:b/>
          <w:bCs/>
        </w:rPr>
        <w:t>Costa Rica</w:t>
      </w:r>
      <w:r w:rsidRPr="00513D84">
        <w:t xml:space="preserve"> and </w:t>
      </w:r>
      <w:r w:rsidRPr="00513D84">
        <w:rPr>
          <w:b/>
          <w:bCs/>
        </w:rPr>
        <w:t>Denmark</w:t>
      </w:r>
      <w:r w:rsidRPr="00513D84">
        <w:t xml:space="preserve"> formed the Beyond Oil and Gas Alliance and with eight additional States (</w:t>
      </w:r>
      <w:r w:rsidRPr="00513D84">
        <w:rPr>
          <w:b/>
          <w:bCs/>
        </w:rPr>
        <w:t>France</w:t>
      </w:r>
      <w:r w:rsidRPr="00513D84">
        <w:t xml:space="preserve">, </w:t>
      </w:r>
      <w:r w:rsidRPr="00513D84">
        <w:rPr>
          <w:b/>
          <w:bCs/>
        </w:rPr>
        <w:t>Ireland</w:t>
      </w:r>
      <w:r w:rsidRPr="00513D84">
        <w:t xml:space="preserve">, </w:t>
      </w:r>
      <w:r w:rsidRPr="00513D84">
        <w:rPr>
          <w:b/>
          <w:bCs/>
        </w:rPr>
        <w:t>Marshall Islands</w:t>
      </w:r>
      <w:r w:rsidRPr="00513D84">
        <w:t xml:space="preserve">, </w:t>
      </w:r>
      <w:r w:rsidRPr="00513D84">
        <w:rPr>
          <w:b/>
          <w:bCs/>
        </w:rPr>
        <w:t>Portugal</w:t>
      </w:r>
      <w:r w:rsidRPr="00513D84">
        <w:t xml:space="preserve">, </w:t>
      </w:r>
      <w:r w:rsidRPr="00513D84">
        <w:rPr>
          <w:b/>
          <w:bCs/>
        </w:rPr>
        <w:t>Sweden</w:t>
      </w:r>
      <w:r w:rsidRPr="00513D84">
        <w:t xml:space="preserve">, </w:t>
      </w:r>
      <w:r w:rsidRPr="00513D84">
        <w:rPr>
          <w:b/>
          <w:bCs/>
        </w:rPr>
        <w:t>Tuvalu</w:t>
      </w:r>
      <w:r w:rsidRPr="00513D84">
        <w:t xml:space="preserve">, </w:t>
      </w:r>
      <w:r w:rsidRPr="00513D84">
        <w:rPr>
          <w:b/>
          <w:bCs/>
        </w:rPr>
        <w:t>Vanuatu</w:t>
      </w:r>
      <w:r w:rsidRPr="00513D84">
        <w:t xml:space="preserve"> and </w:t>
      </w:r>
      <w:r w:rsidRPr="00513D84">
        <w:rPr>
          <w:b/>
          <w:bCs/>
        </w:rPr>
        <w:t>Wales</w:t>
      </w:r>
      <w:r w:rsidRPr="00513D84">
        <w:t>) have committed to</w:t>
      </w:r>
      <w:r w:rsidRPr="00513D84">
        <w:rPr>
          <w:color w:val="000000"/>
          <w:shd w:val="clear" w:color="auto" w:fill="FFFFFF"/>
        </w:rPr>
        <w:t xml:space="preserve"> end new concessions, licensing or leasing rounds for oil and gas production and exploration and to set a date for ending oil and gas production and exploration on the territory over which they have jurisdiction that aligns with the global goals set out in the Paris Agreement.</w:t>
      </w:r>
      <w:r w:rsidRPr="003C6B9D">
        <w:rPr>
          <w:rStyle w:val="FootnoteReference"/>
          <w:szCs w:val="14"/>
        </w:rPr>
        <w:footnoteReference w:id="37"/>
      </w:r>
    </w:p>
    <w:p w14:paraId="4E2D3B5D" w14:textId="1415A492" w:rsidR="00D712F5" w:rsidRPr="00513D84" w:rsidRDefault="00D712F5" w:rsidP="00D712F5">
      <w:pPr>
        <w:pStyle w:val="ParNoG"/>
      </w:pPr>
      <w:r w:rsidRPr="00513D84">
        <w:t>Dramatic declines in the cost of renewable energy are accelerating the transition to clean energy. In many countries, wind and solar power now provide cheaper electricity than fossil fuels. Global solar electricity generating capacity has grown exponentially from one gigawatt in 2000 (one gigawatt equals one billion watts) to over 1,500 gigawatts in 2023.</w:t>
      </w:r>
      <w:r w:rsidRPr="003C6B9D">
        <w:rPr>
          <w:rStyle w:val="FootnoteReference"/>
          <w:szCs w:val="14"/>
        </w:rPr>
        <w:footnoteReference w:id="38"/>
      </w:r>
      <w:r w:rsidRPr="00513D84">
        <w:t xml:space="preserve"> Thanks to supportive public policies, the top five solar electricity producing countries in the world are now </w:t>
      </w:r>
      <w:r w:rsidRPr="00E27FD6">
        <w:rPr>
          <w:b/>
          <w:bCs/>
        </w:rPr>
        <w:t xml:space="preserve">China, the United States, Japan, </w:t>
      </w:r>
      <w:proofErr w:type="gramStart"/>
      <w:r w:rsidRPr="00E27FD6">
        <w:rPr>
          <w:b/>
          <w:bCs/>
        </w:rPr>
        <w:t>India</w:t>
      </w:r>
      <w:proofErr w:type="gramEnd"/>
      <w:r w:rsidRPr="00E27FD6">
        <w:rPr>
          <w:b/>
          <w:bCs/>
        </w:rPr>
        <w:t xml:space="preserve"> </w:t>
      </w:r>
      <w:r w:rsidRPr="00E27FD6">
        <w:t>and</w:t>
      </w:r>
      <w:r w:rsidRPr="00E27FD6">
        <w:rPr>
          <w:b/>
          <w:bCs/>
        </w:rPr>
        <w:t xml:space="preserve"> Germany</w:t>
      </w:r>
      <w:r w:rsidRPr="00513D84">
        <w:t>.</w:t>
      </w:r>
    </w:p>
    <w:p w14:paraId="3BF59F33" w14:textId="59179E71" w:rsidR="00D712F5" w:rsidRDefault="00D712F5" w:rsidP="00D712F5">
      <w:pPr>
        <w:pStyle w:val="ParNoG"/>
      </w:pPr>
      <w:r w:rsidRPr="00513D84">
        <w:t>The global total of wind electricity generating capacity grew from 17 gigawatts in 2000 to over 1,000 gigawatts in 2023.</w:t>
      </w:r>
      <w:r w:rsidRPr="003C6B9D">
        <w:rPr>
          <w:rStyle w:val="FootnoteReference"/>
          <w:szCs w:val="14"/>
        </w:rPr>
        <w:footnoteReference w:id="39"/>
      </w:r>
      <w:r w:rsidRPr="00513D84">
        <w:t xml:space="preserve"> The top five countries in the world in generating electricity from wind, again thanks to effective public policies, are </w:t>
      </w:r>
      <w:r w:rsidRPr="00E27FD6">
        <w:rPr>
          <w:b/>
          <w:bCs/>
        </w:rPr>
        <w:t xml:space="preserve">China, the United States, Germany, United </w:t>
      </w:r>
      <w:proofErr w:type="gramStart"/>
      <w:r w:rsidRPr="00E27FD6">
        <w:rPr>
          <w:b/>
          <w:bCs/>
        </w:rPr>
        <w:t>Kingdom</w:t>
      </w:r>
      <w:proofErr w:type="gramEnd"/>
      <w:r w:rsidRPr="00E27FD6">
        <w:rPr>
          <w:b/>
          <w:bCs/>
        </w:rPr>
        <w:t xml:space="preserve"> </w:t>
      </w:r>
      <w:r w:rsidRPr="00E27FD6">
        <w:t>and</w:t>
      </w:r>
      <w:r w:rsidRPr="00E27FD6">
        <w:rPr>
          <w:b/>
          <w:bCs/>
        </w:rPr>
        <w:t xml:space="preserve"> Brazil</w:t>
      </w:r>
      <w:r w:rsidRPr="00513D84">
        <w:t>.</w:t>
      </w:r>
    </w:p>
    <w:p w14:paraId="051F001D" w14:textId="293DD29B" w:rsidR="00D712F5" w:rsidRDefault="00D712F5" w:rsidP="00D712F5">
      <w:pPr>
        <w:pStyle w:val="ParNoG"/>
      </w:pPr>
      <w:r w:rsidRPr="00513D84">
        <w:t xml:space="preserve">Founded by a woman, </w:t>
      </w:r>
      <w:r w:rsidRPr="00513D84">
        <w:rPr>
          <w:b/>
          <w:bCs/>
        </w:rPr>
        <w:t xml:space="preserve">Solar Power Company Group </w:t>
      </w:r>
      <w:r w:rsidRPr="00513D84">
        <w:t>is Thailand’s largest solar power generation company, having installed 36 solar farms that eliminated over 200,000 tons of carbon dioxide emissions per year and contributed to improvements in local air quality from reduced fossil fuel combustion. The Group’s business model prioritizes women’s inclusion in the clean energy sector.</w:t>
      </w:r>
      <w:r w:rsidRPr="003C6B9D">
        <w:rPr>
          <w:rStyle w:val="FootnoteReference"/>
          <w:szCs w:val="14"/>
        </w:rPr>
        <w:footnoteReference w:id="40"/>
      </w:r>
      <w:r w:rsidRPr="00513D84">
        <w:t xml:space="preserve"> </w:t>
      </w:r>
    </w:p>
    <w:p w14:paraId="5E60D7A7" w14:textId="01DF3421" w:rsidR="00D712F5" w:rsidRDefault="00D712F5" w:rsidP="00D712F5">
      <w:pPr>
        <w:pStyle w:val="ParNoG"/>
      </w:pPr>
      <w:r w:rsidRPr="00513D84">
        <w:t xml:space="preserve">To eliminate the disproportionate burden shouldered by women </w:t>
      </w:r>
      <w:proofErr w:type="gramStart"/>
      <w:r w:rsidRPr="00513D84">
        <w:t>as a result of</w:t>
      </w:r>
      <w:proofErr w:type="gramEnd"/>
      <w:r w:rsidRPr="00513D84">
        <w:t xml:space="preserve"> energy poverty, </w:t>
      </w:r>
      <w:r w:rsidRPr="00374A9D">
        <w:rPr>
          <w:b/>
          <w:bCs/>
        </w:rPr>
        <w:t>Solar Sister</w:t>
      </w:r>
      <w:r w:rsidRPr="00513D84">
        <w:rPr>
          <w:b/>
          <w:bCs/>
        </w:rPr>
        <w:t xml:space="preserve"> </w:t>
      </w:r>
      <w:r w:rsidRPr="00513D84">
        <w:t xml:space="preserve">invests in African women to establish and sustain successful clean energy businesses. By providing women entrepreneurs in </w:t>
      </w:r>
      <w:r w:rsidRPr="00513D84">
        <w:rPr>
          <w:b/>
          <w:bCs/>
        </w:rPr>
        <w:t xml:space="preserve">Nigeria, Uganda </w:t>
      </w:r>
      <w:r w:rsidRPr="00513D84">
        <w:t xml:space="preserve">and the </w:t>
      </w:r>
      <w:r w:rsidRPr="00513D84">
        <w:rPr>
          <w:b/>
          <w:bCs/>
        </w:rPr>
        <w:t xml:space="preserve">United Republic of Tanzania </w:t>
      </w:r>
      <w:r w:rsidRPr="00513D84">
        <w:t xml:space="preserve">with training, affordable solar-powered </w:t>
      </w:r>
      <w:proofErr w:type="gramStart"/>
      <w:r w:rsidRPr="00513D84">
        <w:t>products</w:t>
      </w:r>
      <w:proofErr w:type="gramEnd"/>
      <w:r w:rsidRPr="00513D84">
        <w:t xml:space="preserve"> and clean cook stoves, over 8,500 Solar Sister Entrepreneurs have developed sustainable businesses in their communities, which in turn have collectively reached over 3.5 million people with clean energy.</w:t>
      </w:r>
      <w:r w:rsidRPr="003C6B9D">
        <w:rPr>
          <w:rStyle w:val="FootnoteReference"/>
          <w:szCs w:val="14"/>
        </w:rPr>
        <w:footnoteReference w:id="41"/>
      </w:r>
      <w:r w:rsidRPr="00513D84">
        <w:t xml:space="preserve"> Nearly 1 million metric tons of </w:t>
      </w:r>
      <w:r>
        <w:t>carbon dioxide</w:t>
      </w:r>
      <w:r w:rsidRPr="00513D84">
        <w:t xml:space="preserve"> emissions have been avoided. Women entrepreneurs benefit from </w:t>
      </w:r>
      <w:r>
        <w:t xml:space="preserve">increased </w:t>
      </w:r>
      <w:r w:rsidRPr="00513D84">
        <w:t>income, increased control over household decisions</w:t>
      </w:r>
      <w:r>
        <w:t>,</w:t>
      </w:r>
      <w:r w:rsidRPr="00513D84">
        <w:t xml:space="preserve"> and enhanced leadership skills. Customers receive the health benefits and cost savings provided by renewable energy, along with myriad benefits to education and security outcomes associated with reliable access to energy. </w:t>
      </w:r>
    </w:p>
    <w:p w14:paraId="18E95BC6" w14:textId="4FB94374" w:rsidR="00D712F5" w:rsidRDefault="00D712F5" w:rsidP="00D712F5">
      <w:pPr>
        <w:pStyle w:val="ParNoG"/>
      </w:pPr>
      <w:r w:rsidRPr="00374A9D">
        <w:rPr>
          <w:b/>
          <w:bCs/>
        </w:rPr>
        <w:t>Solar Sister</w:t>
      </w:r>
      <w:r w:rsidRPr="00513D84">
        <w:t xml:space="preserve"> is part of </w:t>
      </w:r>
      <w:r w:rsidRPr="00374A9D">
        <w:rPr>
          <w:b/>
          <w:bCs/>
        </w:rPr>
        <w:t>ENERGIA</w:t>
      </w:r>
      <w:r w:rsidRPr="00D455E5">
        <w:t>,</w:t>
      </w:r>
      <w:r w:rsidRPr="00513D84">
        <w:t xml:space="preserve"> an international network across Africa and Asia that works to facilitate women’s equal and equitable access to and control over sustainable energy services. The network amplifies energy services delivery via women-led micro and small businesses; conducts advocacy and provides technical support on gender mainstreaming across energy policies; generates research on energy investment effectiveness and promotes awareness concerning gender and energy. </w:t>
      </w:r>
      <w:r w:rsidRPr="00374A9D">
        <w:rPr>
          <w:b/>
          <w:bCs/>
        </w:rPr>
        <w:t>ENERGIA</w:t>
      </w:r>
      <w:r w:rsidRPr="00513D84">
        <w:t xml:space="preserve"> has partnered with the research and development organization </w:t>
      </w:r>
      <w:proofErr w:type="spellStart"/>
      <w:r w:rsidRPr="00374A9D">
        <w:rPr>
          <w:b/>
          <w:bCs/>
        </w:rPr>
        <w:t>Kopernik</w:t>
      </w:r>
      <w:proofErr w:type="spellEnd"/>
      <w:r w:rsidRPr="00513D84">
        <w:rPr>
          <w:b/>
          <w:bCs/>
        </w:rPr>
        <w:t xml:space="preserve"> </w:t>
      </w:r>
      <w:r w:rsidRPr="00513D84">
        <w:t xml:space="preserve">to support over 300 community women (called “Wonder Women”) in East Nusa Tenggara, </w:t>
      </w:r>
      <w:r w:rsidRPr="00513D84">
        <w:rPr>
          <w:b/>
          <w:bCs/>
        </w:rPr>
        <w:t xml:space="preserve">Indonesia </w:t>
      </w:r>
      <w:r w:rsidRPr="00513D84">
        <w:t xml:space="preserve">to receive sustainable enterprise training. These small-scale entrepreneurs have sold over 10,000 clean energy products (solar lanterns, water filters and clean cookstoves) benefitting the health and quality of life of nearly 84,000 people and reducing over 5,000 tons of </w:t>
      </w:r>
      <w:r>
        <w:t>carbon dioxide</w:t>
      </w:r>
      <w:r w:rsidRPr="00513D84">
        <w:t xml:space="preserve"> emissions.</w:t>
      </w:r>
      <w:r w:rsidRPr="003C6B9D">
        <w:rPr>
          <w:rStyle w:val="FootnoteReference"/>
          <w:szCs w:val="14"/>
        </w:rPr>
        <w:footnoteReference w:id="42"/>
      </w:r>
      <w:r w:rsidRPr="00513D84">
        <w:t xml:space="preserve"> </w:t>
      </w:r>
    </w:p>
    <w:p w14:paraId="6A39C176" w14:textId="7676F747" w:rsidR="00D2235A" w:rsidRPr="003C6B9D" w:rsidRDefault="00D712F5" w:rsidP="00D712F5">
      <w:pPr>
        <w:pStyle w:val="ParNoG"/>
        <w:rPr>
          <w:lang w:val="en-CA"/>
        </w:rPr>
      </w:pPr>
      <w:r w:rsidRPr="00513D84">
        <w:t xml:space="preserve">Ten women started </w:t>
      </w:r>
      <w:proofErr w:type="spellStart"/>
      <w:r w:rsidRPr="00D712F5">
        <w:rPr>
          <w:b/>
          <w:bCs/>
        </w:rPr>
        <w:t>Qvinnovindar</w:t>
      </w:r>
      <w:proofErr w:type="spellEnd"/>
      <w:r w:rsidRPr="00513D84">
        <w:t xml:space="preserve">—a 80 woman-member women’s energy cooperative in </w:t>
      </w:r>
      <w:r w:rsidRPr="00D712F5">
        <w:rPr>
          <w:b/>
          <w:bCs/>
        </w:rPr>
        <w:t xml:space="preserve">Sweden </w:t>
      </w:r>
      <w:r w:rsidRPr="00513D84">
        <w:t xml:space="preserve">that invests in community wind farm projects near </w:t>
      </w:r>
      <w:proofErr w:type="spellStart"/>
      <w:r w:rsidRPr="00513D84">
        <w:t>Falkoping</w:t>
      </w:r>
      <w:proofErr w:type="spellEnd"/>
      <w:r w:rsidRPr="00513D84">
        <w:t>, Sweden—with the goal of economically empowering women and promoting clean, sustainable energy. The cooperative prioritizes equal representation of all members regardless of the member’s initial investment and hopes that a renewed focus on wind power in Sweden will displace nuclear energy.</w:t>
      </w:r>
      <w:r w:rsidRPr="003C6B9D">
        <w:rPr>
          <w:rStyle w:val="FootnoteReference"/>
          <w:szCs w:val="14"/>
        </w:rPr>
        <w:footnoteReference w:id="43"/>
      </w:r>
    </w:p>
    <w:p w14:paraId="20EF6D35" w14:textId="788921B9" w:rsidR="003C6B9D" w:rsidRDefault="008433A5" w:rsidP="003C6B9D">
      <w:pPr>
        <w:pStyle w:val="H1G"/>
        <w:rPr>
          <w:bCs/>
          <w:lang w:val="en-CA"/>
        </w:rPr>
      </w:pPr>
      <w:r>
        <w:rPr>
          <w:lang w:val="en-CA"/>
        </w:rPr>
        <w:tab/>
      </w:r>
      <w:r w:rsidR="003C6B9D">
        <w:rPr>
          <w:lang w:val="en-CA"/>
        </w:rPr>
        <w:t>C</w:t>
      </w:r>
      <w:r>
        <w:rPr>
          <w:lang w:val="en-CA"/>
        </w:rPr>
        <w:t>.</w:t>
      </w:r>
      <w:r>
        <w:rPr>
          <w:lang w:val="en-CA"/>
        </w:rPr>
        <w:tab/>
      </w:r>
      <w:r w:rsidRPr="008433A5">
        <w:rPr>
          <w:bCs/>
          <w:lang w:val="en-CA"/>
        </w:rPr>
        <w:t>Non-toxic environments</w:t>
      </w:r>
    </w:p>
    <w:p w14:paraId="2714708A" w14:textId="77777777" w:rsidR="00381037" w:rsidRPr="00513D84" w:rsidRDefault="00381037" w:rsidP="00381037">
      <w:pPr>
        <w:pStyle w:val="ParNoG"/>
      </w:pPr>
      <w:r w:rsidRPr="00513D84">
        <w:t xml:space="preserve">Important global treaties that empower States to control certain toxic substances and wastes used and produced by businesses include the Basel Convention, the Stockholm Convention, the Rotterdam </w:t>
      </w:r>
      <w:proofErr w:type="gramStart"/>
      <w:r w:rsidRPr="00513D84">
        <w:t>Convention</w:t>
      </w:r>
      <w:proofErr w:type="gramEnd"/>
      <w:r w:rsidRPr="00513D84">
        <w:t xml:space="preserve"> and the Minamata Convention. Exposure to persistent organic pollutants covered by the Stockholm Convention declined substantially in many countries following its adoption because of the implementation of national regulations restricting the use</w:t>
      </w:r>
      <w:r>
        <w:t xml:space="preserve"> or discharge</w:t>
      </w:r>
      <w:r w:rsidRPr="00513D84">
        <w:t xml:space="preserve"> </w:t>
      </w:r>
      <w:r>
        <w:t xml:space="preserve">of these toxic substances </w:t>
      </w:r>
      <w:r w:rsidRPr="00513D84">
        <w:t>by businesses. Important regional treaties include the Bamako Convention on the Ban of the Import into Africa and the Control of Transboundary Movement and Management of Hazardous Wastes within Africa, the Aarhus Convention, the Escazú Agreement</w:t>
      </w:r>
      <w:r>
        <w:t>,</w:t>
      </w:r>
      <w:r w:rsidRPr="00513D84">
        <w:t xml:space="preserve"> and the Convention on Long-range Transboundary Air Pollution. The </w:t>
      </w:r>
      <w:r>
        <w:t>successful</w:t>
      </w:r>
      <w:r w:rsidRPr="00513D84">
        <w:t xml:space="preserve"> implementation of these treaties requires Governments to enact, implement and enforce effective regulations</w:t>
      </w:r>
      <w:r>
        <w:t xml:space="preserve"> targeting businesses</w:t>
      </w:r>
      <w:r w:rsidRPr="00513D84">
        <w:t xml:space="preserve">, thus contributing to realizing the right to a clean, </w:t>
      </w:r>
      <w:proofErr w:type="gramStart"/>
      <w:r w:rsidRPr="00513D84">
        <w:t>healthy</w:t>
      </w:r>
      <w:proofErr w:type="gramEnd"/>
      <w:r w:rsidRPr="00513D84">
        <w:t xml:space="preserve"> and sustainable environment.</w:t>
      </w:r>
    </w:p>
    <w:p w14:paraId="42E482A2" w14:textId="420106B4" w:rsidR="00381037" w:rsidRPr="00513D84" w:rsidRDefault="00381037" w:rsidP="00381037">
      <w:pPr>
        <w:pStyle w:val="ParNoG"/>
      </w:pPr>
      <w:r w:rsidRPr="00513D84">
        <w:t>Consistent with recommendations</w:t>
      </w:r>
      <w:r>
        <w:t xml:space="preserve"> made by the </w:t>
      </w:r>
      <w:r w:rsidRPr="00175C6D">
        <w:rPr>
          <w:b/>
          <w:bCs/>
        </w:rPr>
        <w:t>World Health Organ</w:t>
      </w:r>
      <w:r>
        <w:t>ization</w:t>
      </w:r>
      <w:r w:rsidRPr="00513D84">
        <w:t>, and over the objections of industry, more than 60 States have prohibited all uses of all types of asbestos, which cause mesothelioma, lung cancer and asbestosis. Estimated worldwide consumption of asbestos fell from approximately 2 million tons in 2010 to 1.4 million tons in 2016. Unfortunately, parties to the Rotterdam Convention have repeatedly failed to establish the controls necessary to prevent harm to human health from chrysotile asbestos because of objections from States with a vested interest in maintaining this deadly industry.</w:t>
      </w:r>
      <w:r w:rsidRPr="00381037">
        <w:rPr>
          <w:rStyle w:val="FootnoteReference"/>
          <w:szCs w:val="14"/>
        </w:rPr>
        <w:footnoteReference w:id="44"/>
      </w:r>
    </w:p>
    <w:p w14:paraId="329700AA" w14:textId="0538282B" w:rsidR="00381037" w:rsidRPr="00513D84" w:rsidRDefault="00381037" w:rsidP="00381037">
      <w:pPr>
        <w:pStyle w:val="ParNoG"/>
      </w:pPr>
      <w:r w:rsidRPr="00513D84">
        <w:t xml:space="preserve">The </w:t>
      </w:r>
      <w:r w:rsidRPr="00374A9D">
        <w:rPr>
          <w:b/>
          <w:bCs/>
        </w:rPr>
        <w:t>Montreal Protocol</w:t>
      </w:r>
      <w:r w:rsidRPr="00513D84">
        <w:t xml:space="preserve"> is widely regarded as </w:t>
      </w:r>
      <w:r>
        <w:t xml:space="preserve">one of </w:t>
      </w:r>
      <w:r w:rsidRPr="00513D84">
        <w:t>the most successful international environmental treat</w:t>
      </w:r>
      <w:r>
        <w:t>ies</w:t>
      </w:r>
      <w:r w:rsidRPr="00513D84">
        <w:t xml:space="preserve"> ever negotiated. Every country in the world is a party to it. The protocol controls the use of approximately 100 ozone-depleting chemicals including chlorofluorocarbons (CFCs), hydrochlorofluorocarbons (HCFCs), hydrofluorocarbons (HFCs), and methyl bromide. Large businesses initially questioned the science of ozone depletion, denied the role of manmade chemicals, and lobbied against regulatory action. This opposition waned when some of those large businesses realized that manufacturing and selling alternative substances could be equally or</w:t>
      </w:r>
      <w:r>
        <w:t xml:space="preserve"> even</w:t>
      </w:r>
      <w:r w:rsidRPr="00513D84">
        <w:t xml:space="preserve"> more profitable.</w:t>
      </w:r>
      <w:r>
        <w:t xml:space="preserve"> </w:t>
      </w:r>
      <w:r w:rsidRPr="00513D84">
        <w:t xml:space="preserve">CFCs were completely phased out by 2010 </w:t>
      </w:r>
      <w:proofErr w:type="gramStart"/>
      <w:r w:rsidRPr="00513D84">
        <w:t>as a result of</w:t>
      </w:r>
      <w:proofErr w:type="gramEnd"/>
      <w:r w:rsidRPr="00513D84">
        <w:t xml:space="preserve"> regulations implemented at the national level to restrict businesses from manufacturing, selling and using these substances, while deadlines for ending the use of methyl bromide, HCFCs, and HFCs stretch as late as 2040 for some developing countries. Globally, CFC production peaked in 1988 and has fallen by 99 percent. The ozone layer has been steadily recovering at a rate of 1-3% per decade since 2000 and full recovery is expected to occur in the mid-21st century. It is estimated that at least 100 million cases of skin cancer and many million cases of cataracts will be avoided by the end of this century </w:t>
      </w:r>
      <w:proofErr w:type="gramStart"/>
      <w:r w:rsidRPr="00513D84">
        <w:t>as a result of</w:t>
      </w:r>
      <w:proofErr w:type="gramEnd"/>
      <w:r w:rsidRPr="00513D84">
        <w:t xml:space="preserve"> implementation of the </w:t>
      </w:r>
      <w:r w:rsidRPr="00374A9D">
        <w:rPr>
          <w:b/>
          <w:bCs/>
        </w:rPr>
        <w:t>Montreal Protocol</w:t>
      </w:r>
      <w:r w:rsidRPr="00513D84">
        <w:t xml:space="preserve">. The </w:t>
      </w:r>
      <w:r w:rsidRPr="00374A9D">
        <w:rPr>
          <w:b/>
          <w:bCs/>
        </w:rPr>
        <w:t xml:space="preserve">Kigali Amendment </w:t>
      </w:r>
      <w:r w:rsidRPr="00513D84">
        <w:t xml:space="preserve">accelerates the phaseout of HFCs, substitutes for ozone-depleting chemicals that do not deplete the ozone layer but are powerful greenhouse gases, exacerbating the climate </w:t>
      </w:r>
      <w:proofErr w:type="gramStart"/>
      <w:r w:rsidRPr="00513D84">
        <w:t>crisis</w:t>
      </w:r>
      <w:proofErr w:type="gramEnd"/>
      <w:r w:rsidRPr="00513D84">
        <w:t xml:space="preserve"> </w:t>
      </w:r>
    </w:p>
    <w:p w14:paraId="57A6D7A8" w14:textId="6FF26830" w:rsidR="00381037" w:rsidRPr="00513D84" w:rsidRDefault="00381037" w:rsidP="00381037">
      <w:pPr>
        <w:pStyle w:val="ParNoG"/>
        <w:rPr>
          <w:noProof/>
        </w:rPr>
      </w:pPr>
      <w:r w:rsidRPr="00513D84">
        <w:t xml:space="preserve">The </w:t>
      </w:r>
      <w:r w:rsidRPr="00374A9D">
        <w:rPr>
          <w:b/>
          <w:bCs/>
        </w:rPr>
        <w:t>European Union</w:t>
      </w:r>
      <w:r w:rsidRPr="00513D84">
        <w:t xml:space="preserve"> has a relatively strong regulatory framework for toxic substances, involving approximately 40 instruments. A hazard-based approach to chemical management is adopted in</w:t>
      </w:r>
      <w:r w:rsidRPr="00513D84" w:rsidDel="00C317B6">
        <w:t xml:space="preserve"> </w:t>
      </w:r>
      <w:r w:rsidRPr="00513D84">
        <w:t>the regulations on the registration, evaluation, authorization and restriction of chemicals and on the classification, labelling and packaging of chemical substances and mixtures.</w:t>
      </w:r>
      <w:r w:rsidRPr="00381037">
        <w:rPr>
          <w:rStyle w:val="FootnoteReference"/>
          <w:szCs w:val="14"/>
        </w:rPr>
        <w:footnoteReference w:id="45"/>
      </w:r>
      <w:r w:rsidRPr="00513D84">
        <w:t xml:space="preserve"> It is estimated that European regulations have prevented more than one million cancer cases in the past 20 years.</w:t>
      </w:r>
      <w:r w:rsidRPr="00381037">
        <w:rPr>
          <w:rStyle w:val="FootnoteReference"/>
          <w:szCs w:val="14"/>
        </w:rPr>
        <w:footnoteReference w:id="46"/>
      </w:r>
      <w:r w:rsidRPr="00513D84">
        <w:t xml:space="preserve"> However, the </w:t>
      </w:r>
      <w:r w:rsidRPr="00374A9D">
        <w:rPr>
          <w:b/>
          <w:bCs/>
        </w:rPr>
        <w:t>European Union</w:t>
      </w:r>
      <w:r w:rsidRPr="00513D84">
        <w:t xml:space="preserve"> acknowledges that this regulatory framework must be strengthened to protect human and environmental health. As a result, it is</w:t>
      </w:r>
      <w:r w:rsidRPr="00513D84">
        <w:rPr>
          <w:noProof/>
        </w:rPr>
        <w:t xml:space="preserve"> implementing the European Green Deal and </w:t>
      </w:r>
      <w:r>
        <w:rPr>
          <w:noProof/>
        </w:rPr>
        <w:t>the</w:t>
      </w:r>
      <w:r w:rsidRPr="00513D84">
        <w:rPr>
          <w:noProof/>
        </w:rPr>
        <w:t xml:space="preserve"> “</w:t>
      </w:r>
      <w:r w:rsidRPr="00513D84">
        <w:t>Chemicals strategy for sustainability: towards a toxic-free environment”. These</w:t>
      </w:r>
      <w:r w:rsidRPr="00513D84">
        <w:rPr>
          <w:noProof/>
        </w:rPr>
        <w:t xml:space="preserve"> ambitious policies aim to maximize the contribution of safe chemicals to society while achieving zero pollution and a non-toxic environment for the benefit of </w:t>
      </w:r>
      <w:r w:rsidRPr="00513D84">
        <w:t>current and future generations</w:t>
      </w:r>
      <w:r w:rsidRPr="00513D84">
        <w:rPr>
          <w:noProof/>
        </w:rPr>
        <w:t>.</w:t>
      </w:r>
      <w:r w:rsidRPr="00381037">
        <w:rPr>
          <w:rStyle w:val="FootnoteReference"/>
          <w:szCs w:val="14"/>
        </w:rPr>
        <w:footnoteReference w:id="47"/>
      </w:r>
      <w:r w:rsidRPr="00513D84">
        <w:rPr>
          <w:noProof/>
        </w:rPr>
        <w:t xml:space="preserve"> </w:t>
      </w:r>
    </w:p>
    <w:p w14:paraId="04BEB823" w14:textId="4387FA04" w:rsidR="00381037" w:rsidRPr="00513D84" w:rsidRDefault="00381037" w:rsidP="00381037">
      <w:pPr>
        <w:pStyle w:val="ParNoG"/>
      </w:pPr>
      <w:r w:rsidRPr="00513D84">
        <w:t xml:space="preserve">Sustainable remediation of contaminated sites involves alleviating environmental injustices </w:t>
      </w:r>
      <w:r>
        <w:t xml:space="preserve">and </w:t>
      </w:r>
      <w:r w:rsidRPr="00513D84">
        <w:t>cleaning up sacrifice zones.</w:t>
      </w:r>
      <w:r w:rsidRPr="00381037">
        <w:rPr>
          <w:rStyle w:val="FootnoteReference"/>
          <w:szCs w:val="14"/>
        </w:rPr>
        <w:footnoteReference w:id="48"/>
      </w:r>
      <w:r w:rsidRPr="00513D84">
        <w:t xml:space="preserve"> In the </w:t>
      </w:r>
      <w:r w:rsidRPr="00374A9D">
        <w:rPr>
          <w:b/>
          <w:bCs/>
        </w:rPr>
        <w:t>United States</w:t>
      </w:r>
      <w:r w:rsidRPr="00513D84">
        <w:t>, the Comprehensive Environmental Response, Compensation and Liability Act and the Superfund Redevelopment Initiative have transformed some of the nation’s most contaminated sites (e.g. former mines, smelters and landfills) into residential developments, recreation areas, renewable energy projects and commercial properties such as shopping centres.</w:t>
      </w:r>
      <w:r w:rsidRPr="00513D84">
        <w:rPr>
          <w:rStyle w:val="FootnoteReference"/>
          <w:sz w:val="24"/>
        </w:rPr>
        <w:footnoteReference w:id="49"/>
      </w:r>
      <w:r w:rsidRPr="00513D84">
        <w:t xml:space="preserve"> Similar legislation in </w:t>
      </w:r>
      <w:r w:rsidRPr="00175C6D">
        <w:rPr>
          <w:b/>
          <w:bCs/>
        </w:rPr>
        <w:t>British Columbia,</w:t>
      </w:r>
      <w:r w:rsidRPr="00513D84">
        <w:t xml:space="preserve"> </w:t>
      </w:r>
      <w:r w:rsidRPr="00374A9D">
        <w:rPr>
          <w:b/>
          <w:bCs/>
        </w:rPr>
        <w:t>Canada</w:t>
      </w:r>
      <w:r w:rsidRPr="00513D84">
        <w:t>, authorizes the provincial government to apply the polluter pays principle by seeking payments for contaminated site remediation from “responsible person</w:t>
      </w:r>
      <w:r>
        <w:t>s</w:t>
      </w:r>
      <w:r w:rsidRPr="00513D84">
        <w:t>”, including present and past owners and operators of a property, creditors and persons who produced or transported the substances that caused a site to become contaminated.</w:t>
      </w:r>
      <w:r w:rsidRPr="00381037">
        <w:rPr>
          <w:rStyle w:val="FootnoteReference"/>
          <w:szCs w:val="14"/>
        </w:rPr>
        <w:footnoteReference w:id="50"/>
      </w:r>
    </w:p>
    <w:p w14:paraId="6860DF63" w14:textId="16D99BB0" w:rsidR="00381037" w:rsidRPr="00513D84" w:rsidRDefault="00381037" w:rsidP="00381037">
      <w:pPr>
        <w:pStyle w:val="ParNoG"/>
      </w:pPr>
      <w:r w:rsidRPr="00513D84">
        <w:t xml:space="preserve">The UN Food and Agriculture Organization assists States in eliminating the use of highly hazardous pesticides manufactured and sold by large businesses. </w:t>
      </w:r>
      <w:r w:rsidRPr="00374A9D">
        <w:rPr>
          <w:b/>
          <w:bCs/>
        </w:rPr>
        <w:t>Mozambique</w:t>
      </w:r>
      <w:r w:rsidRPr="00513D84">
        <w:t xml:space="preserve"> cancelled the registrations of 61 such pesticides. </w:t>
      </w:r>
      <w:r w:rsidRPr="00374A9D">
        <w:rPr>
          <w:b/>
          <w:bCs/>
        </w:rPr>
        <w:t xml:space="preserve">Botswana, Malawi, </w:t>
      </w:r>
      <w:proofErr w:type="gramStart"/>
      <w:r w:rsidRPr="00374A9D">
        <w:rPr>
          <w:b/>
          <w:bCs/>
        </w:rPr>
        <w:t>Tanzania</w:t>
      </w:r>
      <w:proofErr w:type="gramEnd"/>
      <w:r w:rsidRPr="00374A9D">
        <w:rPr>
          <w:b/>
          <w:bCs/>
        </w:rPr>
        <w:t xml:space="preserve"> </w:t>
      </w:r>
      <w:r w:rsidRPr="00374A9D">
        <w:t>and</w:t>
      </w:r>
      <w:r w:rsidRPr="00374A9D">
        <w:rPr>
          <w:b/>
          <w:bCs/>
        </w:rPr>
        <w:t xml:space="preserve"> Zimbabwe</w:t>
      </w:r>
      <w:r w:rsidRPr="00513D84">
        <w:t xml:space="preserve"> have developed shortlists and started to phase them out. China banned the use of 23 highly hazardous pesticides. After </w:t>
      </w:r>
      <w:r w:rsidRPr="00374A9D">
        <w:rPr>
          <w:b/>
          <w:bCs/>
        </w:rPr>
        <w:t>Bangladesh</w:t>
      </w:r>
      <w:r w:rsidRPr="00513D84">
        <w:t xml:space="preserve"> and </w:t>
      </w:r>
      <w:r w:rsidRPr="00374A9D">
        <w:rPr>
          <w:b/>
          <w:bCs/>
        </w:rPr>
        <w:t>Sri Lanka</w:t>
      </w:r>
      <w:r w:rsidRPr="00513D84">
        <w:t xml:space="preserve"> banned them, suicides declined and agricultural productivity was unaffected.</w:t>
      </w:r>
      <w:r w:rsidRPr="00381037">
        <w:rPr>
          <w:rStyle w:val="FootnoteReference"/>
          <w:szCs w:val="14"/>
        </w:rPr>
        <w:footnoteReference w:id="51"/>
      </w:r>
      <w:r w:rsidRPr="00513D84">
        <w:t xml:space="preserve"> </w:t>
      </w:r>
    </w:p>
    <w:p w14:paraId="6CF43754" w14:textId="0E8AEB68" w:rsidR="00381037" w:rsidRDefault="00381037" w:rsidP="00381037">
      <w:pPr>
        <w:pStyle w:val="ParNoG"/>
      </w:pPr>
      <w:r w:rsidRPr="00374A9D">
        <w:rPr>
          <w:b/>
          <w:bCs/>
        </w:rPr>
        <w:t>Singapore</w:t>
      </w:r>
      <w:r w:rsidRPr="00513D84">
        <w:t xml:space="preserve"> implemented an Extended Producer Responsibility programme for e-waste in 2021. Under this programme, producers of regulated electrical and electronic products are responsible for the collection and proper treatment of their products when they reach their end-of-life. In this context, businesses must recover resources from a waste stream that grows with rising affluence, thus preventing e-waste from contaminating the environment.</w:t>
      </w:r>
      <w:r w:rsidRPr="00381037">
        <w:rPr>
          <w:rStyle w:val="FootnoteReference"/>
          <w:szCs w:val="14"/>
        </w:rPr>
        <w:footnoteReference w:id="52"/>
      </w:r>
      <w:r w:rsidRPr="00513D84">
        <w:t xml:space="preserve"> </w:t>
      </w:r>
    </w:p>
    <w:p w14:paraId="1FBEE0DA" w14:textId="44D6F53D" w:rsidR="00381037" w:rsidRDefault="00381037" w:rsidP="00381037">
      <w:pPr>
        <w:pStyle w:val="ParNoG"/>
      </w:pPr>
      <w:r w:rsidRPr="00513D84">
        <w:t xml:space="preserve">The overall goal of </w:t>
      </w:r>
      <w:r w:rsidRPr="00374A9D">
        <w:rPr>
          <w:b/>
          <w:bCs/>
        </w:rPr>
        <w:t>Sweden</w:t>
      </w:r>
      <w:r w:rsidRPr="00513D84">
        <w:t>’s environmental policy is to hand over to the next generation a society in which the major environmental problems have been solved</w:t>
      </w:r>
      <w:r w:rsidRPr="00513D84">
        <w:rPr>
          <w:shd w:val="clear" w:color="auto" w:fill="FFFFFF"/>
        </w:rPr>
        <w:t xml:space="preserve">, without increasing environmental and health problems outside </w:t>
      </w:r>
      <w:r w:rsidRPr="00374A9D">
        <w:rPr>
          <w:b/>
          <w:bCs/>
          <w:shd w:val="clear" w:color="auto" w:fill="FFFFFF"/>
        </w:rPr>
        <w:t>Sweden</w:t>
      </w:r>
      <w:r w:rsidRPr="00513D84">
        <w:rPr>
          <w:shd w:val="clear" w:color="auto" w:fill="FFFFFF"/>
        </w:rPr>
        <w:t>'s borders</w:t>
      </w:r>
      <w:r w:rsidRPr="00513D84">
        <w:t xml:space="preserve">. One of </w:t>
      </w:r>
      <w:r w:rsidRPr="00374A9D">
        <w:rPr>
          <w:b/>
          <w:bCs/>
        </w:rPr>
        <w:t>Sweden’</w:t>
      </w:r>
      <w:r w:rsidRPr="00513D84">
        <w:t>s 16 broad environmental quality objectives is a non-toxic environment, defined as follows: “The presence of substances in the environment created or extracted by society should not threaten human health or biodiversity. The levels of naturally occurring contaminants are close to zero and their impact on human health and ecosystems is negligible. Levels of naturally occurring substances are close to background levels.”</w:t>
      </w:r>
      <w:r w:rsidRPr="00381037">
        <w:rPr>
          <w:rStyle w:val="FootnoteReference"/>
          <w:szCs w:val="14"/>
        </w:rPr>
        <w:footnoteReference w:id="53"/>
      </w:r>
      <w:r w:rsidRPr="00513D84">
        <w:rPr>
          <w:position w:val="6"/>
        </w:rPr>
        <w:t xml:space="preserve"> </w:t>
      </w:r>
      <w:r w:rsidRPr="00513D84">
        <w:t>Specific targets for the environmental quality objective of a toxic-free environment includ</w:t>
      </w:r>
      <w:r>
        <w:t>e</w:t>
      </w:r>
      <w:r w:rsidRPr="00513D84">
        <w:t>: total exposure to chemical substances via all exposure routes is not harmful to humans or biodiversity; use of particularly hazardous substances has been phased out as far as possible; dispersion of unintentionally formed substances with hazardous properties is very low; and contaminated sites are remediated to the extent that they do not pose a threat to human health or the environment.</w:t>
      </w:r>
      <w:r w:rsidRPr="00513D84">
        <w:rPr>
          <w:position w:val="6"/>
        </w:rPr>
        <w:t xml:space="preserve"> </w:t>
      </w:r>
      <w:r w:rsidRPr="00513D84">
        <w:t xml:space="preserve">To achieve its objectives, </w:t>
      </w:r>
      <w:r w:rsidRPr="00374A9D">
        <w:rPr>
          <w:b/>
          <w:bCs/>
        </w:rPr>
        <w:t>Sweden</w:t>
      </w:r>
      <w:r w:rsidRPr="00513D84">
        <w:t xml:space="preserve"> strengthened national legislation governing chemicals and is implementing a national strategy. Among Sweden’s priorities </w:t>
      </w:r>
      <w:proofErr w:type="gramStart"/>
      <w:r w:rsidRPr="00513D84">
        <w:t>are:</w:t>
      </w:r>
      <w:proofErr w:type="gramEnd"/>
      <w:r w:rsidRPr="00513D84">
        <w:t xml:space="preserve"> phasing out mercury, lead, carcinogens, mutagens, substances that harm reproduction, and persistent and </w:t>
      </w:r>
      <w:proofErr w:type="spellStart"/>
      <w:r w:rsidRPr="00513D84">
        <w:t>bioaccumulative</w:t>
      </w:r>
      <w:proofErr w:type="spellEnd"/>
      <w:r w:rsidRPr="00513D84">
        <w:t xml:space="preserve"> substances; restricting the use of perfluorinated substances; strengthening EU chemicals management; and working to reduce children’s exposure to hazardous substances. </w:t>
      </w:r>
      <w:r w:rsidRPr="00374A9D">
        <w:rPr>
          <w:b/>
          <w:bCs/>
        </w:rPr>
        <w:t>Sweden</w:t>
      </w:r>
      <w:r w:rsidRPr="00513D84">
        <w:t xml:space="preserve"> also identified “combination effects of chemicals” as </w:t>
      </w:r>
      <w:r>
        <w:t xml:space="preserve">a </w:t>
      </w:r>
      <w:r w:rsidRPr="00513D84">
        <w:t xml:space="preserve">topic needing additional research and regulation. </w:t>
      </w:r>
    </w:p>
    <w:p w14:paraId="33B32608" w14:textId="736227E8" w:rsidR="00381037" w:rsidRPr="00513D84" w:rsidRDefault="00381037" w:rsidP="00381037">
      <w:pPr>
        <w:pStyle w:val="ParNoG"/>
      </w:pPr>
      <w:r>
        <w:tab/>
      </w:r>
      <w:r w:rsidRPr="00513D84">
        <w:t xml:space="preserve"> </w:t>
      </w:r>
      <w:r w:rsidRPr="00513D84">
        <w:rPr>
          <w:b/>
          <w:bCs/>
        </w:rPr>
        <w:t xml:space="preserve">Sweden </w:t>
      </w:r>
      <w:r w:rsidRPr="00513D84">
        <w:t xml:space="preserve">took prompt action to protect women’s and children’s right to live in non-toxic environments after scientists discovered polybrominated diphenyl ethers (BPDEs) accumulating in breast milk. The chemical industry insisted that PBDEs were safe and that the peer reviewed scientific evidence was wrong. Fortunately, </w:t>
      </w:r>
      <w:r w:rsidRPr="00C25738">
        <w:rPr>
          <w:b/>
          <w:bCs/>
        </w:rPr>
        <w:t>Swede</w:t>
      </w:r>
      <w:r w:rsidRPr="00513D84">
        <w:t xml:space="preserve">n ignored these lies, banned PBDEs domestically and led a successful global effort to add PBDEs to the list of substances prohibited under the Stockholm Convention. Levels of PBDEs in breast milk declined rapidly. </w:t>
      </w:r>
      <w:r w:rsidRPr="00C25738">
        <w:rPr>
          <w:b/>
          <w:bCs/>
        </w:rPr>
        <w:t>Norway</w:t>
      </w:r>
      <w:r w:rsidRPr="00513D84">
        <w:t xml:space="preserve"> was one of the first States to ban the use of PFOA in all consumer products and targeted additional flame retardant and stain repellent chemicals in 2019. </w:t>
      </w:r>
    </w:p>
    <w:p w14:paraId="361F4CF6" w14:textId="2EA5F016" w:rsidR="00381037" w:rsidRDefault="00381037" w:rsidP="00381037">
      <w:pPr>
        <w:pStyle w:val="ParNoG"/>
      </w:pPr>
      <w:r w:rsidRPr="00374A9D">
        <w:rPr>
          <w:b/>
          <w:bCs/>
        </w:rPr>
        <w:t xml:space="preserve">Portugal </w:t>
      </w:r>
      <w:r w:rsidRPr="00513D84">
        <w:t xml:space="preserve">imposes mandatory financial security </w:t>
      </w:r>
      <w:r>
        <w:t xml:space="preserve">requirements </w:t>
      </w:r>
      <w:r w:rsidRPr="00513D84">
        <w:t xml:space="preserve">on businesses for all environmentally risky activities identified in the EU’s Environmental Liability Directive. Portugal accepts a wide range of financial security instruments, including insurance policies, bank guarantees, environmental </w:t>
      </w:r>
      <w:proofErr w:type="gramStart"/>
      <w:r w:rsidRPr="00513D84">
        <w:t>funds</w:t>
      </w:r>
      <w:proofErr w:type="gramEnd"/>
      <w:r w:rsidRPr="00513D84">
        <w:t xml:space="preserve"> and own funds. This approach increases the likelihood that businesses will be able to pay for the environmental damage caused by their </w:t>
      </w:r>
      <w:proofErr w:type="gramStart"/>
      <w:r w:rsidRPr="00513D84">
        <w:t>activities, and</w:t>
      </w:r>
      <w:proofErr w:type="gramEnd"/>
      <w:r w:rsidRPr="00513D84">
        <w:t xml:space="preserve"> reduces the probability that the public will bear the cost of remediation.</w:t>
      </w:r>
      <w:r w:rsidRPr="00737426">
        <w:rPr>
          <w:rStyle w:val="FootnoteReference"/>
          <w:szCs w:val="14"/>
        </w:rPr>
        <w:footnoteReference w:id="54"/>
      </w:r>
      <w:r w:rsidRPr="00513D84">
        <w:t xml:space="preserve"> </w:t>
      </w:r>
    </w:p>
    <w:p w14:paraId="29D1F761" w14:textId="4AD9E0A5" w:rsidR="00381037" w:rsidRDefault="00381037" w:rsidP="00381037">
      <w:pPr>
        <w:pStyle w:val="ParNoG"/>
      </w:pPr>
      <w:r w:rsidRPr="00513D84">
        <w:t xml:space="preserve">Restrictions on the use of certain phthalates in some applications have been put in place in recent years in several countries, including in </w:t>
      </w:r>
      <w:r w:rsidRPr="00C25738">
        <w:rPr>
          <w:b/>
          <w:bCs/>
        </w:rPr>
        <w:t>Canada, China, the Republic of Korea</w:t>
      </w:r>
      <w:r>
        <w:t>,</w:t>
      </w:r>
      <w:r w:rsidRPr="00C25738">
        <w:rPr>
          <w:b/>
          <w:bCs/>
        </w:rPr>
        <w:t xml:space="preserve"> the United States </w:t>
      </w:r>
      <w:r w:rsidRPr="00C25738">
        <w:t>and in the</w:t>
      </w:r>
      <w:r w:rsidRPr="00C25738">
        <w:rPr>
          <w:b/>
          <w:bCs/>
        </w:rPr>
        <w:t xml:space="preserve"> European Union</w:t>
      </w:r>
      <w:r w:rsidRPr="00513D84">
        <w:t xml:space="preserve">. For example, under its REACH directive, the </w:t>
      </w:r>
      <w:r w:rsidRPr="00C25738">
        <w:rPr>
          <w:b/>
          <w:bCs/>
        </w:rPr>
        <w:t>European Union</w:t>
      </w:r>
      <w:r w:rsidRPr="00513D84">
        <w:t xml:space="preserve"> phased out all uses of </w:t>
      </w:r>
      <w:proofErr w:type="spellStart"/>
      <w:r w:rsidRPr="00513D84">
        <w:t>butylbenzyl</w:t>
      </w:r>
      <w:proofErr w:type="spellEnd"/>
      <w:r w:rsidRPr="00513D84">
        <w:t xml:space="preserve"> phthalate (BBP), dibutyl phthalate (DBP), </w:t>
      </w:r>
      <w:proofErr w:type="spellStart"/>
      <w:r w:rsidRPr="00513D84">
        <w:t>diisodecyl</w:t>
      </w:r>
      <w:proofErr w:type="spellEnd"/>
      <w:r w:rsidRPr="00513D84">
        <w:t xml:space="preserve"> phthalate (DIDP), and bis(2-ethylhexyl) phthalate (DEHP) due to toxicity for reproduction and endocrine disrupting properties in humans.</w:t>
      </w:r>
      <w:r w:rsidRPr="00737426">
        <w:rPr>
          <w:rStyle w:val="FootnoteReference"/>
          <w:szCs w:val="14"/>
        </w:rPr>
        <w:footnoteReference w:id="55"/>
      </w:r>
      <w:r w:rsidRPr="00513D84">
        <w:t xml:space="preserve"> </w:t>
      </w:r>
    </w:p>
    <w:p w14:paraId="2216AE8D" w14:textId="28141C4C" w:rsidR="00381037" w:rsidRPr="00513D84" w:rsidRDefault="00381037" w:rsidP="00381037">
      <w:pPr>
        <w:pStyle w:val="ParNoG"/>
      </w:pPr>
      <w:r w:rsidRPr="00513D84">
        <w:t>The burden of workplace exposure to hazardous chemicals is often highly gendered, and protecting women from toxic substances at work is a State obligation under the right to a clean, healthy and sustainable environment.</w:t>
      </w:r>
      <w:r w:rsidRPr="00737426">
        <w:rPr>
          <w:rStyle w:val="FootnoteReference"/>
          <w:szCs w:val="14"/>
        </w:rPr>
        <w:footnoteReference w:id="56"/>
      </w:r>
      <w:r w:rsidRPr="00513D84">
        <w:t xml:space="preserve"> In this context, </w:t>
      </w:r>
      <w:r w:rsidRPr="00513D84">
        <w:rPr>
          <w:b/>
          <w:bCs/>
        </w:rPr>
        <w:t xml:space="preserve">Uruguayan </w:t>
      </w:r>
      <w:r w:rsidRPr="00513D84">
        <w:t>laws protect pregnant and breastfeeding workers from having to handle toxic chemicals (such as those used in forestry, agriculture and chemical manufacturing), prohibit employers from terminating persons on the basis of pregnancy or maternity, prohibit gender discrimination in the workplace, and have enhanced protections regarding maternity and paternity leave</w:t>
      </w:r>
      <w:r>
        <w:t>.</w:t>
      </w:r>
      <w:r w:rsidRPr="00513D84">
        <w:t xml:space="preserve"> </w:t>
      </w:r>
    </w:p>
    <w:p w14:paraId="5136BACD" w14:textId="283925AF" w:rsidR="00381037" w:rsidRPr="00513D84" w:rsidRDefault="00381037" w:rsidP="00381037">
      <w:pPr>
        <w:pStyle w:val="ParNoG"/>
      </w:pPr>
      <w:r w:rsidRPr="00513D84">
        <w:rPr>
          <w:b/>
          <w:bCs/>
        </w:rPr>
        <w:t xml:space="preserve">Canada, France, New Zealand, Sweden, the United Kingdom of Great Britain and Northern Ireland, </w:t>
      </w:r>
      <w:r w:rsidRPr="00513D84">
        <w:t xml:space="preserve">and </w:t>
      </w:r>
      <w:r w:rsidRPr="00513D84">
        <w:rPr>
          <w:b/>
          <w:bCs/>
        </w:rPr>
        <w:t xml:space="preserve">the United States of America </w:t>
      </w:r>
      <w:r w:rsidRPr="00513D84">
        <w:t xml:space="preserve">have taken regulatory actions to restrict the manufacture, import and sale of microbeads in cosmetics, a measure that will protect women and girls from exposure to toxic substances. </w:t>
      </w:r>
      <w:r w:rsidRPr="00513D84">
        <w:rPr>
          <w:b/>
          <w:bCs/>
        </w:rPr>
        <w:t xml:space="preserve">Bahrain, Kuwait, Oman, Qatar, Saudi Arabia, the United Arab Emirates, </w:t>
      </w:r>
      <w:r w:rsidRPr="00513D84">
        <w:t xml:space="preserve">and </w:t>
      </w:r>
      <w:r w:rsidRPr="00513D84">
        <w:rPr>
          <w:b/>
          <w:bCs/>
        </w:rPr>
        <w:t xml:space="preserve">Yemen </w:t>
      </w:r>
      <w:r w:rsidRPr="00513D84">
        <w:t>initiated legislation to restrict the use of certain chemicals of concern in products such as cosmetics, personal care products, detergent, and other products.</w:t>
      </w:r>
      <w:r w:rsidRPr="00513D84">
        <w:rPr>
          <w:position w:val="6"/>
        </w:rPr>
        <w:t xml:space="preserve"> </w:t>
      </w:r>
      <w:r w:rsidRPr="00513D84">
        <w:rPr>
          <w:b/>
          <w:bCs/>
        </w:rPr>
        <w:t xml:space="preserve">Morocco </w:t>
      </w:r>
      <w:r w:rsidRPr="00513D84">
        <w:t xml:space="preserve">and </w:t>
      </w:r>
      <w:r w:rsidRPr="00513D84">
        <w:rPr>
          <w:b/>
          <w:bCs/>
        </w:rPr>
        <w:t xml:space="preserve">Rwanda </w:t>
      </w:r>
      <w:r w:rsidRPr="00513D84">
        <w:t>have both recently passed legislation addressing certain substances in cosmetics.</w:t>
      </w:r>
      <w:r w:rsidRPr="00737426">
        <w:rPr>
          <w:rStyle w:val="FootnoteReference"/>
          <w:szCs w:val="14"/>
        </w:rPr>
        <w:footnoteReference w:id="57"/>
      </w:r>
      <w:r w:rsidRPr="00513D84">
        <w:t xml:space="preserve"> </w:t>
      </w:r>
    </w:p>
    <w:p w14:paraId="637E1BC0" w14:textId="5B4149B1" w:rsidR="00381037" w:rsidRDefault="00381037" w:rsidP="00381037">
      <w:pPr>
        <w:pStyle w:val="ParNoG"/>
      </w:pPr>
      <w:r w:rsidRPr="00513D84">
        <w:t xml:space="preserve">Community right-to-know laws help increase the public’s knowledge and access to information on chemicals at individual facilities, as well as their uses and releases to the environment. These provisions allow public concerns to be addressed regarding environmental and safety hazards due to the storage, handling and emissions of toxic chemicals in the vicinity of industrial installations. An example of a consumer right-to-know law is Proposition 65 (also known as the Safe Drinking Water and Toxic Enforcement Act of 1986), created in the State of California in the </w:t>
      </w:r>
      <w:r w:rsidRPr="006E73E4">
        <w:rPr>
          <w:b/>
          <w:bCs/>
        </w:rPr>
        <w:t>United States</w:t>
      </w:r>
      <w:r w:rsidRPr="00513D84">
        <w:t xml:space="preserve">. Proposition 65 requires businesses in California to provide warnings about significant exposures to chemicals in products, </w:t>
      </w:r>
      <w:proofErr w:type="gramStart"/>
      <w:r w:rsidRPr="00513D84">
        <w:t>homes</w:t>
      </w:r>
      <w:proofErr w:type="gramEnd"/>
      <w:r w:rsidRPr="00513D84">
        <w:t xml:space="preserve"> or workplaces, or those released to the environment, that cause cancer, birth defects and other types of reproductive harm. This enables residents to make informed decisions about their exposures to these chemicals. Proposition 65 requires California to publish a list (updated once a year) of such chemicals. It has grown to include approximately 900 chemicals since it was first published in 1987. Another example of consumers’ right-to-know is a provision under the </w:t>
      </w:r>
      <w:r w:rsidRPr="006E73E4">
        <w:rPr>
          <w:b/>
          <w:bCs/>
        </w:rPr>
        <w:t>European Union’s</w:t>
      </w:r>
      <w:r>
        <w:t xml:space="preserve"> </w:t>
      </w:r>
      <w:r w:rsidRPr="00513D84">
        <w:t xml:space="preserve">REACH (Registration, Evaluation, Authorisation and Restriction of Chemicals) Regulation. For substances of very high concern (SVHC), consumers have the right to receive information from the suppliers of an article about the presence of any SVHC in that article, and the supplier is obliged to provide the information within 45 days. </w:t>
      </w:r>
    </w:p>
    <w:p w14:paraId="04E25C1E" w14:textId="74E8674C" w:rsidR="00381037" w:rsidRDefault="00381037" w:rsidP="00381037">
      <w:pPr>
        <w:pStyle w:val="ParNoG"/>
      </w:pPr>
      <w:r w:rsidRPr="00513D84">
        <w:t>Despite objections from the chemical industry,</w:t>
      </w:r>
      <w:r w:rsidRPr="00513D84">
        <w:rPr>
          <w:b/>
          <w:bCs/>
        </w:rPr>
        <w:t xml:space="preserve"> France </w:t>
      </w:r>
      <w:r w:rsidRPr="00513D84">
        <w:t>banned the endocrine disruptor Bisphenol A and other harmful chemicals from food contact materials in 2013, and stipulated timeframes for eliminating these chemicals from pacifiers, teething rings and food contact materials intended for children under three years of age. In the interim, the government employed the gender-responsive measure of requiring a warning label, intended to alert pregnant women, indicating Bisphenol A’s existence in products.</w:t>
      </w:r>
      <w:r w:rsidRPr="00737426">
        <w:rPr>
          <w:rStyle w:val="FootnoteReference"/>
          <w:szCs w:val="14"/>
        </w:rPr>
        <w:footnoteReference w:id="58"/>
      </w:r>
      <w:r w:rsidRPr="00513D84">
        <w:t xml:space="preserve"> </w:t>
      </w:r>
    </w:p>
    <w:p w14:paraId="13952FC2" w14:textId="5004898A" w:rsidR="00381037" w:rsidRDefault="00381037" w:rsidP="00381037">
      <w:pPr>
        <w:pStyle w:val="ParNoG"/>
      </w:pPr>
      <w:r w:rsidRPr="001B13F6">
        <w:t xml:space="preserve">Plastic pollution is a huge global concern because of its impact on humans and biodiversity. The </w:t>
      </w:r>
      <w:r w:rsidRPr="0032634E">
        <w:rPr>
          <w:b/>
          <w:bCs/>
        </w:rPr>
        <w:t>European Union</w:t>
      </w:r>
      <w:r w:rsidRPr="001B13F6">
        <w:t xml:space="preserve"> has enacted </w:t>
      </w:r>
      <w:r>
        <w:t xml:space="preserve">one of </w:t>
      </w:r>
      <w:r w:rsidRPr="001B13F6">
        <w:t xml:space="preserve">the most comprehensive </w:t>
      </w:r>
      <w:r>
        <w:t>laws</w:t>
      </w:r>
      <w:r w:rsidRPr="001B13F6">
        <w:t>,</w:t>
      </w:r>
      <w:r w:rsidRPr="001B13F6">
        <w:rPr>
          <w:szCs w:val="18"/>
        </w:rPr>
        <w:t xml:space="preserve"> Directive (EU) 2019/904,</w:t>
      </w:r>
      <w:r w:rsidRPr="001B13F6">
        <w:t xml:space="preserve"> to reduce plastic waste.</w:t>
      </w:r>
      <w:r w:rsidRPr="001B13F6">
        <w:rPr>
          <w:rStyle w:val="FootnoteReference"/>
        </w:rPr>
        <w:t xml:space="preserve"> </w:t>
      </w:r>
      <w:r w:rsidRPr="001B13F6">
        <w:t>Banned items include plastic cutlery, plates, stirrers, straws, expanded polystyrene (foam) food and beverage containers, and balloon sticks. Extended producer responsibility rules cover additional plastic products and packaging. By 2029, 90 per cent of single-use plastic wastes must be collected for recycling.</w:t>
      </w:r>
    </w:p>
    <w:p w14:paraId="44F1B1F6" w14:textId="3033AE6B" w:rsidR="00381037" w:rsidRDefault="00381037" w:rsidP="00381037">
      <w:pPr>
        <w:pStyle w:val="ParNoG"/>
      </w:pPr>
      <w:r w:rsidRPr="0032634E">
        <w:rPr>
          <w:b/>
          <w:bCs/>
        </w:rPr>
        <w:t xml:space="preserve">Albania, Bahrain, Burkina Faso, Kenya, </w:t>
      </w:r>
      <w:r>
        <w:rPr>
          <w:b/>
          <w:bCs/>
        </w:rPr>
        <w:t xml:space="preserve">Mexico, </w:t>
      </w:r>
      <w:r w:rsidRPr="0032634E">
        <w:rPr>
          <w:b/>
          <w:bCs/>
        </w:rPr>
        <w:t>Montenegro, Rwanda, Samoa, Senegal</w:t>
      </w:r>
      <w:r>
        <w:rPr>
          <w:b/>
          <w:bCs/>
        </w:rPr>
        <w:t>, Uganda</w:t>
      </w:r>
      <w:r w:rsidRPr="001B13F6">
        <w:t xml:space="preserve"> and </w:t>
      </w:r>
      <w:r w:rsidRPr="0032634E">
        <w:rPr>
          <w:b/>
          <w:bCs/>
        </w:rPr>
        <w:t xml:space="preserve">Uzbekistan </w:t>
      </w:r>
      <w:r w:rsidRPr="001B13F6">
        <w:t xml:space="preserve">have banned </w:t>
      </w:r>
      <w:r>
        <w:t xml:space="preserve">certain types of </w:t>
      </w:r>
      <w:r w:rsidRPr="001B13F6">
        <w:t xml:space="preserve">plastic bags, thereby </w:t>
      </w:r>
      <w:proofErr w:type="gramStart"/>
      <w:r w:rsidRPr="001B13F6">
        <w:t>reducing</w:t>
      </w:r>
      <w:proofErr w:type="gramEnd"/>
      <w:r w:rsidRPr="001B13F6">
        <w:t xml:space="preserve"> plastic pollution and animal deaths, and preventing clogged drains, which can contribute to flooding and malaria. These </w:t>
      </w:r>
      <w:r>
        <w:t>measure</w:t>
      </w:r>
      <w:r w:rsidRPr="001B13F6">
        <w:t xml:space="preserve">s also improve air quality, as plastic bags are no longer disposed of by </w:t>
      </w:r>
      <w:r>
        <w:t>burning</w:t>
      </w:r>
      <w:r w:rsidRPr="001B13F6">
        <w:t>.</w:t>
      </w:r>
      <w:r>
        <w:t xml:space="preserve"> Legal challenges against these laws and regulations, brought by businesses and industry associations, have been successfully defended by Governments arguing that they were fulfilling their obligations to protect the right to a healthy environment.</w:t>
      </w:r>
    </w:p>
    <w:p w14:paraId="0076D7A2" w14:textId="5023F5E0" w:rsidR="00381037" w:rsidRDefault="00381037" w:rsidP="00381037">
      <w:pPr>
        <w:pStyle w:val="ParNoG"/>
      </w:pPr>
      <w:r w:rsidRPr="00513D84">
        <w:t xml:space="preserve">To combat plastic pollution across </w:t>
      </w:r>
      <w:r w:rsidRPr="00513D84">
        <w:rPr>
          <w:b/>
          <w:bCs/>
        </w:rPr>
        <w:t xml:space="preserve">Peru’s </w:t>
      </w:r>
      <w:r w:rsidRPr="00513D84">
        <w:t xml:space="preserve">beaches, </w:t>
      </w:r>
      <w:r w:rsidRPr="00D455E5">
        <w:t>Life Out of Plastic (LOOP),</w:t>
      </w:r>
      <w:r w:rsidRPr="00513D84">
        <w:rPr>
          <w:b/>
          <w:bCs/>
        </w:rPr>
        <w:t xml:space="preserve"> </w:t>
      </w:r>
      <w:r w:rsidRPr="00513D84">
        <w:t xml:space="preserve">a women-led social enterprise supported by Peru’s Ministry of Environmental and </w:t>
      </w:r>
      <w:proofErr w:type="spellStart"/>
      <w:r w:rsidRPr="00D455E5">
        <w:t>Conservamos</w:t>
      </w:r>
      <w:proofErr w:type="spellEnd"/>
      <w:r w:rsidRPr="00D455E5">
        <w:t xml:space="preserve"> Por </w:t>
      </w:r>
      <w:proofErr w:type="spellStart"/>
      <w:r w:rsidRPr="00D455E5">
        <w:t>Naturaleza</w:t>
      </w:r>
      <w:proofErr w:type="spellEnd"/>
      <w:r w:rsidRPr="00D455E5">
        <w:t xml:space="preserve">, </w:t>
      </w:r>
      <w:r w:rsidRPr="00513D84">
        <w:t>produces and sells up-cycled products made of coastal plastic pollution. LOOP also organizes awareness activities, such as eco-conscious art exhibits aimed at school-aged children and annual beach-clean up events. As of 2022, LOOP had reached over 34,000 people, removed over 140,000 tons of debris from beaches and the ocean, provided 235 hours of workshops raising awareness about pollution, and recycled 1.3 million PET (polyethylene terephthalate) bottles into commercial products.</w:t>
      </w:r>
      <w:r w:rsidRPr="00737426">
        <w:rPr>
          <w:rStyle w:val="FootnoteReference"/>
          <w:szCs w:val="14"/>
        </w:rPr>
        <w:footnoteReference w:id="59"/>
      </w:r>
      <w:r w:rsidRPr="00513D84">
        <w:t xml:space="preserve"> </w:t>
      </w:r>
    </w:p>
    <w:p w14:paraId="713C8060" w14:textId="182FC692" w:rsidR="008433A5" w:rsidRPr="00806FC3" w:rsidRDefault="00381037" w:rsidP="00381037">
      <w:pPr>
        <w:pStyle w:val="ParNoG"/>
        <w:rPr>
          <w:lang w:val="en-CA"/>
        </w:rPr>
      </w:pPr>
      <w:r w:rsidRPr="00381037">
        <w:rPr>
          <w:b/>
          <w:bCs/>
        </w:rPr>
        <w:t>Costa Rica's</w:t>
      </w:r>
      <w:r w:rsidRPr="00513D84">
        <w:t xml:space="preserve"> environmental legal framework embodies the polluter pays principle in Law 7554 of 1995, the Organic Law of the Environment, which states that: "Whoever pollutes the environment or causes any damage to it will be liable, when so established by the laws of the Republic and international conventions in force". According to these provisions, the "polluter pays principle" responds to the fact that economic agents that pollute or damage natural resources are obliged to take all necessary measures to avoid or minimize such potential damage to the environment (internalize the cost). It also responds to the concept of liability for environmental damage. This means that any damage caused to environmental elements must be repaired. The main bodies in charge of sanctioning and compensating environmental damage to the detriment of the right to a healthy and ecologically balanced environment are the Ministry of Environment and Energy and the Ministry of Health. For example, in 2006 there was a fire in a chemical manufacturing plant that caused a spill of chemicals that contaminated the soil, water and air. As part of the mitigation measures, the Environmental Tribunal ordered the business to: (</w:t>
      </w:r>
      <w:proofErr w:type="spellStart"/>
      <w:r w:rsidRPr="00513D84">
        <w:t>i</w:t>
      </w:r>
      <w:proofErr w:type="spellEnd"/>
      <w:r w:rsidRPr="00513D84">
        <w:t>) contain the spill and its spread, (ii) remove and incinerate all contaminated soil and, (iii) decontaminate the affected water sources. The Tribunal also conducted an economic assessment of the environmental damage.</w:t>
      </w:r>
      <w:r w:rsidRPr="00737426">
        <w:rPr>
          <w:rStyle w:val="FootnoteReference"/>
          <w:szCs w:val="14"/>
        </w:rPr>
        <w:footnoteReference w:id="60"/>
      </w:r>
    </w:p>
    <w:p w14:paraId="2FADD646" w14:textId="5BD72B6D" w:rsidR="00806FC3" w:rsidRDefault="009E0013" w:rsidP="00806FC3">
      <w:pPr>
        <w:pStyle w:val="H1G"/>
        <w:rPr>
          <w:bCs/>
          <w:lang w:val="en-CA"/>
        </w:rPr>
      </w:pPr>
      <w:r>
        <w:rPr>
          <w:lang w:val="en-CA"/>
        </w:rPr>
        <w:tab/>
      </w:r>
      <w:r w:rsidR="00806FC3">
        <w:rPr>
          <w:lang w:val="en-CA"/>
        </w:rPr>
        <w:t>D</w:t>
      </w:r>
      <w:r>
        <w:rPr>
          <w:lang w:val="en-CA"/>
        </w:rPr>
        <w:t>.</w:t>
      </w:r>
      <w:r>
        <w:rPr>
          <w:lang w:val="en-CA"/>
        </w:rPr>
        <w:tab/>
      </w:r>
      <w:r w:rsidRPr="009E0013">
        <w:rPr>
          <w:bCs/>
          <w:lang w:val="en-CA"/>
        </w:rPr>
        <w:t>Safe and sufficient water</w:t>
      </w:r>
    </w:p>
    <w:p w14:paraId="460EA2C3" w14:textId="77777777" w:rsidR="00432DE8" w:rsidRDefault="00432DE8" w:rsidP="00432DE8">
      <w:pPr>
        <w:pStyle w:val="ParNoG"/>
      </w:pPr>
      <w:r w:rsidRPr="00513D84">
        <w:t xml:space="preserve">A number of Latin American States, including </w:t>
      </w:r>
      <w:r w:rsidRPr="00C25738">
        <w:rPr>
          <w:b/>
          <w:bCs/>
        </w:rPr>
        <w:t xml:space="preserve">Colombia, Costa Rica, El Salvador </w:t>
      </w:r>
      <w:r w:rsidRPr="00C25738">
        <w:t>and</w:t>
      </w:r>
      <w:r w:rsidRPr="00C25738">
        <w:rPr>
          <w:b/>
          <w:bCs/>
        </w:rPr>
        <w:t xml:space="preserve"> Panama</w:t>
      </w:r>
      <w:r w:rsidRPr="00513D84">
        <w:t xml:space="preserve"> have rejected applications by multinational corporations seeking to establish open pit mines in sensitive ecosystems, determining that the risks to human rights, water </w:t>
      </w:r>
      <w:proofErr w:type="gramStart"/>
      <w:r w:rsidRPr="00513D84">
        <w:t>supplies</w:t>
      </w:r>
      <w:proofErr w:type="gramEnd"/>
      <w:r w:rsidRPr="00513D84">
        <w:t xml:space="preserve"> and the environment were too grave. Costa Rica and El Salvador enacted legislation to prevent these kinds of socio- environmental disasters from even being considered in the future. </w:t>
      </w:r>
    </w:p>
    <w:p w14:paraId="46DF9D1C" w14:textId="31C77D5F" w:rsidR="009E0013" w:rsidRPr="00C925D0" w:rsidRDefault="00432DE8" w:rsidP="00432DE8">
      <w:pPr>
        <w:pStyle w:val="ParNoG"/>
        <w:rPr>
          <w:lang w:val="en-CA"/>
        </w:rPr>
      </w:pPr>
      <w:r w:rsidRPr="005D2805">
        <w:t xml:space="preserve">Many States are improving irrigation systems </w:t>
      </w:r>
      <w:proofErr w:type="gramStart"/>
      <w:r w:rsidRPr="005D2805">
        <w:t>in order to</w:t>
      </w:r>
      <w:proofErr w:type="gramEnd"/>
      <w:r w:rsidRPr="005D2805">
        <w:t xml:space="preserve"> substantially reduce water use including </w:t>
      </w:r>
      <w:r w:rsidRPr="00432DE8">
        <w:rPr>
          <w:b/>
          <w:bCs/>
        </w:rPr>
        <w:t>Bangladesh, Egypt, Kenya, Kyrgyz Republic, Malawi,</w:t>
      </w:r>
      <w:r w:rsidRPr="00C25738">
        <w:t xml:space="preserve"> and</w:t>
      </w:r>
      <w:r w:rsidRPr="00432DE8">
        <w:rPr>
          <w:b/>
          <w:bCs/>
        </w:rPr>
        <w:t xml:space="preserve"> Uganda</w:t>
      </w:r>
      <w:r w:rsidRPr="005D2805">
        <w:t xml:space="preserve">. For example, </w:t>
      </w:r>
      <w:r w:rsidRPr="00432DE8">
        <w:rPr>
          <w:b/>
          <w:bCs/>
        </w:rPr>
        <w:t>Bangladesh</w:t>
      </w:r>
      <w:r w:rsidRPr="005D2805">
        <w:t xml:space="preserve"> is practicing an alternate wetting and drying method of irrigation for rice production in different parts of the country, which reduces water use 15 to 30 per cent while maintaining yields.</w:t>
      </w:r>
      <w:r w:rsidRPr="005D2805">
        <w:rPr>
          <w:spacing w:val="5"/>
          <w:w w:val="103"/>
          <w:kern w:val="14"/>
          <w:vertAlign w:val="superscript"/>
        </w:rPr>
        <w:footnoteReference w:id="61"/>
      </w:r>
      <w:r w:rsidRPr="005D2805">
        <w:t xml:space="preserve"> </w:t>
      </w:r>
      <w:r w:rsidRPr="00432DE8">
        <w:rPr>
          <w:b/>
          <w:bCs/>
        </w:rPr>
        <w:t>Egypt</w:t>
      </w:r>
      <w:r w:rsidRPr="005D2805">
        <w:t xml:space="preserve"> is making efforts to increase the use of highly efficient drip irrigation. </w:t>
      </w:r>
      <w:proofErr w:type="spellStart"/>
      <w:r w:rsidRPr="00432DE8">
        <w:rPr>
          <w:b/>
          <w:bCs/>
        </w:rPr>
        <w:t>Sekem</w:t>
      </w:r>
      <w:proofErr w:type="spellEnd"/>
      <w:r w:rsidRPr="005D2805">
        <w:t xml:space="preserve">, an Egyptian company, has pioneered organic farming and the complete reuse of wastewater after treatment. </w:t>
      </w:r>
      <w:r w:rsidRPr="00432DE8">
        <w:rPr>
          <w:b/>
          <w:bCs/>
        </w:rPr>
        <w:t xml:space="preserve">Jordan, </w:t>
      </w:r>
      <w:proofErr w:type="gramStart"/>
      <w:r w:rsidRPr="00432DE8">
        <w:rPr>
          <w:b/>
          <w:bCs/>
        </w:rPr>
        <w:t>Kuwait</w:t>
      </w:r>
      <w:proofErr w:type="gramEnd"/>
      <w:r w:rsidRPr="00432DE8">
        <w:rPr>
          <w:b/>
          <w:bCs/>
        </w:rPr>
        <w:t xml:space="preserve"> </w:t>
      </w:r>
      <w:r w:rsidRPr="00C25738">
        <w:t xml:space="preserve">and </w:t>
      </w:r>
      <w:r w:rsidRPr="00432DE8">
        <w:rPr>
          <w:b/>
          <w:bCs/>
        </w:rPr>
        <w:t>Oman</w:t>
      </w:r>
      <w:r w:rsidRPr="005D2805">
        <w:t xml:space="preserve"> use at least secondary treatment for wastewater prior to water re-use in agriculture.</w:t>
      </w:r>
    </w:p>
    <w:p w14:paraId="787F5E97" w14:textId="19EFCEF1" w:rsidR="00C925D0" w:rsidRDefault="00682651" w:rsidP="00C925D0">
      <w:pPr>
        <w:pStyle w:val="H1G"/>
        <w:rPr>
          <w:bCs/>
          <w:lang w:val="en-CA"/>
        </w:rPr>
      </w:pPr>
      <w:r>
        <w:rPr>
          <w:lang w:val="en-CA"/>
        </w:rPr>
        <w:tab/>
      </w:r>
      <w:r w:rsidR="00C925D0">
        <w:rPr>
          <w:lang w:val="en-CA"/>
        </w:rPr>
        <w:t>E</w:t>
      </w:r>
      <w:r>
        <w:rPr>
          <w:lang w:val="en-CA"/>
        </w:rPr>
        <w:t>.</w:t>
      </w:r>
      <w:r>
        <w:rPr>
          <w:lang w:val="en-CA"/>
        </w:rPr>
        <w:tab/>
      </w:r>
      <w:r w:rsidRPr="00682651">
        <w:rPr>
          <w:bCs/>
          <w:lang w:val="en-CA"/>
        </w:rPr>
        <w:t>Healthy and sustainably produced food</w:t>
      </w:r>
    </w:p>
    <w:p w14:paraId="6FEAFFFC" w14:textId="77777777" w:rsidR="00D5220A" w:rsidRDefault="00D5220A" w:rsidP="00D5220A">
      <w:pPr>
        <w:pStyle w:val="ParNoG"/>
      </w:pPr>
      <w:r w:rsidRPr="00513D84">
        <w:t>An important element of shifting to a healthy and sustainable food system is a decrease in the production and consumption of meat, particularly beef, because of the huge impact on the environment.</w:t>
      </w:r>
      <w:r w:rsidRPr="00E66C83">
        <w:rPr>
          <w:rStyle w:val="FootnoteReference"/>
          <w:szCs w:val="14"/>
        </w:rPr>
        <w:footnoteReference w:id="62"/>
      </w:r>
      <w:r w:rsidRPr="00513D84">
        <w:t xml:space="preserve"> Protein crops (for example, soybeans, </w:t>
      </w:r>
      <w:proofErr w:type="gramStart"/>
      <w:r w:rsidRPr="00513D84">
        <w:t>lentils</w:t>
      </w:r>
      <w:proofErr w:type="gramEnd"/>
      <w:r w:rsidRPr="00513D84">
        <w:t xml:space="preserve"> and chickpeas) can provide benefits, such as less disease and pest pressure, improved nitrogen management, lower nitrogen emissions and increased opportunities for farmers. In 2015, </w:t>
      </w:r>
      <w:r w:rsidRPr="00513D84">
        <w:rPr>
          <w:b/>
          <w:bCs/>
        </w:rPr>
        <w:t>Ireland</w:t>
      </w:r>
      <w:r w:rsidRPr="00513D84">
        <w:t xml:space="preserve"> introduced a programme offering incentives to farmers to grow protein crops. In the first year of the programme, a 300 per cent increase in production was reported.</w:t>
      </w:r>
      <w:r w:rsidRPr="00E66C83">
        <w:rPr>
          <w:rStyle w:val="FootnoteReference"/>
          <w:szCs w:val="14"/>
        </w:rPr>
        <w:footnoteReference w:id="63"/>
      </w:r>
    </w:p>
    <w:p w14:paraId="21B9A34C" w14:textId="445B6936" w:rsidR="00D5220A" w:rsidRDefault="00D5220A" w:rsidP="00D5220A">
      <w:pPr>
        <w:pStyle w:val="ParNoG"/>
      </w:pPr>
      <w:r w:rsidRPr="00513D84">
        <w:t xml:space="preserve">The </w:t>
      </w:r>
      <w:r w:rsidRPr="00513D84">
        <w:rPr>
          <w:b/>
          <w:bCs/>
        </w:rPr>
        <w:t xml:space="preserve">Indian state of Sikkim </w:t>
      </w:r>
      <w:r w:rsidRPr="00513D84">
        <w:t xml:space="preserve">is the first 100 per cent organic state in the world, as </w:t>
      </w:r>
      <w:proofErr w:type="gramStart"/>
      <w:r w:rsidRPr="00513D84">
        <w:t>all of</w:t>
      </w:r>
      <w:proofErr w:type="gramEnd"/>
      <w:r w:rsidRPr="00513D84">
        <w:t xml:space="preserve"> its farmland is certified organic. This transition has benefited over 66,000 farming families on over 76,000 hectares of land. Sikkim’s State Policy on Organic Farming (2004) prioritizes the participation and empowerment of women. As part of the process by which chemical fertilizers and pesticides were phased out, women were key recipients of </w:t>
      </w:r>
      <w:r>
        <w:t>subsidie</w:t>
      </w:r>
      <w:r w:rsidRPr="00513D84">
        <w:t xml:space="preserve">s, case studies and best practices, and awareness-raising materials related to agroecology and associated policies. The policy requires the State to encourage the formation of women organic farmer groups, </w:t>
      </w:r>
      <w:proofErr w:type="gramStart"/>
      <w:r w:rsidRPr="00513D84">
        <w:t>clubs</w:t>
      </w:r>
      <w:proofErr w:type="gramEnd"/>
      <w:r w:rsidRPr="00513D84">
        <w:t xml:space="preserve"> and cooperatives for the purpose of cultivation, input production, seeds/seedlings/planting materials production, certification and marketing. </w:t>
      </w:r>
    </w:p>
    <w:p w14:paraId="2FEFDE83" w14:textId="774C2F73" w:rsidR="00D5220A" w:rsidRDefault="00D5220A" w:rsidP="00D5220A">
      <w:pPr>
        <w:pStyle w:val="ParNoG"/>
      </w:pPr>
      <w:r w:rsidRPr="00C601E9">
        <w:rPr>
          <w:b/>
          <w:bCs/>
        </w:rPr>
        <w:t>Turkey</w:t>
      </w:r>
      <w:r w:rsidRPr="00EE77BA">
        <w:t xml:space="preserve"> passed a law on organic agriculture in 2004 and a by-law on organic agriculture principles and practices in 2010. The number of farmers and areas under organic cultivation has grown rapidly since 2010, with the area in organic production jumping more than 60 per cent between 2010 and 2014.</w:t>
      </w:r>
      <w:r w:rsidRPr="00E66C83">
        <w:rPr>
          <w:rStyle w:val="FootnoteReference"/>
          <w:color w:val="000000" w:themeColor="text1"/>
          <w:szCs w:val="14"/>
        </w:rPr>
        <w:footnoteReference w:id="64"/>
      </w:r>
    </w:p>
    <w:p w14:paraId="2378B55E" w14:textId="2CC730E8" w:rsidR="00D5220A" w:rsidRPr="00513D84" w:rsidRDefault="00D5220A" w:rsidP="00D5220A">
      <w:pPr>
        <w:pStyle w:val="ParNoG"/>
      </w:pPr>
      <w:r w:rsidRPr="00C601E9">
        <w:rPr>
          <w:b/>
          <w:bCs/>
        </w:rPr>
        <w:t>France</w:t>
      </w:r>
      <w:r w:rsidRPr="00513D84">
        <w:t xml:space="preserve"> has prohibited the use of neonicotinoid pesticides, which have proven harmful to bees and other pollinators, meaning that acetamiprid, clothianidin, imidacloprid, thiacloprid, and thiamethoxam can no longer be used on crops grown in field or greenhouses.</w:t>
      </w:r>
      <w:r w:rsidRPr="00E66C83">
        <w:rPr>
          <w:rStyle w:val="FootnoteReference"/>
          <w:szCs w:val="14"/>
        </w:rPr>
        <w:footnoteReference w:id="65"/>
      </w:r>
      <w:r w:rsidRPr="00513D84">
        <w:t xml:space="preserve"> According to the UN Food and Agriculture Organization, 71 percent of 100 crop species (which provide 90 per cent of global food), are pollinated by bees.</w:t>
      </w:r>
      <w:r>
        <w:t xml:space="preserve"> </w:t>
      </w:r>
      <w:r w:rsidRPr="00513D84">
        <w:t xml:space="preserve">In 2019, France introduced a law banning export of plant protection products (pesticides, herbicides, etc.) not approved for use in the European Union because of health or environmental concerns. The constitutionality of this law was challenged by chemical </w:t>
      </w:r>
      <w:proofErr w:type="gramStart"/>
      <w:r w:rsidRPr="00513D84">
        <w:t>manufacturers</w:t>
      </w:r>
      <w:proofErr w:type="gramEnd"/>
      <w:r w:rsidRPr="00513D84">
        <w:t xml:space="preserve"> but the Constitutional Council upheld its validity.</w:t>
      </w:r>
      <w:r w:rsidRPr="00E66C83">
        <w:rPr>
          <w:rStyle w:val="FootnoteReference"/>
          <w:szCs w:val="14"/>
        </w:rPr>
        <w:footnoteReference w:id="66"/>
      </w:r>
      <w:r w:rsidRPr="00513D84">
        <w:t xml:space="preserve"> </w:t>
      </w:r>
    </w:p>
    <w:p w14:paraId="754FD1EB" w14:textId="099073CC" w:rsidR="00D5220A" w:rsidRDefault="00D5220A" w:rsidP="00D5220A">
      <w:pPr>
        <w:pStyle w:val="ParNoG"/>
      </w:pPr>
      <w:r w:rsidRPr="00B7685C">
        <w:rPr>
          <w:b/>
          <w:bCs/>
        </w:rPr>
        <w:t xml:space="preserve">Sweden, Norway, Denmark, Finland, </w:t>
      </w:r>
      <w:proofErr w:type="gramStart"/>
      <w:r w:rsidRPr="00B7685C">
        <w:rPr>
          <w:b/>
          <w:bCs/>
        </w:rPr>
        <w:t>France</w:t>
      </w:r>
      <w:proofErr w:type="gramEnd"/>
      <w:r w:rsidRPr="00B7685C">
        <w:rPr>
          <w:b/>
          <w:bCs/>
        </w:rPr>
        <w:t xml:space="preserve"> </w:t>
      </w:r>
      <w:r w:rsidRPr="00B7685C">
        <w:t>and</w:t>
      </w:r>
      <w:r w:rsidRPr="00B7685C">
        <w:rPr>
          <w:b/>
          <w:bCs/>
        </w:rPr>
        <w:t xml:space="preserve"> Italy</w:t>
      </w:r>
      <w:r w:rsidRPr="00513D84">
        <w:t xml:space="preserve"> impose taxes on pesticides. </w:t>
      </w:r>
      <w:r w:rsidRPr="00B7685C">
        <w:rPr>
          <w:b/>
          <w:bCs/>
        </w:rPr>
        <w:t>Sweden</w:t>
      </w:r>
      <w:r w:rsidRPr="00513D84">
        <w:t xml:space="preserve"> reduced pesticide use by over 80 percent since 1980 by charging a special tax on pesticides, offering economic support for organic agriculture, funding research on alternatives to pesticide use, and providing mandatory education programs for pesticide users to assist them in reducing their reliance on these chemicals. </w:t>
      </w:r>
      <w:r w:rsidRPr="00B7685C">
        <w:rPr>
          <w:b/>
          <w:bCs/>
        </w:rPr>
        <w:t>Norway’s</w:t>
      </w:r>
      <w:r w:rsidRPr="00513D84">
        <w:t xml:space="preserve"> pesticide tax is noteworthy for being one of the first to apply higher tax rates to products of higher toxicity, resulting in a shift toward the use of less hazardous pesticides. </w:t>
      </w:r>
      <w:r w:rsidRPr="00B7685C">
        <w:rPr>
          <w:b/>
          <w:bCs/>
        </w:rPr>
        <w:t>Denmark</w:t>
      </w:r>
      <w:r w:rsidRPr="00513D84">
        <w:t xml:space="preserve"> employed a similar approach to pesticide taxes, contributing to a 40 percent reduction in pesticide use between 2013 and 2017.</w:t>
      </w:r>
      <w:r w:rsidRPr="00E66C83">
        <w:rPr>
          <w:rStyle w:val="FootnoteReference"/>
          <w:szCs w:val="14"/>
        </w:rPr>
        <w:footnoteReference w:id="67"/>
      </w:r>
    </w:p>
    <w:p w14:paraId="177BFE9C" w14:textId="17633273" w:rsidR="00D5220A" w:rsidRPr="00513D84" w:rsidRDefault="00D5220A" w:rsidP="00D5220A">
      <w:pPr>
        <w:pStyle w:val="ParNoG"/>
      </w:pPr>
      <w:r w:rsidRPr="00513D84">
        <w:t xml:space="preserve">A systemic approach to preventing agricultural water pollution was adopted by the </w:t>
      </w:r>
      <w:r w:rsidRPr="00B7685C">
        <w:rPr>
          <w:b/>
          <w:bCs/>
        </w:rPr>
        <w:t>European Union</w:t>
      </w:r>
      <w:r w:rsidRPr="00513D84">
        <w:t xml:space="preserve"> in the Nitrate Directive (1991) and the Water Framework Directive (2000). These reduced the volume of nitrogen fertilizer use by 19</w:t>
      </w:r>
      <w:r>
        <w:t xml:space="preserve"> percent</w:t>
      </w:r>
      <w:r w:rsidRPr="00513D84">
        <w:t xml:space="preserve"> during the period 1990–2010, resulting in improved water quality.</w:t>
      </w:r>
      <w:r w:rsidRPr="00513D84">
        <w:rPr>
          <w:position w:val="6"/>
        </w:rPr>
        <w:t xml:space="preserve"> </w:t>
      </w:r>
      <w:r w:rsidRPr="00513D84">
        <w:t xml:space="preserve">The </w:t>
      </w:r>
      <w:r w:rsidRPr="00B7685C">
        <w:rPr>
          <w:b/>
          <w:bCs/>
        </w:rPr>
        <w:t>European Union’s</w:t>
      </w:r>
      <w:r w:rsidRPr="00513D84">
        <w:t xml:space="preserve"> Farm to Fork Strategy contains </w:t>
      </w:r>
      <w:proofErr w:type="gramStart"/>
      <w:r w:rsidRPr="00513D84">
        <w:t>a number of</w:t>
      </w:r>
      <w:proofErr w:type="gramEnd"/>
      <w:r w:rsidRPr="00513D84">
        <w:t xml:space="preserve"> concrete targets that the EU aims to reach by 2030: </w:t>
      </w:r>
    </w:p>
    <w:p w14:paraId="0AE35F2C" w14:textId="7BDA04C7" w:rsidR="00D5220A" w:rsidRPr="00513D84" w:rsidRDefault="00D5220A" w:rsidP="00540A03">
      <w:pPr>
        <w:pStyle w:val="ParNoG"/>
        <w:numPr>
          <w:ilvl w:val="0"/>
          <w:numId w:val="0"/>
        </w:numPr>
        <w:ind w:left="1560"/>
      </w:pPr>
      <w:r w:rsidRPr="00513D84">
        <w:t>a) The Commission will take action to reduce the use and risk of chemical and more hazardous pesticides by 50</w:t>
      </w:r>
      <w:r>
        <w:t xml:space="preserve"> </w:t>
      </w:r>
      <w:proofErr w:type="gramStart"/>
      <w:r>
        <w:t>percent</w:t>
      </w:r>
      <w:r w:rsidRPr="00513D84">
        <w:t>;</w:t>
      </w:r>
      <w:proofErr w:type="gramEnd"/>
      <w:r w:rsidRPr="00513D84">
        <w:t xml:space="preserve"> </w:t>
      </w:r>
    </w:p>
    <w:p w14:paraId="4FC6CCD0" w14:textId="75F636FB" w:rsidR="00D5220A" w:rsidRPr="00513D84" w:rsidRDefault="00D5220A" w:rsidP="00540A03">
      <w:pPr>
        <w:pStyle w:val="ParNoG"/>
        <w:numPr>
          <w:ilvl w:val="0"/>
          <w:numId w:val="0"/>
        </w:numPr>
        <w:ind w:left="1560"/>
      </w:pPr>
      <w:r w:rsidRPr="00513D84">
        <w:t>b) The Commission will act to reduce nutrient losses by at least 50</w:t>
      </w:r>
      <w:r w:rsidRPr="00B7685C">
        <w:t xml:space="preserve"> </w:t>
      </w:r>
      <w:r>
        <w:t>percent</w:t>
      </w:r>
      <w:r w:rsidRPr="00513D84">
        <w:t>, while ensuring no deterioration on soil fertility reduce fertilizer use by at least 20</w:t>
      </w:r>
      <w:r w:rsidRPr="00B7685C">
        <w:t xml:space="preserve"> </w:t>
      </w:r>
      <w:proofErr w:type="gramStart"/>
      <w:r>
        <w:t>percent</w:t>
      </w:r>
      <w:r w:rsidRPr="00513D84">
        <w:t>;</w:t>
      </w:r>
      <w:proofErr w:type="gramEnd"/>
      <w:r w:rsidRPr="00513D84">
        <w:t xml:space="preserve"> </w:t>
      </w:r>
    </w:p>
    <w:p w14:paraId="18AC1963" w14:textId="01A84295" w:rsidR="00D5220A" w:rsidRDefault="00D5220A" w:rsidP="00540A03">
      <w:pPr>
        <w:pStyle w:val="ParNoG"/>
        <w:numPr>
          <w:ilvl w:val="0"/>
          <w:numId w:val="0"/>
        </w:numPr>
        <w:ind w:left="1560"/>
      </w:pPr>
      <w:r w:rsidRPr="00513D84">
        <w:t>c) The Commission will help the EU’s organic farming sector to grow, with the goal of 25</w:t>
      </w:r>
      <w:r w:rsidRPr="00B7685C">
        <w:t xml:space="preserve"> </w:t>
      </w:r>
      <w:r>
        <w:t>percent</w:t>
      </w:r>
      <w:r w:rsidRPr="00513D84">
        <w:t xml:space="preserve"> of total farmland being used for organic farming by 2030. </w:t>
      </w:r>
    </w:p>
    <w:p w14:paraId="210E8F72" w14:textId="6EFA5DDA" w:rsidR="00D5220A" w:rsidRPr="00C601E9" w:rsidRDefault="00D5220A" w:rsidP="00D5220A">
      <w:pPr>
        <w:pStyle w:val="ParNoG"/>
      </w:pPr>
      <w:r w:rsidRPr="009947BC">
        <w:rPr>
          <w:rFonts w:asciiTheme="majorBidi" w:hAnsiTheme="majorBidi" w:cstheme="majorBidi"/>
          <w:b/>
          <w:bCs/>
        </w:rPr>
        <w:t>Brazil’s</w:t>
      </w:r>
      <w:r w:rsidRPr="00F131DB">
        <w:rPr>
          <w:rFonts w:asciiTheme="majorBidi" w:hAnsiTheme="majorBidi" w:cstheme="majorBidi"/>
        </w:rPr>
        <w:t xml:space="preserve"> (Rio Grande do Sul) </w:t>
      </w:r>
      <w:r w:rsidRPr="00F131DB">
        <w:rPr>
          <w:rFonts w:asciiTheme="majorBidi" w:hAnsiTheme="majorBidi" w:cstheme="majorBidi"/>
          <w:i/>
          <w:iCs/>
        </w:rPr>
        <w:t xml:space="preserve">Law creating the State Policy on Organic Production and Agroecology (No. 14 486 of 2014) </w:t>
      </w:r>
      <w:r w:rsidRPr="00F131DB">
        <w:rPr>
          <w:rFonts w:asciiTheme="majorBidi" w:hAnsiTheme="majorBidi" w:cstheme="majorBidi"/>
        </w:rPr>
        <w:t>declares that the Law is guided by the principles of sustainable development. These include among others: participation; ecological conservation; social inclusion; food security and sovereignty; socioeconomic, gender and ethnic equity; and agricultural, biological, territorial, landscape and cultural diversity.</w:t>
      </w:r>
      <w:r w:rsidRPr="00F131DB">
        <w:rPr>
          <w:rStyle w:val="FootnoteReference"/>
          <w:rFonts w:asciiTheme="majorBidi" w:hAnsiTheme="majorBidi" w:cstheme="majorBidi"/>
          <w:color w:val="000000" w:themeColor="text1"/>
          <w:sz w:val="20"/>
        </w:rPr>
        <w:footnoteReference w:id="68"/>
      </w:r>
      <w:r w:rsidRPr="00F131DB">
        <w:rPr>
          <w:rFonts w:asciiTheme="majorBidi" w:hAnsiTheme="majorBidi" w:cstheme="majorBidi"/>
        </w:rPr>
        <w:t xml:space="preserve"> </w:t>
      </w:r>
    </w:p>
    <w:p w14:paraId="4972004E" w14:textId="26259199" w:rsidR="00D5220A" w:rsidRDefault="00D5220A" w:rsidP="00D5220A">
      <w:pPr>
        <w:pStyle w:val="ParNoG"/>
      </w:pPr>
      <w:r w:rsidRPr="006B2102">
        <w:t xml:space="preserve">In the </w:t>
      </w:r>
      <w:r w:rsidRPr="009947BC">
        <w:rPr>
          <w:b/>
          <w:bCs/>
        </w:rPr>
        <w:t>Philippines</w:t>
      </w:r>
      <w:r w:rsidRPr="006B2102">
        <w:t xml:space="preserve">, the </w:t>
      </w:r>
      <w:r w:rsidRPr="006B2102">
        <w:rPr>
          <w:i/>
          <w:iCs/>
        </w:rPr>
        <w:t>Indigenous Peoples Rights Act of 1997</w:t>
      </w:r>
      <w:r w:rsidRPr="006B2102">
        <w:t xml:space="preserve"> is a landmark law recognizing and promoting the rights of Indigenous </w:t>
      </w:r>
      <w:r>
        <w:t>P</w:t>
      </w:r>
      <w:r w:rsidRPr="006B2102">
        <w:t xml:space="preserve">eoples. A key provision authorizes the granting of Certificates of Ancestral Land/Domain Titles for the ancestral lands of Indigenous individuals or Indigenous groups (a tribe, village, or community). The law also requires the free, </w:t>
      </w:r>
      <w:proofErr w:type="gramStart"/>
      <w:r w:rsidRPr="006B2102">
        <w:t>prior</w:t>
      </w:r>
      <w:proofErr w:type="gramEnd"/>
      <w:r w:rsidRPr="006B2102">
        <w:t xml:space="preserve"> and informed consent of Indigenous </w:t>
      </w:r>
      <w:r>
        <w:t>P</w:t>
      </w:r>
      <w:r w:rsidRPr="006B2102">
        <w:t>eoples for projects and other activities that are proposed for ancestral lands or domains.</w:t>
      </w:r>
    </w:p>
    <w:p w14:paraId="6C9CAAC6" w14:textId="314AF9D4" w:rsidR="00D5220A" w:rsidRDefault="00D5220A" w:rsidP="00D5220A">
      <w:pPr>
        <w:pStyle w:val="ParNoG"/>
      </w:pPr>
      <w:r w:rsidRPr="006B2102">
        <w:t xml:space="preserve">In 2013, </w:t>
      </w:r>
      <w:r w:rsidRPr="009947BC">
        <w:rPr>
          <w:b/>
          <w:bCs/>
        </w:rPr>
        <w:t>El Salvador</w:t>
      </w:r>
      <w:r w:rsidRPr="006B2102">
        <w:t xml:space="preserve"> reformed two laws: the </w:t>
      </w:r>
      <w:r w:rsidRPr="006B2102">
        <w:rPr>
          <w:i/>
          <w:iCs/>
        </w:rPr>
        <w:t>Law on Control of Pesticides, Fertilizers and Products for Agricultural Use</w:t>
      </w:r>
      <w:r w:rsidRPr="006B2102">
        <w:t xml:space="preserve">; and the </w:t>
      </w:r>
      <w:r w:rsidRPr="006B2102">
        <w:rPr>
          <w:i/>
          <w:iCs/>
        </w:rPr>
        <w:t>Plant and Animal Health Law</w:t>
      </w:r>
      <w:r w:rsidRPr="006B2102">
        <w:t>. The law reform established the gradual prohibition over two years of the use of 53 pesticides and fertilizers containing heavy metals or metalloids in their formulation. The Ministries of Agriculture and Livestock and Health will coordinate the implementation of the new rules, and non-compliance will result in economic sanctions.</w:t>
      </w:r>
    </w:p>
    <w:p w14:paraId="1575A1E9" w14:textId="10A41E8C" w:rsidR="00D5220A" w:rsidRDefault="00D5220A" w:rsidP="00D5220A">
      <w:pPr>
        <w:pStyle w:val="ParNoG"/>
      </w:pPr>
      <w:r w:rsidRPr="006B2102">
        <w:t xml:space="preserve">Laws that recognize the land rights of </w:t>
      </w:r>
      <w:r>
        <w:t>I</w:t>
      </w:r>
      <w:r w:rsidRPr="006B2102">
        <w:t xml:space="preserve">ndigenous </w:t>
      </w:r>
      <w:r>
        <w:t>P</w:t>
      </w:r>
      <w:r w:rsidRPr="006B2102">
        <w:t xml:space="preserve">eoples and local communities have recently been passed by </w:t>
      </w:r>
      <w:r w:rsidRPr="009947BC">
        <w:rPr>
          <w:b/>
          <w:bCs/>
        </w:rPr>
        <w:t>Kenya</w:t>
      </w:r>
      <w:r w:rsidRPr="006B2102">
        <w:t xml:space="preserve"> (the </w:t>
      </w:r>
      <w:r w:rsidRPr="006B2102">
        <w:rPr>
          <w:i/>
          <w:iCs/>
        </w:rPr>
        <w:t>Community Land Act of 2016</w:t>
      </w:r>
      <w:r w:rsidRPr="006B2102">
        <w:t xml:space="preserve">), </w:t>
      </w:r>
      <w:r w:rsidRPr="009947BC">
        <w:rPr>
          <w:b/>
          <w:bCs/>
        </w:rPr>
        <w:t xml:space="preserve">Mali </w:t>
      </w:r>
      <w:r w:rsidRPr="006B2102">
        <w:t>(</w:t>
      </w:r>
      <w:r w:rsidRPr="006B2102">
        <w:rPr>
          <w:i/>
          <w:iCs/>
        </w:rPr>
        <w:t>Agricultural Land Law of 2017</w:t>
      </w:r>
      <w:r w:rsidRPr="006B2102">
        <w:t xml:space="preserve">) and </w:t>
      </w:r>
      <w:r w:rsidRPr="009947BC">
        <w:rPr>
          <w:b/>
          <w:bCs/>
        </w:rPr>
        <w:t>Zambia</w:t>
      </w:r>
      <w:r w:rsidRPr="006B2102">
        <w:t xml:space="preserve"> (</w:t>
      </w:r>
      <w:r w:rsidRPr="006B2102">
        <w:rPr>
          <w:i/>
          <w:iCs/>
        </w:rPr>
        <w:t>Forest Act of 2015</w:t>
      </w:r>
      <w:r w:rsidRPr="006B2102">
        <w:t xml:space="preserve">). The Malian law, by protecting customary tenure systems, creates space for communities to self-manage their resources, based on collective rights and according to rules defined by each community. Indigenous </w:t>
      </w:r>
      <w:r>
        <w:t>P</w:t>
      </w:r>
      <w:r w:rsidRPr="006B2102">
        <w:t xml:space="preserve">eoples and local communities are more likely to invest in the good management of forests, </w:t>
      </w:r>
      <w:proofErr w:type="gramStart"/>
      <w:r w:rsidRPr="006B2102">
        <w:t>soil</w:t>
      </w:r>
      <w:proofErr w:type="gramEnd"/>
      <w:r w:rsidRPr="006B2102">
        <w:t xml:space="preserve"> and water if they have clear user rights and security against eviction. They are more likely to invest in improving yields on existing land and less likely to extend cultivation into marginal or forest areas. Forests that are legally owned and/or designated for use by Indigenous </w:t>
      </w:r>
      <w:r>
        <w:t>P</w:t>
      </w:r>
      <w:r w:rsidRPr="006B2102">
        <w:t>eoples and local communities deliver a wide range of ecological and social benefits, including lower rates of deforestation and forest degradation, greater investments in forest restoration and maintenance, improved biodiversity conservation, lower carbon emissions and more carbon storage, reduced conflict, and poverty reduction.</w:t>
      </w:r>
      <w:r w:rsidRPr="00D95F03">
        <w:rPr>
          <w:rStyle w:val="FootnoteReference"/>
          <w:color w:val="000000" w:themeColor="text1"/>
          <w:szCs w:val="14"/>
        </w:rPr>
        <w:footnoteReference w:id="69"/>
      </w:r>
    </w:p>
    <w:p w14:paraId="60E9F950" w14:textId="64000007" w:rsidR="00D5220A" w:rsidRPr="006B2102" w:rsidRDefault="00D5220A" w:rsidP="00D5220A">
      <w:pPr>
        <w:pStyle w:val="ParNoG"/>
      </w:pPr>
      <w:r w:rsidRPr="006B2102">
        <w:t xml:space="preserve">In 2019, </w:t>
      </w:r>
      <w:r w:rsidRPr="00F56A44">
        <w:rPr>
          <w:b/>
          <w:bCs/>
        </w:rPr>
        <w:t>Burkina Faso</w:t>
      </w:r>
      <w:r w:rsidRPr="006B2102">
        <w:t xml:space="preserve"> enacted a law on “Access to plant genetic resources for food and agriculture and the sharing of benefits arising out of their use”. The law contains a chapter on farmers’ rights, which explicitly recognizes farming communities’ rights over seeds as enshrined in the International Treaty on Plant Genetic Resources for Food and Agriculture as well as the UN Declaration on the Rights of Peasants and Other People Working in Rural Areas.</w:t>
      </w:r>
      <w:r w:rsidRPr="00D95F03">
        <w:rPr>
          <w:rStyle w:val="FootnoteReference"/>
          <w:color w:val="000000" w:themeColor="text1"/>
          <w:szCs w:val="14"/>
        </w:rPr>
        <w:footnoteReference w:id="70"/>
      </w:r>
    </w:p>
    <w:p w14:paraId="521B7037" w14:textId="5BF9557C" w:rsidR="00682651" w:rsidRPr="005911C7" w:rsidRDefault="00D5220A" w:rsidP="00D5220A">
      <w:pPr>
        <w:pStyle w:val="ParNoG"/>
        <w:rPr>
          <w:lang w:val="en-CA"/>
        </w:rPr>
      </w:pPr>
      <w:r w:rsidRPr="006B2102">
        <w:t>In 2015</w:t>
      </w:r>
      <w:r>
        <w:t>,</w:t>
      </w:r>
      <w:r w:rsidRPr="006B2102">
        <w:t xml:space="preserve"> </w:t>
      </w:r>
      <w:r w:rsidRPr="00D5220A">
        <w:rPr>
          <w:b/>
          <w:bCs/>
        </w:rPr>
        <w:t>Poland</w:t>
      </w:r>
      <w:r w:rsidRPr="006B2102">
        <w:t xml:space="preserve"> adopted a land transaction intended to protect agricultural land from large foreign or domestic investors who would establish agribusinesses to the detriment of family farming. It also set out procedures that allowed individuals to appeal against administrative proceedings </w:t>
      </w:r>
      <w:proofErr w:type="gramStart"/>
      <w:r w:rsidRPr="006B2102">
        <w:t>in the event that</w:t>
      </w:r>
      <w:proofErr w:type="gramEnd"/>
      <w:r w:rsidRPr="006B2102">
        <w:t xml:space="preserve"> they were wrongly denied their right to purchase farmland.</w:t>
      </w:r>
      <w:r w:rsidRPr="00D95F03">
        <w:rPr>
          <w:rStyle w:val="FootnoteReference"/>
          <w:color w:val="000000" w:themeColor="text1"/>
          <w:szCs w:val="14"/>
        </w:rPr>
        <w:footnoteReference w:id="71"/>
      </w:r>
    </w:p>
    <w:p w14:paraId="13CA4C9D" w14:textId="7C41F41B" w:rsidR="005911C7" w:rsidRDefault="0050053B" w:rsidP="005911C7">
      <w:pPr>
        <w:pStyle w:val="H1G"/>
        <w:rPr>
          <w:bCs/>
          <w:lang w:val="en-CA"/>
        </w:rPr>
      </w:pPr>
      <w:r>
        <w:rPr>
          <w:lang w:val="en-CA"/>
        </w:rPr>
        <w:tab/>
        <w:t>F.</w:t>
      </w:r>
      <w:r>
        <w:rPr>
          <w:lang w:val="en-CA"/>
        </w:rPr>
        <w:tab/>
      </w:r>
      <w:r w:rsidRPr="0050053B">
        <w:rPr>
          <w:bCs/>
          <w:lang w:val="en-CA"/>
        </w:rPr>
        <w:t>Healthy ecosystems and biodiversity</w:t>
      </w:r>
    </w:p>
    <w:p w14:paraId="46EFC58A" w14:textId="6059BFDD" w:rsidR="00E2084A" w:rsidRDefault="00E2084A" w:rsidP="00E2084A">
      <w:pPr>
        <w:pStyle w:val="ParNoG"/>
      </w:pPr>
      <w:r w:rsidRPr="00513D84">
        <w:rPr>
          <w:b/>
          <w:bCs/>
        </w:rPr>
        <w:t xml:space="preserve">Sierra Leone </w:t>
      </w:r>
      <w:r w:rsidRPr="00513D84">
        <w:t xml:space="preserve">passed a suite of progressive laws in 2022 that enable women and their communities to exercise greater governance over their community lands in the context of private sector investments, thus benefiting local women, their </w:t>
      </w:r>
      <w:proofErr w:type="gramStart"/>
      <w:r w:rsidRPr="00513D84">
        <w:t>communities</w:t>
      </w:r>
      <w:proofErr w:type="gramEnd"/>
      <w:r w:rsidRPr="00513D84">
        <w:t xml:space="preserve"> and the environment. The </w:t>
      </w:r>
      <w:r w:rsidRPr="009947BC">
        <w:rPr>
          <w:i/>
          <w:iCs/>
        </w:rPr>
        <w:t>Mines and Mineral Development Act of 2022</w:t>
      </w:r>
      <w:r w:rsidRPr="00513D84">
        <w:t xml:space="preserve"> requires mining companies to obtain the free</w:t>
      </w:r>
      <w:r>
        <w:t>,</w:t>
      </w:r>
      <w:r w:rsidRPr="00513D84">
        <w:t xml:space="preserve"> prior</w:t>
      </w:r>
      <w:r>
        <w:t>,</w:t>
      </w:r>
      <w:r w:rsidRPr="00513D84">
        <w:t xml:space="preserve"> and informed consent of local communities before they may commence activities on their land, allows landowners the right to veto any project affecting them, and guarantees women’s equal land rights.</w:t>
      </w:r>
      <w:r w:rsidRPr="00E2084A">
        <w:rPr>
          <w:rStyle w:val="FootnoteReference"/>
          <w:szCs w:val="14"/>
        </w:rPr>
        <w:footnoteReference w:id="72"/>
      </w:r>
      <w:r w:rsidRPr="00513D84">
        <w:t xml:space="preserve"> </w:t>
      </w:r>
    </w:p>
    <w:p w14:paraId="2486DE53" w14:textId="6BCC53C1" w:rsidR="00E2084A" w:rsidRDefault="00E2084A" w:rsidP="00E2084A">
      <w:pPr>
        <w:pStyle w:val="ParNoG"/>
      </w:pPr>
      <w:r w:rsidRPr="00513D84">
        <w:t xml:space="preserve">In </w:t>
      </w:r>
      <w:r w:rsidRPr="00513D84">
        <w:rPr>
          <w:b/>
          <w:bCs/>
        </w:rPr>
        <w:t xml:space="preserve">Tunisia, </w:t>
      </w:r>
      <w:r w:rsidRPr="00513D84">
        <w:t xml:space="preserve">a fair-trade agreement between the </w:t>
      </w:r>
      <w:r w:rsidRPr="00C955D5">
        <w:t xml:space="preserve">Tunisian Association of Women Clam Collectors and Development </w:t>
      </w:r>
      <w:r w:rsidRPr="00513D84">
        <w:t xml:space="preserve">(represented by the NGO Association of Continuity of Generations), the </w:t>
      </w:r>
      <w:r w:rsidRPr="00C955D5">
        <w:t>Prince Export Centre for Clams</w:t>
      </w:r>
      <w:r w:rsidRPr="00513D84">
        <w:rPr>
          <w:b/>
          <w:bCs/>
        </w:rPr>
        <w:t xml:space="preserve"> </w:t>
      </w:r>
      <w:r w:rsidRPr="00513D84">
        <w:t xml:space="preserve">(responsible for compliance with international food safety standards), and the Italian importer </w:t>
      </w:r>
      <w:proofErr w:type="spellStart"/>
      <w:r w:rsidRPr="00C955D5">
        <w:t>Pesca</w:t>
      </w:r>
      <w:proofErr w:type="spellEnd"/>
      <w:r w:rsidRPr="00C955D5">
        <w:t xml:space="preserve"> </w:t>
      </w:r>
      <w:proofErr w:type="spellStart"/>
      <w:r w:rsidRPr="00C955D5">
        <w:t>Pronta</w:t>
      </w:r>
      <w:proofErr w:type="spellEnd"/>
      <w:r w:rsidRPr="00513D84">
        <w:rPr>
          <w:b/>
          <w:bCs/>
        </w:rPr>
        <w:t xml:space="preserve"> </w:t>
      </w:r>
      <w:r w:rsidRPr="00513D84">
        <w:t xml:space="preserve">(a leading seafood </w:t>
      </w:r>
      <w:r>
        <w:t>business</w:t>
      </w:r>
      <w:r w:rsidRPr="00513D84">
        <w:t>) demonstrates the potential benefits for biodiversity, sustainable food production and women’s economic empowerment that can be achieved through gender transformative public-private partnerships. This agreement was executed as part of the “Enabling Women to Benefit More Equally from Agrifood Value Chains” project in Tunisia, which seeks to increase the visibility of women’s work in the fisheries sector, achieve sustainable food practices</w:t>
      </w:r>
      <w:r>
        <w:t>,</w:t>
      </w:r>
      <w:r w:rsidRPr="00513D84">
        <w:t xml:space="preserve"> and economically empower women. Over 4,000 women work in clam production across 17 sites in Tunisia, and a community-designed fair-trade label </w:t>
      </w:r>
      <w:r>
        <w:t>is</w:t>
      </w:r>
      <w:r w:rsidRPr="00513D84">
        <w:t xml:space="preserve"> used for the clam sector in the </w:t>
      </w:r>
      <w:proofErr w:type="spellStart"/>
      <w:r w:rsidRPr="00513D84">
        <w:t>Gabes</w:t>
      </w:r>
      <w:proofErr w:type="spellEnd"/>
      <w:r w:rsidRPr="00513D84">
        <w:t xml:space="preserve"> and Sfax communities of Tunisia, which are primary points of clam production. In contrast to the low payments typically received by women clam collectors, the agreement sets a fixed, higher price that guarantees predictability of payments for women clam collectors and the importer, in addition to mandatory onsite cash payments to women collectors by purchasers. To help ensure sustainable clam repopulation, the agreement includes a special payment to women collectors for larger clams. In addition, clam collectors received training on their fisheries rights, sustainable fishing practices and entrepreneurship skills. Crucially, </w:t>
      </w:r>
      <w:r>
        <w:t xml:space="preserve">the UN </w:t>
      </w:r>
      <w:r w:rsidRPr="00513D84">
        <w:t>F</w:t>
      </w:r>
      <w:r>
        <w:t>ood and Agriculture Organization</w:t>
      </w:r>
      <w:r w:rsidRPr="00513D84">
        <w:t xml:space="preserve"> facilitated the creation of a databa</w:t>
      </w:r>
      <w:r>
        <w:t>se</w:t>
      </w:r>
      <w:r w:rsidRPr="00513D84">
        <w:t xml:space="preserve"> of female clam collectors across Tunisia to provide the government with a clearer understanding of women clam collectors’ backgrounds, </w:t>
      </w:r>
      <w:proofErr w:type="gramStart"/>
      <w:r w:rsidRPr="00513D84">
        <w:t>education</w:t>
      </w:r>
      <w:proofErr w:type="gramEnd"/>
      <w:r w:rsidRPr="00513D84">
        <w:t xml:space="preserve"> and incomes. Using this database, the government has been able to provide women clam collectors with social security coverage, which is vital because clam collection is a seasonal enterprise lasting for only six months a year.</w:t>
      </w:r>
      <w:r w:rsidRPr="00E2084A">
        <w:rPr>
          <w:rStyle w:val="FootnoteReference"/>
          <w:szCs w:val="14"/>
        </w:rPr>
        <w:footnoteReference w:id="73"/>
      </w:r>
      <w:r w:rsidRPr="00513D84">
        <w:t xml:space="preserve"> </w:t>
      </w:r>
    </w:p>
    <w:p w14:paraId="15677BEF" w14:textId="7A288C9C" w:rsidR="00E2084A" w:rsidRDefault="00E2084A" w:rsidP="00E2084A">
      <w:pPr>
        <w:pStyle w:val="ParNoG"/>
      </w:pPr>
      <w:r w:rsidRPr="00513D84">
        <w:t xml:space="preserve">The </w:t>
      </w:r>
      <w:proofErr w:type="spellStart"/>
      <w:r w:rsidRPr="00C955D5">
        <w:t>Pescado</w:t>
      </w:r>
      <w:proofErr w:type="spellEnd"/>
      <w:r w:rsidRPr="00C955D5">
        <w:t xml:space="preserve"> Azul (Blue Fish) Women’s Association</w:t>
      </w:r>
      <w:r w:rsidRPr="00513D84">
        <w:rPr>
          <w:b/>
          <w:bCs/>
        </w:rPr>
        <w:t xml:space="preserve"> </w:t>
      </w:r>
      <w:r w:rsidRPr="00513D84">
        <w:t xml:space="preserve">of Isabela in the Galapagos </w:t>
      </w:r>
      <w:r w:rsidRPr="00513D84">
        <w:rPr>
          <w:b/>
          <w:bCs/>
        </w:rPr>
        <w:t xml:space="preserve">(Ecuador) </w:t>
      </w:r>
      <w:r w:rsidRPr="00513D84">
        <w:t xml:space="preserve">promotes responsible fishing by empowering local women. The association emphasizes traditional knowledge and the conservation and sustainable use of marine resources. Illegal and unsustainable fishing in local coastal waters has led to the overexploitation of sea cucumbers, spiny </w:t>
      </w:r>
      <w:proofErr w:type="gramStart"/>
      <w:r w:rsidRPr="00513D84">
        <w:t>lobsters</w:t>
      </w:r>
      <w:proofErr w:type="gramEnd"/>
      <w:r w:rsidRPr="00513D84">
        <w:t xml:space="preserve"> and a variety of fish species. To reduce pressures on these species, </w:t>
      </w:r>
      <w:proofErr w:type="spellStart"/>
      <w:r w:rsidRPr="00513D84">
        <w:t>Pescado</w:t>
      </w:r>
      <w:proofErr w:type="spellEnd"/>
      <w:r w:rsidRPr="00513D84">
        <w:t xml:space="preserve"> Azul promotes alternative livelihood opportunities. The </w:t>
      </w:r>
      <w:proofErr w:type="gramStart"/>
      <w:r w:rsidRPr="00513D84">
        <w:t>main focus</w:t>
      </w:r>
      <w:proofErr w:type="gramEnd"/>
      <w:r w:rsidRPr="00513D84">
        <w:t xml:space="preserve"> has been on developing value-added smoked products from sustainably sourced yellowfin tuna. Wood from guava shrubs, an invasive species, is used to smoke the fish. Products are marketed under the </w:t>
      </w:r>
      <w:proofErr w:type="spellStart"/>
      <w:r w:rsidRPr="00513D84">
        <w:t>Pescado</w:t>
      </w:r>
      <w:proofErr w:type="spellEnd"/>
      <w:r w:rsidRPr="00513D84">
        <w:t xml:space="preserve"> Azul brand, and the association has developed links with ecotourism operators to help identify markets. Other activities have included reforestation of local mangroves and efforts to promote ecological awareness. </w:t>
      </w:r>
    </w:p>
    <w:p w14:paraId="2728709D" w14:textId="74F6A445" w:rsidR="00E2084A" w:rsidRPr="00513D84" w:rsidRDefault="00E2084A" w:rsidP="00E2084A">
      <w:pPr>
        <w:pStyle w:val="ParNoG"/>
      </w:pPr>
      <w:r w:rsidRPr="00513D84">
        <w:t xml:space="preserve">Women in </w:t>
      </w:r>
      <w:r w:rsidRPr="00513D84">
        <w:rPr>
          <w:b/>
          <w:bCs/>
        </w:rPr>
        <w:t xml:space="preserve">Nigeria </w:t>
      </w:r>
      <w:r w:rsidRPr="00513D84">
        <w:t xml:space="preserve">founded a nursery from which hundreds of thousands of mangrove plants are sold to the Nigerian subsidiary oil Royal Dutch Shell, an oil company that is responsible for massive mangrove destruction throughout the Niger Delta. Following two environmentally devasting oil spills in 2007 and 2008, Shell agreed to compensate the community, clean up the spill and replant the mangroves, creating economic empowerment opportunities for women while restoring crucial ecosystems. </w:t>
      </w:r>
    </w:p>
    <w:p w14:paraId="04B98E36" w14:textId="630B2A52" w:rsidR="00E2084A" w:rsidRDefault="00E2084A" w:rsidP="00E2084A">
      <w:pPr>
        <w:pStyle w:val="ParNoG"/>
      </w:pPr>
      <w:r w:rsidRPr="00C601E9">
        <w:rPr>
          <w:b/>
          <w:bCs/>
        </w:rPr>
        <w:t>South Africa’s</w:t>
      </w:r>
      <w:r w:rsidRPr="00400802">
        <w:t xml:space="preserve"> </w:t>
      </w:r>
      <w:r w:rsidRPr="00567E3C">
        <w:rPr>
          <w:i/>
          <w:iCs/>
        </w:rPr>
        <w:t xml:space="preserve">National Environmental Management: Biodiversity Act 10 of 2004 </w:t>
      </w:r>
      <w:r w:rsidRPr="00400802">
        <w:t xml:space="preserve">and the </w:t>
      </w:r>
      <w:r w:rsidRPr="00567E3C">
        <w:rPr>
          <w:i/>
          <w:iCs/>
        </w:rPr>
        <w:t>Bioprospecting, Access and Benefit Sharing Regulation of 2008</w:t>
      </w:r>
      <w:r w:rsidRPr="00400802">
        <w:t xml:space="preserve"> provide a domestic legal framework for access and benefit sharing. </w:t>
      </w:r>
      <w:r w:rsidRPr="00400802">
        <w:rPr>
          <w:rFonts w:eastAsia="Calibri"/>
        </w:rPr>
        <w:t xml:space="preserve">In 2019, after nine years of negotiations, the world’s first industry-wide benefit-sharing agreement was launched in </w:t>
      </w:r>
      <w:r w:rsidRPr="00C601E9">
        <w:rPr>
          <w:rFonts w:eastAsia="Calibri"/>
          <w:b/>
          <w:bCs/>
        </w:rPr>
        <w:t>South Africa</w:t>
      </w:r>
      <w:r w:rsidRPr="00400802">
        <w:rPr>
          <w:rFonts w:eastAsia="Calibri"/>
        </w:rPr>
        <w:t xml:space="preserve"> between the Khoikhoi and San Indigenous peoples, and the South African rooibos industry.</w:t>
      </w:r>
      <w:r w:rsidRPr="00E2084A">
        <w:rPr>
          <w:rFonts w:eastAsia="Calibri"/>
          <w:sz w:val="18"/>
          <w:szCs w:val="18"/>
          <w:vertAlign w:val="superscript"/>
        </w:rPr>
        <w:footnoteReference w:id="74"/>
      </w:r>
      <w:r w:rsidRPr="00400802">
        <w:rPr>
          <w:rFonts w:eastAsia="Calibri"/>
        </w:rPr>
        <w:t xml:space="preserve"> The agreement recognizes the Khoikhoi and San peoples as the traditional knowledge holders for the uses of Rooibos, </w:t>
      </w:r>
      <w:r w:rsidRPr="00400802">
        <w:t xml:space="preserve">an indigenous plant species found only in the Cederberg region of </w:t>
      </w:r>
      <w:r w:rsidRPr="00C601E9">
        <w:rPr>
          <w:b/>
          <w:bCs/>
        </w:rPr>
        <w:t>South Africa</w:t>
      </w:r>
      <w:r w:rsidRPr="00400802">
        <w:t xml:space="preserve">. The agreement </w:t>
      </w:r>
      <w:r w:rsidRPr="00400802">
        <w:rPr>
          <w:rFonts w:eastAsia="Calibri"/>
        </w:rPr>
        <w:t>ensures that the Khoikhoi and San peoples will receive substantial economic benefits from the commercialisation of Rooibos.</w:t>
      </w:r>
      <w:r>
        <w:rPr>
          <w:rFonts w:eastAsia="Calibri"/>
        </w:rPr>
        <w:t xml:space="preserve"> </w:t>
      </w:r>
      <w:r w:rsidRPr="00400802">
        <w:t>The Khoikhoi Peoples’ Rooibos Biocultural Community Protocol complements the industry-wide Benefit Sharing Agreement. The protocol articulates the customary laws related to consent of the Khoikhoi Indigenous communities (including Cederberg farming communities).</w:t>
      </w:r>
    </w:p>
    <w:p w14:paraId="09AA7FF5" w14:textId="51604591" w:rsidR="0050053B" w:rsidRPr="004450D4" w:rsidRDefault="00E2084A" w:rsidP="00E2084A">
      <w:pPr>
        <w:pStyle w:val="ParNoG"/>
        <w:rPr>
          <w:lang w:val="en-CA"/>
        </w:rPr>
      </w:pPr>
      <w:r w:rsidRPr="00E2084A">
        <w:rPr>
          <w:b/>
          <w:bCs/>
        </w:rPr>
        <w:t>Costa Rica</w:t>
      </w:r>
      <w:r w:rsidRPr="00400802">
        <w:t xml:space="preserve"> created a National Commission for the Management of Biodiversity (CONAGEBIO) in charge of approving permits for access to genetic and biochemical resources. The Commission ensures that free, </w:t>
      </w:r>
      <w:proofErr w:type="gramStart"/>
      <w:r w:rsidRPr="00400802">
        <w:t>prior</w:t>
      </w:r>
      <w:proofErr w:type="gramEnd"/>
      <w:r w:rsidRPr="00400802">
        <w:t xml:space="preserve"> and informed consent is granted by Indigenous </w:t>
      </w:r>
      <w:r>
        <w:t>P</w:t>
      </w:r>
      <w:r w:rsidRPr="00400802">
        <w:t xml:space="preserve">eoples and guarantees the fair and equitable distribution of benefits. Two recent examples demonstrate these outcomes, with the State serving as a bridge between the private sector and local communities. Chanel Parfums </w:t>
      </w:r>
      <w:proofErr w:type="spellStart"/>
      <w:r w:rsidRPr="00400802">
        <w:t>Beaute</w:t>
      </w:r>
      <w:proofErr w:type="spellEnd"/>
      <w:r w:rsidRPr="00400802">
        <w:t xml:space="preserve">, a cosmetics company, secured a permit to use the anti-inflammatory and antioxidant properties of a coffee plant in cosmetic products, generating significant income for coffee producers. A Costa Rican company, </w:t>
      </w:r>
      <w:proofErr w:type="spellStart"/>
      <w:r w:rsidRPr="00400802">
        <w:t>Lisanatura</w:t>
      </w:r>
      <w:proofErr w:type="spellEnd"/>
      <w:r w:rsidRPr="00400802">
        <w:t>, secured the consent of a rural cooperative to use essential oils from organically cultivated medicinal plants in the formulation of a cough syrup.</w:t>
      </w:r>
      <w:r w:rsidRPr="00E2084A">
        <w:rPr>
          <w:rStyle w:val="FootnoteReference"/>
          <w:color w:val="000000" w:themeColor="text1"/>
          <w:szCs w:val="14"/>
        </w:rPr>
        <w:footnoteReference w:id="75"/>
      </w:r>
    </w:p>
    <w:p w14:paraId="7909DA2C" w14:textId="305A9648" w:rsidR="00393D03" w:rsidRPr="00393D03" w:rsidRDefault="00393D03" w:rsidP="00393D03">
      <w:pPr>
        <w:pStyle w:val="HChG"/>
      </w:pPr>
      <w:r>
        <w:rPr>
          <w:lang w:val="en-CA"/>
        </w:rPr>
        <w:tab/>
      </w:r>
      <w:r w:rsidR="004450D4">
        <w:rPr>
          <w:lang w:val="en-CA"/>
        </w:rPr>
        <w:t>V</w:t>
      </w:r>
      <w:r>
        <w:rPr>
          <w:lang w:val="en-CA"/>
        </w:rPr>
        <w:t>.</w:t>
      </w:r>
      <w:r>
        <w:rPr>
          <w:lang w:val="en-CA"/>
        </w:rPr>
        <w:tab/>
      </w:r>
      <w:r w:rsidRPr="00393D03">
        <w:rPr>
          <w:lang w:val="en-CA"/>
        </w:rPr>
        <w:t>Courts and tribunals are holding businesses accountable</w:t>
      </w:r>
    </w:p>
    <w:p w14:paraId="1B5F9183" w14:textId="77777777" w:rsidR="000E0DAE" w:rsidRPr="00513D84" w:rsidRDefault="000E0DAE" w:rsidP="00BF2917">
      <w:pPr>
        <w:pStyle w:val="ParNoG"/>
      </w:pPr>
      <w:r w:rsidRPr="00513D84">
        <w:t xml:space="preserve">Across the world, courts are playing an increasingly important role in holding businesses accountable for their responsibilities related to the climate, </w:t>
      </w:r>
      <w:proofErr w:type="gramStart"/>
      <w:r w:rsidRPr="00513D84">
        <w:t>environment</w:t>
      </w:r>
      <w:proofErr w:type="gramEnd"/>
      <w:r w:rsidRPr="00513D84">
        <w:t xml:space="preserve"> and human rights. </w:t>
      </w:r>
      <w:r>
        <w:t>A leading example is the decision of a</w:t>
      </w:r>
      <w:r w:rsidRPr="00513D84">
        <w:t xml:space="preserve"> court in the </w:t>
      </w:r>
      <w:r w:rsidRPr="00232BEC">
        <w:rPr>
          <w:b/>
          <w:bCs/>
        </w:rPr>
        <w:t>Netherlands</w:t>
      </w:r>
      <w:r w:rsidRPr="00513D84">
        <w:t xml:space="preserve"> order</w:t>
      </w:r>
      <w:r>
        <w:t>ing</w:t>
      </w:r>
      <w:r w:rsidRPr="00513D84">
        <w:t xml:space="preserve"> Shell to comply with the Paris Agreement and reduce its carbon dioxide emissions by 45% from 2019 levels by 2030 because Shell’s contributions to climate change violated its human rights obligations and duty of care under Dutch law.</w:t>
      </w:r>
      <w:r w:rsidRPr="00927F2D">
        <w:rPr>
          <w:rStyle w:val="FootnoteReference"/>
          <w:szCs w:val="14"/>
        </w:rPr>
        <w:footnoteReference w:id="76"/>
      </w:r>
      <w:r w:rsidRPr="00513D84">
        <w:t xml:space="preserve"> The Royal Dutch Shell decision of the Hague District Court from 2021 relied upon the business responsibility to respect human rights from the UN</w:t>
      </w:r>
      <w:r>
        <w:t xml:space="preserve"> </w:t>
      </w:r>
      <w:r w:rsidRPr="00513D84">
        <w:t>G</w:t>
      </w:r>
      <w:r>
        <w:t>uiding Principles on Business and Human Right</w:t>
      </w:r>
      <w:r w:rsidRPr="00513D84">
        <w:t xml:space="preserve">s in ordering </w:t>
      </w:r>
      <w:r>
        <w:t>Shell</w:t>
      </w:r>
      <w:r w:rsidRPr="00513D84">
        <w:t xml:space="preserve"> to reduce emissions across all three scopes in accordance with the Paris Agreement.</w:t>
      </w:r>
      <w:r w:rsidRPr="00927F2D">
        <w:rPr>
          <w:rStyle w:val="FootnoteReference"/>
          <w:szCs w:val="14"/>
        </w:rPr>
        <w:footnoteReference w:id="77"/>
      </w:r>
      <w:r w:rsidRPr="00513D84">
        <w:t xml:space="preserve">  The </w:t>
      </w:r>
      <w:r>
        <w:t>Shell</w:t>
      </w:r>
      <w:r w:rsidRPr="00513D84">
        <w:t xml:space="preserve"> case is regarded as particularly significant not only because it is the first time that a court has ordered a company rather than a government to reduce emissions but for having included Scope 3 emissions within </w:t>
      </w:r>
      <w:r>
        <w:t>Shell</w:t>
      </w:r>
      <w:r w:rsidRPr="00513D84">
        <w:t xml:space="preserve">’s responsibility – including, for example, the fossil fuel-related emissions of energy products purchased by customers and emitted when driving their own </w:t>
      </w:r>
      <w:r>
        <w:t>vehicles.</w:t>
      </w:r>
    </w:p>
    <w:p w14:paraId="7D59D9A8" w14:textId="50C46E85" w:rsidR="000E0DAE" w:rsidRPr="00513D84" w:rsidRDefault="000E0DAE" w:rsidP="00BF2917">
      <w:pPr>
        <w:pStyle w:val="ParNoG"/>
      </w:pPr>
      <w:r w:rsidRPr="00513D84">
        <w:t xml:space="preserve">In </w:t>
      </w:r>
      <w:r w:rsidRPr="00C955D5">
        <w:rPr>
          <w:b/>
          <w:bCs/>
        </w:rPr>
        <w:t>Chile</w:t>
      </w:r>
      <w:r>
        <w:t xml:space="preserve">, </w:t>
      </w:r>
      <w:r w:rsidRPr="00513D84">
        <w:t xml:space="preserve">a country wracked by a multi-year mega-drought, state-owned copper mining company CODELCO is notorious for using 5,500 </w:t>
      </w:r>
      <w:proofErr w:type="spellStart"/>
      <w:r w:rsidRPr="00513D84">
        <w:t>liters</w:t>
      </w:r>
      <w:proofErr w:type="spellEnd"/>
      <w:r w:rsidRPr="00513D84">
        <w:t xml:space="preserve"> of water every second.</w:t>
      </w:r>
      <w:r>
        <w:t xml:space="preserve"> </w:t>
      </w:r>
      <w:r w:rsidRPr="00513D84">
        <w:t>In 2020, a Chilean environmental court approved an agreement between CODELCO and the government to remedy sustained water overuse by its Salvador mine.</w:t>
      </w:r>
      <w:r w:rsidRPr="00927F2D">
        <w:rPr>
          <w:rStyle w:val="FootnoteReference"/>
          <w:color w:val="000000" w:themeColor="text1"/>
          <w:szCs w:val="14"/>
        </w:rPr>
        <w:footnoteReference w:id="78"/>
      </w:r>
    </w:p>
    <w:p w14:paraId="47772B2B" w14:textId="576D786A" w:rsidR="000E0DAE" w:rsidRPr="00513D84" w:rsidRDefault="000E0DAE" w:rsidP="00BF2917">
      <w:pPr>
        <w:pStyle w:val="ParNoG"/>
      </w:pPr>
      <w:r w:rsidRPr="00513D84">
        <w:t xml:space="preserve">The Administrative Court of </w:t>
      </w:r>
      <w:r w:rsidRPr="00C955D5">
        <w:rPr>
          <w:b/>
          <w:bCs/>
        </w:rPr>
        <w:t>Thailand</w:t>
      </w:r>
      <w:r w:rsidRPr="00513D84">
        <w:t xml:space="preserve"> plays a vital role in protecting the right to a healthy environment in cases brought by citizens and local communities. The Administrative Court has made orders in more than 65 cases involving human rights and environmental issues such as pollution from gold mining that violated human rights, impacts of limestone mining on people’s health, and industrial lead contamination in a creek.</w:t>
      </w:r>
      <w:r w:rsidRPr="00927F2D">
        <w:rPr>
          <w:rStyle w:val="FootnoteReference"/>
          <w:szCs w:val="14"/>
        </w:rPr>
        <w:footnoteReference w:id="79"/>
      </w:r>
      <w:r w:rsidRPr="00513D84">
        <w:rPr>
          <w:position w:val="6"/>
        </w:rPr>
        <w:t xml:space="preserve"> </w:t>
      </w:r>
      <w:proofErr w:type="spellStart"/>
      <w:r w:rsidRPr="00513D84">
        <w:t>Klity</w:t>
      </w:r>
      <w:proofErr w:type="spellEnd"/>
      <w:r w:rsidRPr="00513D84">
        <w:t xml:space="preserve"> Creek was contaminated with lead in an industrial accident, poisoning people who depended on the creek for drinking water and food. With the help of </w:t>
      </w:r>
      <w:proofErr w:type="spellStart"/>
      <w:r w:rsidRPr="00721728">
        <w:rPr>
          <w:b/>
          <w:bCs/>
        </w:rPr>
        <w:t>EnLAW</w:t>
      </w:r>
      <w:proofErr w:type="spellEnd"/>
      <w:r w:rsidRPr="00513D84">
        <w:t xml:space="preserve"> and other civil society organizations, local villagers won three lawsuits—one administrative and two civil—against the company that had polluted </w:t>
      </w:r>
      <w:proofErr w:type="spellStart"/>
      <w:r w:rsidRPr="00513D84">
        <w:t>Klity</w:t>
      </w:r>
      <w:proofErr w:type="spellEnd"/>
      <w:r w:rsidRPr="00513D84">
        <w:t xml:space="preserve"> Creek and the state agency in charge of cleaning it up. Thanks to their persistence and tenacity, 159 villagers were awarded $1.7 million in damages. The court ordered that the mining company rehabilitate the creek, a process that is now underway.</w:t>
      </w:r>
      <w:r w:rsidRPr="00927F2D">
        <w:rPr>
          <w:rStyle w:val="FootnoteReference"/>
          <w:szCs w:val="14"/>
        </w:rPr>
        <w:footnoteReference w:id="80"/>
      </w:r>
      <w:r w:rsidRPr="00513D84">
        <w:rPr>
          <w:position w:val="6"/>
        </w:rPr>
        <w:t xml:space="preserve"> </w:t>
      </w:r>
    </w:p>
    <w:p w14:paraId="7B27FBD0" w14:textId="7F1A5D6B" w:rsidR="000E0DAE" w:rsidRDefault="000E0DAE" w:rsidP="00BF2917">
      <w:pPr>
        <w:pStyle w:val="ParNoG"/>
      </w:pPr>
      <w:r>
        <w:t>I</w:t>
      </w:r>
      <w:r w:rsidRPr="00513D84">
        <w:t xml:space="preserve">n </w:t>
      </w:r>
      <w:r w:rsidRPr="00C955D5">
        <w:rPr>
          <w:b/>
          <w:bCs/>
        </w:rPr>
        <w:t>Australia</w:t>
      </w:r>
      <w:r>
        <w:t>, a</w:t>
      </w:r>
      <w:r w:rsidRPr="00513D84">
        <w:t xml:space="preserve"> court recommended to the Minister for Natural Resources, Mines and Energy and the Chief Executive of the Department of Environment and Science that </w:t>
      </w:r>
      <w:r>
        <w:t>a</w:t>
      </w:r>
      <w:r w:rsidRPr="00513D84">
        <w:t xml:space="preserve"> mining lease sought by Waratah Coal would infringe on the right to life, the protection of children, and the right to culture as protected by the Queensland Human Rights Act.</w:t>
      </w:r>
      <w:r w:rsidRPr="00927F2D">
        <w:rPr>
          <w:rStyle w:val="FootnoteReference"/>
          <w:szCs w:val="14"/>
        </w:rPr>
        <w:footnoteReference w:id="81"/>
      </w:r>
      <w:r w:rsidRPr="00513D84">
        <w:t xml:space="preserve"> An Indigenous community in </w:t>
      </w:r>
      <w:r w:rsidRPr="00C955D5">
        <w:rPr>
          <w:b/>
          <w:bCs/>
        </w:rPr>
        <w:t xml:space="preserve">Colombia </w:t>
      </w:r>
      <w:r w:rsidRPr="00513D84">
        <w:t>successfully challenged the permitting process for the expansion of one of the world’s largest open</w:t>
      </w:r>
      <w:r>
        <w:t>-</w:t>
      </w:r>
      <w:r w:rsidRPr="00513D84">
        <w:t xml:space="preserve">pit coal mines (El </w:t>
      </w:r>
      <w:proofErr w:type="spellStart"/>
      <w:r w:rsidRPr="00513D84">
        <w:t>Cerrejon</w:t>
      </w:r>
      <w:proofErr w:type="spellEnd"/>
      <w:r w:rsidRPr="00513D84">
        <w:t xml:space="preserve">), on the basis that the process violated the rights of the </w:t>
      </w:r>
      <w:proofErr w:type="spellStart"/>
      <w:r w:rsidRPr="00513D84">
        <w:t>Wayúu</w:t>
      </w:r>
      <w:proofErr w:type="spellEnd"/>
      <w:r w:rsidRPr="00513D84">
        <w:t xml:space="preserve"> Community to free, prior, and informed consent and </w:t>
      </w:r>
      <w:r>
        <w:t xml:space="preserve">their </w:t>
      </w:r>
      <w:r w:rsidRPr="00513D84">
        <w:t>rights to a healthy environment and health.</w:t>
      </w:r>
      <w:r w:rsidRPr="00927F2D">
        <w:rPr>
          <w:rStyle w:val="FootnoteReference"/>
          <w:szCs w:val="14"/>
        </w:rPr>
        <w:footnoteReference w:id="82"/>
      </w:r>
    </w:p>
    <w:p w14:paraId="00DB4A87" w14:textId="4F6A37C3" w:rsidR="000E0DAE" w:rsidRPr="00513D84" w:rsidRDefault="000E0DAE" w:rsidP="00BF2917">
      <w:pPr>
        <w:pStyle w:val="ParNoG"/>
      </w:pPr>
      <w:r w:rsidRPr="00513D84">
        <w:t xml:space="preserve">Several organizations are seeking to hold BNP Paribas </w:t>
      </w:r>
      <w:r>
        <w:t xml:space="preserve">(a large bank) </w:t>
      </w:r>
      <w:r w:rsidRPr="00513D84">
        <w:t>accountable for providing financial support to businesses responsible for deforestation in the Amazon and associated violations of human rights, especially the rights of Indigenous Peoples.</w:t>
      </w:r>
      <w:r w:rsidRPr="00927F2D">
        <w:rPr>
          <w:rStyle w:val="FootnoteReference"/>
          <w:szCs w:val="14"/>
        </w:rPr>
        <w:footnoteReference w:id="83"/>
      </w:r>
    </w:p>
    <w:p w14:paraId="2176AD47" w14:textId="42E073A7" w:rsidR="000E0DAE" w:rsidRPr="00513D84" w:rsidRDefault="000E0DAE" w:rsidP="00BF2917">
      <w:pPr>
        <w:pStyle w:val="ParNoG"/>
      </w:pPr>
      <w:r w:rsidRPr="00513D84">
        <w:t xml:space="preserve">Supreme Courts in the </w:t>
      </w:r>
      <w:r w:rsidRPr="00C955D5">
        <w:rPr>
          <w:b/>
          <w:bCs/>
        </w:rPr>
        <w:t xml:space="preserve">Netherlands </w:t>
      </w:r>
      <w:r w:rsidRPr="00513D84">
        <w:t xml:space="preserve">and </w:t>
      </w:r>
      <w:r w:rsidRPr="00C955D5">
        <w:rPr>
          <w:b/>
          <w:bCs/>
        </w:rPr>
        <w:t>Hawaii</w:t>
      </w:r>
      <w:r w:rsidRPr="00513D84">
        <w:t xml:space="preserve"> have concluded that large-scale reliance on carbon offsets </w:t>
      </w:r>
      <w:r>
        <w:t xml:space="preserve">by businesses </w:t>
      </w:r>
      <w:r w:rsidRPr="00513D84">
        <w:t>is not legitimate. The Supreme Court of the Netherlands found that “there is no technology that allows [negative emissions] to take place on a sufficiently large scale” and that excessive reliance on such technology constituted “irresponsible risk” which would “run counter to the precautionary principle that must be observed when applying Articles 2 and 8 ECHR and Article 3(3) UNFCCC”.</w:t>
      </w:r>
      <w:r w:rsidRPr="00927F2D">
        <w:rPr>
          <w:rStyle w:val="FootnoteReference"/>
          <w:szCs w:val="14"/>
        </w:rPr>
        <w:footnoteReference w:id="84"/>
      </w:r>
      <w:r w:rsidRPr="00513D84">
        <w:t xml:space="preserve"> </w:t>
      </w:r>
      <w:r>
        <w:t>In 2023, t</w:t>
      </w:r>
      <w:r w:rsidRPr="00513D84">
        <w:t xml:space="preserve">he State Supreme Court of Hawaii </w:t>
      </w:r>
      <w:r>
        <w:t>described large-scale carbon offsets through tree planting as speculative.</w:t>
      </w:r>
      <w:r w:rsidRPr="00927F2D">
        <w:rPr>
          <w:rStyle w:val="FootnoteReference"/>
        </w:rPr>
        <w:footnoteReference w:id="85"/>
      </w:r>
      <w:r w:rsidRPr="00513D84">
        <w:t xml:space="preserve"> </w:t>
      </w:r>
    </w:p>
    <w:p w14:paraId="60965669" w14:textId="77DEA6AE" w:rsidR="000E0DAE" w:rsidRDefault="000E0DAE" w:rsidP="00BF2917">
      <w:pPr>
        <w:pStyle w:val="ParNoG"/>
      </w:pPr>
      <w:r w:rsidRPr="00513D84">
        <w:t xml:space="preserve">Around the world, women’s environmental defence efforts include filing lawsuits in defence of their rights, those of their communities and of nature. For example, a lawsuit filed by 56 female villagers of </w:t>
      </w:r>
      <w:proofErr w:type="spellStart"/>
      <w:r w:rsidRPr="00513D84">
        <w:t>Sangihe</w:t>
      </w:r>
      <w:proofErr w:type="spellEnd"/>
      <w:r w:rsidRPr="00513D84">
        <w:t xml:space="preserve"> Island</w:t>
      </w:r>
      <w:r w:rsidRPr="00513D84">
        <w:rPr>
          <w:b/>
          <w:bCs/>
        </w:rPr>
        <w:t xml:space="preserve">, Indonesia </w:t>
      </w:r>
      <w:r w:rsidRPr="00513D84">
        <w:t xml:space="preserve">resulted in a May 2022 court order requiring local officials to revoke an environmental permit issued to the Canadian-backed company PT Tambang Mas </w:t>
      </w:r>
      <w:proofErr w:type="spellStart"/>
      <w:r w:rsidRPr="00513D84">
        <w:t>Sangihe</w:t>
      </w:r>
      <w:proofErr w:type="spellEnd"/>
      <w:r w:rsidRPr="00513D84">
        <w:t xml:space="preserve">. The permit authorized gold mining on a 42,000-hectare area (over half the size of New York City) that overlaps with 80 </w:t>
      </w:r>
      <w:proofErr w:type="spellStart"/>
      <w:r w:rsidRPr="00513D84">
        <w:t>Sangihe</w:t>
      </w:r>
      <w:proofErr w:type="spellEnd"/>
      <w:r w:rsidRPr="00513D84">
        <w:t xml:space="preserve"> Island villages. The women plaintiffs viewed the lawsuit as necessary to defend their villages from widespread environmental destruction, including water pollution from heavy metals, that would threaten their lives and the prospects of their children. The court also ordered the company to refrain from mining activities (pending the revocation of its mining license or the resolution of any future appeal) and found that the mine’s environmental impact analysis failed to follow procedures concerning public notice and villagers’ participation in the environmental impact analysis process. In addition to this women-driven movement to obtain environmental justice, </w:t>
      </w:r>
      <w:proofErr w:type="spellStart"/>
      <w:r w:rsidRPr="00513D84">
        <w:t>Sangihe</w:t>
      </w:r>
      <w:proofErr w:type="spellEnd"/>
      <w:r w:rsidRPr="00513D84">
        <w:t xml:space="preserve"> villagers filed a separate lawsuit at the state administrative court in Jakarta seeking the revocation of the company’s mining contract, which permitted the company to mine for gold until 2054.</w:t>
      </w:r>
      <w:r w:rsidRPr="00927F2D">
        <w:rPr>
          <w:rStyle w:val="FootnoteReference"/>
          <w:szCs w:val="14"/>
        </w:rPr>
        <w:footnoteReference w:id="86"/>
      </w:r>
    </w:p>
    <w:p w14:paraId="308AB899" w14:textId="302B4B97" w:rsidR="000E0DAE" w:rsidRDefault="000E0DAE" w:rsidP="00BF2917">
      <w:pPr>
        <w:pStyle w:val="ParNoG"/>
      </w:pPr>
      <w:r w:rsidRPr="00513D84">
        <w:t>In recent years, there has been a dramatic increase in the prosecution of greenwashing offences committed by businesses.</w:t>
      </w:r>
      <w:r w:rsidRPr="00927F2D">
        <w:rPr>
          <w:rStyle w:val="FootnoteReference"/>
          <w:szCs w:val="14"/>
        </w:rPr>
        <w:footnoteReference w:id="87"/>
      </w:r>
      <w:r w:rsidRPr="00513D84">
        <w:t xml:space="preserve"> According to a study conducted by the </w:t>
      </w:r>
      <w:r w:rsidRPr="00721728">
        <w:rPr>
          <w:b/>
          <w:bCs/>
        </w:rPr>
        <w:t>Grantham Research Institute on Climate Change and the Environment</w:t>
      </w:r>
      <w:r w:rsidRPr="00513D84">
        <w:t xml:space="preserve"> in early 2023, 26 climate-washing cases were filed in 2022. These cases are challenging various types of misinformation, such as the accuracy of corporate climate commitments or claims about product attributes, overstated investments or support for climate action, and failure to disclose climate risk.</w:t>
      </w:r>
      <w:r w:rsidRPr="00927F2D">
        <w:rPr>
          <w:rStyle w:val="FootnoteReference"/>
          <w:szCs w:val="14"/>
        </w:rPr>
        <w:footnoteReference w:id="88"/>
      </w:r>
      <w:r w:rsidRPr="00513D84">
        <w:t xml:space="preserve"> The </w:t>
      </w:r>
      <w:r w:rsidRPr="00721728">
        <w:rPr>
          <w:b/>
          <w:bCs/>
        </w:rPr>
        <w:t>European Commission</w:t>
      </w:r>
      <w:r w:rsidRPr="00513D84">
        <w:t xml:space="preserve"> is actively investigating greenwashing.</w:t>
      </w:r>
      <w:r w:rsidRPr="00927F2D">
        <w:rPr>
          <w:rStyle w:val="FootnoteReference"/>
          <w:szCs w:val="14"/>
        </w:rPr>
        <w:footnoteReference w:id="89"/>
      </w:r>
      <w:r w:rsidRPr="00513D84">
        <w:t xml:space="preserve"> In 2023, the </w:t>
      </w:r>
      <w:r w:rsidRPr="00232BEC">
        <w:rPr>
          <w:b/>
          <w:bCs/>
        </w:rPr>
        <w:t>Australian</w:t>
      </w:r>
      <w:r w:rsidRPr="00513D84">
        <w:t xml:space="preserve"> Securities and Investment Commission released a statement announcing that it had launched its first proceedings in the Federal Court against Mercer Superannuation (Australia) Ltd for allegedly “making misleading statements about the sustainable nature and characteristics of some of its superannuation investment options”. </w:t>
      </w:r>
      <w:r w:rsidRPr="00232BEC">
        <w:rPr>
          <w:b/>
          <w:bCs/>
        </w:rPr>
        <w:t>Switzerland’s</w:t>
      </w:r>
      <w:r w:rsidRPr="00513D84">
        <w:t xml:space="preserve"> Fair Advertising Commission upheld a complaint against Kübler </w:t>
      </w:r>
      <w:proofErr w:type="spellStart"/>
      <w:r w:rsidRPr="00513D84">
        <w:t>Heizöl</w:t>
      </w:r>
      <w:proofErr w:type="spellEnd"/>
      <w:r w:rsidRPr="00513D84">
        <w:t xml:space="preserve"> concerning the company’s advertisement of its heating oil product as “climate neutral”. The Fair Advertising Commission also ruled that </w:t>
      </w:r>
      <w:proofErr w:type="spellStart"/>
      <w:r w:rsidRPr="00513D84">
        <w:t>Hipps’</w:t>
      </w:r>
      <w:proofErr w:type="spellEnd"/>
      <w:r w:rsidRPr="00513D84">
        <w:t xml:space="preserve"> “climate positive” claims regarding baby food jars were misleading.</w:t>
      </w:r>
    </w:p>
    <w:p w14:paraId="154C1C35" w14:textId="325E19BB" w:rsidR="000E0DAE" w:rsidRPr="00513D84" w:rsidRDefault="000E0DAE" w:rsidP="00BF2917">
      <w:pPr>
        <w:pStyle w:val="ParNoG"/>
      </w:pPr>
      <w:r w:rsidRPr="00513D84">
        <w:t xml:space="preserve">The Advertising Standards Agency in the </w:t>
      </w:r>
      <w:r w:rsidRPr="00232BEC">
        <w:rPr>
          <w:b/>
          <w:bCs/>
        </w:rPr>
        <w:t>United Kingdom</w:t>
      </w:r>
      <w:r w:rsidRPr="00513D84">
        <w:t xml:space="preserve"> responded to public complaints by ruling that the following businesses were guilty of misleading consumers with their advertising:</w:t>
      </w:r>
    </w:p>
    <w:p w14:paraId="23E2CA10" w14:textId="1E94D978" w:rsidR="000E0DAE" w:rsidRPr="00513D84" w:rsidRDefault="000E0DAE" w:rsidP="00540A03">
      <w:pPr>
        <w:pStyle w:val="ParNoG"/>
        <w:numPr>
          <w:ilvl w:val="0"/>
          <w:numId w:val="0"/>
        </w:numPr>
        <w:ind w:left="1418" w:firstLine="283"/>
      </w:pPr>
      <w:r w:rsidRPr="00513D84">
        <w:t>-</w:t>
      </w:r>
      <w:r w:rsidR="00BB5159">
        <w:t xml:space="preserve"> </w:t>
      </w:r>
      <w:r w:rsidRPr="00513D84">
        <w:t xml:space="preserve">HSBC Bank used ads related to climate change that were misleading about their greenhouse gas </w:t>
      </w:r>
      <w:proofErr w:type="gramStart"/>
      <w:r w:rsidRPr="00513D84">
        <w:t>emissions;</w:t>
      </w:r>
      <w:proofErr w:type="gramEnd"/>
    </w:p>
    <w:p w14:paraId="4E6E931D" w14:textId="4F67A39D" w:rsidR="000E0DAE" w:rsidRPr="00513D84" w:rsidRDefault="000E0DAE" w:rsidP="00540A03">
      <w:pPr>
        <w:pStyle w:val="ParNoG"/>
        <w:numPr>
          <w:ilvl w:val="0"/>
          <w:numId w:val="0"/>
        </w:numPr>
        <w:ind w:left="1418" w:firstLine="283"/>
      </w:pPr>
      <w:r w:rsidRPr="00513D84">
        <w:t>-</w:t>
      </w:r>
      <w:r w:rsidR="00BB5159">
        <w:t xml:space="preserve"> </w:t>
      </w:r>
      <w:r w:rsidRPr="00513D84">
        <w:t xml:space="preserve">Shell misled the public with ads exaggerating their low-carbon energy </w:t>
      </w:r>
      <w:proofErr w:type="gramStart"/>
      <w:r w:rsidRPr="00513D84">
        <w:t>contributions;</w:t>
      </w:r>
      <w:proofErr w:type="gramEnd"/>
    </w:p>
    <w:p w14:paraId="030EAE6F" w14:textId="55FCA1C4" w:rsidR="000E0DAE" w:rsidRPr="00513D84" w:rsidRDefault="000E0DAE" w:rsidP="00540A03">
      <w:pPr>
        <w:pStyle w:val="ParNoG"/>
        <w:numPr>
          <w:ilvl w:val="0"/>
          <w:numId w:val="0"/>
        </w:numPr>
        <w:ind w:left="1418" w:firstLine="283"/>
      </w:pPr>
      <w:r w:rsidRPr="00513D84">
        <w:t>-</w:t>
      </w:r>
      <w:r w:rsidR="00BB5159">
        <w:t xml:space="preserve"> </w:t>
      </w:r>
      <w:r w:rsidRPr="00513D84">
        <w:t>Ads touting Petronas (a Malaysian energy business) as a sustainability leader omitted significant information about the company’s negative environmental impacts; and</w:t>
      </w:r>
    </w:p>
    <w:p w14:paraId="65468534" w14:textId="57D6ACFA" w:rsidR="000E0DAE" w:rsidRPr="00513D84" w:rsidRDefault="000E0DAE" w:rsidP="00540A03">
      <w:pPr>
        <w:pStyle w:val="ParNoG"/>
        <w:numPr>
          <w:ilvl w:val="0"/>
          <w:numId w:val="0"/>
        </w:numPr>
        <w:ind w:left="1418" w:firstLine="283"/>
      </w:pPr>
      <w:r w:rsidRPr="00513D84">
        <w:t>-</w:t>
      </w:r>
      <w:r w:rsidR="00BB5159">
        <w:t xml:space="preserve"> </w:t>
      </w:r>
      <w:r w:rsidRPr="00513D84">
        <w:t>Lufthansa, Etihad Airways, and 4AIR made misleading claims about eco-friendly aviation.</w:t>
      </w:r>
    </w:p>
    <w:p w14:paraId="5D711487" w14:textId="77777777" w:rsidR="000E0DAE" w:rsidRPr="00513D84" w:rsidRDefault="000E0DAE" w:rsidP="00BF2917">
      <w:pPr>
        <w:pStyle w:val="ParNoG"/>
      </w:pPr>
      <w:r w:rsidRPr="00513D84">
        <w:rPr>
          <w:noProof/>
        </w:rPr>
        <w:t xml:space="preserve">In 2023, the UK Advertising Standards Authority </w:t>
      </w:r>
      <w:r w:rsidRPr="00513D84">
        <w:rPr>
          <w:color w:val="121212"/>
          <w:shd w:val="clear" w:color="auto" w:fill="FFFFFF"/>
        </w:rPr>
        <w:t>banned Toyota advertisements that showed a fleet of Toyota SUVs driving off</w:t>
      </w:r>
      <w:r>
        <w:rPr>
          <w:color w:val="121212"/>
          <w:shd w:val="clear" w:color="auto" w:fill="FFFFFF"/>
        </w:rPr>
        <w:t>-</w:t>
      </w:r>
      <w:r w:rsidRPr="00513D84">
        <w:rPr>
          <w:color w:val="121212"/>
          <w:shd w:val="clear" w:color="auto" w:fill="FFFFFF"/>
        </w:rPr>
        <w:t xml:space="preserve">road, including through a river. According to the </w:t>
      </w:r>
      <w:r w:rsidRPr="00513D84">
        <w:rPr>
          <w:noProof/>
        </w:rPr>
        <w:t xml:space="preserve">Advertising Standards </w:t>
      </w:r>
      <w:r w:rsidRPr="00513D84">
        <w:rPr>
          <w:color w:val="121212"/>
          <w:shd w:val="clear" w:color="auto" w:fill="FFFFFF"/>
        </w:rPr>
        <w:t>Authority, the Toyota ads</w:t>
      </w:r>
      <w:r w:rsidRPr="00513D84">
        <w:t xml:space="preserve"> </w:t>
      </w:r>
      <w:r w:rsidRPr="00513D84">
        <w:rPr>
          <w:color w:val="121212"/>
          <w:shd w:val="clear" w:color="auto" w:fill="FFFFFF"/>
        </w:rPr>
        <w:t>endorsed driving behaviours that disregard environmental impacts, stating that the ads had been created without “a sense of responsibility to society”.</w:t>
      </w:r>
      <w:r w:rsidRPr="00927F2D">
        <w:rPr>
          <w:rStyle w:val="FootnoteReference"/>
          <w:color w:val="121212"/>
          <w:szCs w:val="14"/>
          <w:shd w:val="clear" w:color="auto" w:fill="FFFFFF"/>
        </w:rPr>
        <w:footnoteReference w:id="90"/>
      </w:r>
      <w:r w:rsidRPr="00513D84">
        <w:rPr>
          <w:color w:val="121212"/>
          <w:shd w:val="clear" w:color="auto" w:fill="FFFFFF"/>
        </w:rPr>
        <w:t xml:space="preserve"> </w:t>
      </w:r>
    </w:p>
    <w:p w14:paraId="0A03C266" w14:textId="59D5926A" w:rsidR="00393D03" w:rsidRPr="00927F2D" w:rsidRDefault="000E0DAE" w:rsidP="00BF2917">
      <w:pPr>
        <w:pStyle w:val="ParNoG"/>
        <w:rPr>
          <w:lang w:val="en-CA"/>
        </w:rPr>
      </w:pPr>
      <w:r w:rsidRPr="00513D84">
        <w:t xml:space="preserve">Women sometimes obtain justice through the operational-level grievance mechanisms of business enterprises involved in environmental human rights abuses, in addition to filing claims before judicial and other state bodies. With the help of </w:t>
      </w:r>
      <w:proofErr w:type="spellStart"/>
      <w:r w:rsidRPr="00232BEC">
        <w:t>EarthRights</w:t>
      </w:r>
      <w:proofErr w:type="spellEnd"/>
      <w:r w:rsidRPr="00232BEC">
        <w:t xml:space="preserve"> International,</w:t>
      </w:r>
      <w:r w:rsidRPr="00513D84">
        <w:t xml:space="preserve"> dozens of Indigenous and local women and girls in </w:t>
      </w:r>
      <w:r w:rsidRPr="000E0DAE">
        <w:rPr>
          <w:b/>
          <w:bCs/>
        </w:rPr>
        <w:t xml:space="preserve">Papua New Guinea </w:t>
      </w:r>
      <w:r w:rsidRPr="00513D84">
        <w:t>filed such complaints against Barrick Gold, alleging that they were raped and subject to other forms of sexual violence by security guards working at the company’s gold mines. Barrick Gold has also caused widespread environmental damage to their communities’ lands and been associated with systematic killings and other acts of violence by security guards against male community members. After the grievance mechanism established by Barrick was found to be inadequate by some complainants, eleven women and three men reached a settlement agreement in which they received compensation and payment for their participation in the mediation process.</w:t>
      </w:r>
      <w:r w:rsidRPr="00927F2D">
        <w:rPr>
          <w:rStyle w:val="FootnoteReference"/>
          <w:szCs w:val="14"/>
        </w:rPr>
        <w:footnoteReference w:id="91"/>
      </w:r>
    </w:p>
    <w:p w14:paraId="0E3B4D51" w14:textId="3D76A6DF" w:rsidR="00927F2D" w:rsidRDefault="00CC4673" w:rsidP="00CC4673">
      <w:pPr>
        <w:pStyle w:val="HChG"/>
        <w:rPr>
          <w:lang w:val="en-CA"/>
        </w:rPr>
      </w:pPr>
      <w:r>
        <w:rPr>
          <w:lang w:val="en-CA"/>
        </w:rPr>
        <w:tab/>
      </w:r>
      <w:r w:rsidR="00927F2D">
        <w:rPr>
          <w:lang w:val="en-CA"/>
        </w:rPr>
        <w:t>VI</w:t>
      </w:r>
      <w:r>
        <w:rPr>
          <w:lang w:val="en-CA"/>
        </w:rPr>
        <w:t>.</w:t>
      </w:r>
      <w:r>
        <w:rPr>
          <w:lang w:val="en-CA"/>
        </w:rPr>
        <w:tab/>
      </w:r>
      <w:r w:rsidRPr="00CC4673">
        <w:rPr>
          <w:lang w:val="en-CA"/>
        </w:rPr>
        <w:t>State actions directed towards transformative changes</w:t>
      </w:r>
    </w:p>
    <w:p w14:paraId="47DE270B" w14:textId="77777777" w:rsidR="00A94A72" w:rsidRPr="00513D84" w:rsidRDefault="00A94A72" w:rsidP="00BE0080">
      <w:pPr>
        <w:pStyle w:val="ParNoG"/>
      </w:pPr>
      <w:r w:rsidRPr="00513D84">
        <w:t>The Wellbeing Economy Governments partnership (</w:t>
      </w:r>
      <w:proofErr w:type="spellStart"/>
      <w:r w:rsidRPr="00513D84">
        <w:t>WEGo</w:t>
      </w:r>
      <w:proofErr w:type="spellEnd"/>
      <w:r w:rsidRPr="00513D84">
        <w:t>) is a collaboration of governments (</w:t>
      </w:r>
      <w:r w:rsidRPr="006E73E4">
        <w:rPr>
          <w:b/>
          <w:bCs/>
        </w:rPr>
        <w:t>Canada</w:t>
      </w:r>
      <w:r w:rsidRPr="00513D84">
        <w:t xml:space="preserve">, </w:t>
      </w:r>
      <w:r w:rsidRPr="006E73E4">
        <w:rPr>
          <w:b/>
          <w:bCs/>
        </w:rPr>
        <w:t>Finland</w:t>
      </w:r>
      <w:r w:rsidRPr="00513D84">
        <w:t xml:space="preserve">, </w:t>
      </w:r>
      <w:r w:rsidRPr="006E73E4">
        <w:rPr>
          <w:b/>
          <w:bCs/>
        </w:rPr>
        <w:t>Iceland</w:t>
      </w:r>
      <w:r w:rsidRPr="00513D84">
        <w:t xml:space="preserve">, </w:t>
      </w:r>
      <w:r w:rsidRPr="006E73E4">
        <w:rPr>
          <w:b/>
          <w:bCs/>
        </w:rPr>
        <w:t>New Zealand</w:t>
      </w:r>
      <w:r w:rsidRPr="00513D84">
        <w:t xml:space="preserve">, </w:t>
      </w:r>
      <w:r w:rsidRPr="006E73E4">
        <w:rPr>
          <w:b/>
          <w:bCs/>
        </w:rPr>
        <w:t>Scotland</w:t>
      </w:r>
      <w:r w:rsidRPr="00513D84">
        <w:t xml:space="preserve">, and </w:t>
      </w:r>
      <w:r w:rsidRPr="006E73E4">
        <w:rPr>
          <w:b/>
          <w:bCs/>
        </w:rPr>
        <w:t>Wales</w:t>
      </w:r>
      <w:r w:rsidRPr="00513D84">
        <w:t xml:space="preserve">) interested in sharing expertise, </w:t>
      </w:r>
      <w:proofErr w:type="gramStart"/>
      <w:r w:rsidRPr="00513D84">
        <w:t>policies</w:t>
      </w:r>
      <w:proofErr w:type="gramEnd"/>
      <w:r w:rsidRPr="00513D84">
        <w:t xml:space="preserve"> and practices to advance their shared ambition of building Wellbeing Economies.</w:t>
      </w:r>
      <w:r w:rsidRPr="0094107B">
        <w:rPr>
          <w:rStyle w:val="FootnoteReference"/>
          <w:color w:val="000000"/>
          <w:szCs w:val="14"/>
        </w:rPr>
        <w:footnoteReference w:id="92"/>
      </w:r>
      <w:r w:rsidRPr="00513D84">
        <w:t xml:space="preserve"> </w:t>
      </w:r>
      <w:proofErr w:type="spellStart"/>
      <w:r w:rsidRPr="00513D84">
        <w:t>WEGo</w:t>
      </w:r>
      <w:proofErr w:type="spellEnd"/>
      <w:r w:rsidRPr="00513D84">
        <w:t xml:space="preserve"> was founded on the recognition that GDP was never intended to measure progress and that ‘development’ in the 21st century entails delivering human and ecological wellbeing. The partnership also highlights businesses that enhance and promote wellbeing instead of short</w:t>
      </w:r>
      <w:r>
        <w:t>-</w:t>
      </w:r>
      <w:r w:rsidRPr="00513D84">
        <w:t>term maximization of shareholder profit.</w:t>
      </w:r>
      <w:r w:rsidRPr="0094107B">
        <w:rPr>
          <w:rStyle w:val="FootnoteReference"/>
          <w:szCs w:val="14"/>
        </w:rPr>
        <w:footnoteReference w:id="93"/>
      </w:r>
    </w:p>
    <w:p w14:paraId="205D1B96" w14:textId="38FE5DA9" w:rsidR="00A94A72" w:rsidRPr="00513D84" w:rsidRDefault="00A94A72" w:rsidP="00BE0080">
      <w:pPr>
        <w:pStyle w:val="ParNoG"/>
        <w:rPr>
          <w:noProof/>
          <w:color w:val="000000" w:themeColor="text1"/>
        </w:rPr>
      </w:pPr>
      <w:r w:rsidRPr="00513D84">
        <w:rPr>
          <w:noProof/>
          <w:color w:val="000000" w:themeColor="text1"/>
        </w:rPr>
        <w:t>The Organization for Economic Cooperation and Development has produced a useful wellbeing framework and identified a range of new metrics to measure progress.</w:t>
      </w:r>
      <w:r w:rsidRPr="0094107B">
        <w:rPr>
          <w:rStyle w:val="FootnoteReference"/>
          <w:noProof/>
          <w:color w:val="000000" w:themeColor="text1"/>
          <w:szCs w:val="14"/>
        </w:rPr>
        <w:footnoteReference w:id="94"/>
      </w:r>
      <w:r w:rsidRPr="00513D84">
        <w:rPr>
          <w:noProof/>
          <w:color w:val="000000" w:themeColor="text1"/>
        </w:rPr>
        <w:t xml:space="preserve"> </w:t>
      </w:r>
      <w:r w:rsidRPr="006E73E4">
        <w:rPr>
          <w:b/>
          <w:bCs/>
          <w:noProof/>
          <w:color w:val="000000" w:themeColor="text1"/>
        </w:rPr>
        <w:t>Bolivia</w:t>
      </w:r>
      <w:r w:rsidRPr="00513D84">
        <w:rPr>
          <w:noProof/>
          <w:color w:val="000000" w:themeColor="text1"/>
        </w:rPr>
        <w:t xml:space="preserve"> and </w:t>
      </w:r>
      <w:r w:rsidRPr="006E73E4">
        <w:rPr>
          <w:b/>
          <w:bCs/>
          <w:noProof/>
          <w:color w:val="000000" w:themeColor="text1"/>
        </w:rPr>
        <w:t xml:space="preserve">Ecuador </w:t>
      </w:r>
      <w:r w:rsidRPr="00513D84">
        <w:rPr>
          <w:noProof/>
          <w:color w:val="000000" w:themeColor="text1"/>
        </w:rPr>
        <w:t xml:space="preserve">are employing Buen vivir—the good life—as an alternative to Global North ideas about economic growth, development and neoliberalism. </w:t>
      </w:r>
      <w:r w:rsidRPr="006E73E4">
        <w:rPr>
          <w:b/>
          <w:bCs/>
          <w:noProof/>
          <w:color w:val="000000" w:themeColor="text1"/>
        </w:rPr>
        <w:t>Bhutan</w:t>
      </w:r>
      <w:r w:rsidRPr="00513D84">
        <w:rPr>
          <w:noProof/>
          <w:color w:val="000000" w:themeColor="text1"/>
        </w:rPr>
        <w:t xml:space="preserve"> is famous for pioneering and popularizing the concept of gross national happiness.</w:t>
      </w:r>
    </w:p>
    <w:p w14:paraId="7F6D9130" w14:textId="052F5178" w:rsidR="00A94A72" w:rsidRDefault="00A94A72" w:rsidP="00BE0080">
      <w:pPr>
        <w:pStyle w:val="ParNoG"/>
      </w:pPr>
      <w:r w:rsidRPr="00513D84">
        <w:t xml:space="preserve">The </w:t>
      </w:r>
      <w:r w:rsidRPr="00513D84">
        <w:rPr>
          <w:b/>
          <w:bCs/>
        </w:rPr>
        <w:t>European Union</w:t>
      </w:r>
      <w:r w:rsidRPr="00513D84">
        <w:t xml:space="preserve"> is a global leader in attempting to address the </w:t>
      </w:r>
      <w:r>
        <w:t>breaches</w:t>
      </w:r>
      <w:r w:rsidRPr="00513D84">
        <w:t xml:space="preserve"> of planetary boundaries</w:t>
      </w:r>
      <w:r>
        <w:t xml:space="preserve"> by human activities</w:t>
      </w:r>
      <w:r w:rsidRPr="00513D84">
        <w:t xml:space="preserve">. Among the EU’s priority objectives in its eighth Environmental Action Plan are that “people live well, within the planetary boundaries in a well-being economy where nothing is wasted, growth is regenerative, climate neutrality in the Union has been achieved and inequalities have been significantly reduced”. Among the key measures being implemented to meet these goals are the Deforestation Regulation, the Carbon Border Adjustment Mechanism (which regulates the footprint of imported products including cement, </w:t>
      </w:r>
      <w:proofErr w:type="spellStart"/>
      <w:proofErr w:type="gramStart"/>
      <w:r w:rsidRPr="00513D84">
        <w:t>aluminum</w:t>
      </w:r>
      <w:proofErr w:type="spellEnd"/>
      <w:proofErr w:type="gramEnd"/>
      <w:r w:rsidRPr="00513D84">
        <w:t xml:space="preserve"> and fertilizers) and the </w:t>
      </w:r>
      <w:proofErr w:type="spellStart"/>
      <w:r w:rsidRPr="00513D84">
        <w:t>EcoDesign</w:t>
      </w:r>
      <w:proofErr w:type="spellEnd"/>
      <w:r w:rsidRPr="00513D84">
        <w:t xml:space="preserve"> for Sustainable Products Regulation (which regulates the environmental footprint of products sold in the EU).</w:t>
      </w:r>
      <w:r w:rsidRPr="0094107B">
        <w:rPr>
          <w:rStyle w:val="FootnoteReference"/>
          <w:szCs w:val="14"/>
        </w:rPr>
        <w:footnoteReference w:id="95"/>
      </w:r>
    </w:p>
    <w:p w14:paraId="0EDB2217" w14:textId="19383AAD" w:rsidR="00A94A72" w:rsidRPr="00513D84" w:rsidRDefault="00A94A72" w:rsidP="00BE0080">
      <w:pPr>
        <w:pStyle w:val="ParNoG"/>
      </w:pPr>
      <w:r w:rsidRPr="00513D84">
        <w:t xml:space="preserve">Addressing the contribution of financial markets to unsustainable business practices is vital to realising the </w:t>
      </w:r>
      <w:r w:rsidRPr="00C601E9">
        <w:rPr>
          <w:b/>
          <w:bCs/>
        </w:rPr>
        <w:t>European Union’s</w:t>
      </w:r>
      <w:r w:rsidRPr="00513D84">
        <w:t xml:space="preserve"> commitments on sustainability. An unusually speedy process resulted in legislative instruments of the strongest binding category (EU regulations as opposed to directives), including the Taxonomy Regulation of 2018 and the Sustainable Finance Disclosure Regulation of 2019. Both regulations aim to ensure that the financial markets have reliable information on which economic activities are sustainable. The Taxonomy Regulation concentrates on environmental issues and especially climate, although a minimum level of inclusion of social issues in economic activities is expected, referencing the OECD Guidelines for Multinational Enterprises and the UN Guiding Principles on Business and Human Rights. While it is positive that the Sustainable Finance Disclosure Regulation sets out a relatively broad definition of ‘sustainability risk’: an ‘environmental, social or governance event or condition’, the emphasis is on the ‘actual or a potential material negative impact on the value of the investment’, rather than on the impact on society. </w:t>
      </w:r>
    </w:p>
    <w:p w14:paraId="261FFB02" w14:textId="39A770AA" w:rsidR="00A94A72" w:rsidRPr="00513D84" w:rsidRDefault="00A94A72" w:rsidP="00BE0080">
      <w:pPr>
        <w:pStyle w:val="ParNoG"/>
      </w:pPr>
      <w:r>
        <w:t xml:space="preserve">The </w:t>
      </w:r>
      <w:r w:rsidRPr="006174A4">
        <w:rPr>
          <w:b/>
          <w:bCs/>
        </w:rPr>
        <w:t>European Union’s</w:t>
      </w:r>
      <w:r>
        <w:t xml:space="preserve"> </w:t>
      </w:r>
      <w:r w:rsidRPr="00513D84">
        <w:t>Non-Financial Reporting Directive of 2014, which set out requirements for reporting by the largest businesses on a range of sustainability-related issues with the aim of encouraging boards and senior executive management to be more aware of the negative impacts of their businesses. The Non-Financial Reporting Directive has recently undergone revision, with the Corporate Sustainability Reporting Directive adopted in 2022 mak</w:t>
      </w:r>
      <w:r>
        <w:t>ing</w:t>
      </w:r>
      <w:r w:rsidRPr="00513D84">
        <w:t xml:space="preserve"> </w:t>
      </w:r>
      <w:r>
        <w:t>it</w:t>
      </w:r>
      <w:r w:rsidRPr="00513D84">
        <w:t xml:space="preserve"> more stringent and requir</w:t>
      </w:r>
      <w:r>
        <w:t>ing</w:t>
      </w:r>
      <w:r w:rsidRPr="00513D84">
        <w:t xml:space="preserve"> external verification</w:t>
      </w:r>
      <w:r>
        <w:t>. Similarly,</w:t>
      </w:r>
      <w:r w:rsidRPr="00513D84">
        <w:t xml:space="preserve"> the </w:t>
      </w:r>
      <w:r w:rsidRPr="006174A4">
        <w:rPr>
          <w:b/>
          <w:bCs/>
        </w:rPr>
        <w:t>United Kingdom’s</w:t>
      </w:r>
      <w:r w:rsidRPr="00513D84">
        <w:t xml:space="preserve"> Companies (Strategic Report) (Climate-related Financial Disclosure) Regulations </w:t>
      </w:r>
      <w:r>
        <w:t xml:space="preserve">(2022) </w:t>
      </w:r>
      <w:r w:rsidRPr="00513D84">
        <w:t>mandate the corporate disclosure of climate- and sustainability-related information to inform and guide investments</w:t>
      </w:r>
      <w:r>
        <w:t>.</w:t>
      </w:r>
      <w:r w:rsidRPr="00513D84">
        <w:t xml:space="preserve"> </w:t>
      </w:r>
    </w:p>
    <w:p w14:paraId="31D05AAB" w14:textId="4DBC0014" w:rsidR="00A94A72" w:rsidRPr="00C955D5" w:rsidRDefault="00A94A72" w:rsidP="00BE0080">
      <w:pPr>
        <w:pStyle w:val="ParNoG"/>
        <w:rPr>
          <w:color w:val="000000" w:themeColor="text1"/>
        </w:rPr>
      </w:pPr>
      <w:r w:rsidRPr="00513D84">
        <w:t xml:space="preserve">Regarding products, the </w:t>
      </w:r>
      <w:r w:rsidRPr="00C955D5">
        <w:rPr>
          <w:b/>
          <w:bCs/>
        </w:rPr>
        <w:t>European Union</w:t>
      </w:r>
      <w:r w:rsidRPr="00513D84">
        <w:t xml:space="preserve"> has taken important steps to promote more circular business models, through its Circular Economy Action Plan. </w:t>
      </w:r>
      <w:r>
        <w:t>L</w:t>
      </w:r>
      <w:r w:rsidRPr="00513D84">
        <w:t xml:space="preserve">egislation </w:t>
      </w:r>
      <w:r>
        <w:t>in the European Union</w:t>
      </w:r>
      <w:r w:rsidRPr="00513D84">
        <w:t xml:space="preserve"> mandates extended producer responsibilities for end-of-life disposal and recycling</w:t>
      </w:r>
      <w:r>
        <w:t xml:space="preserve"> for many products</w:t>
      </w:r>
      <w:r w:rsidRPr="00513D84">
        <w:t xml:space="preserve">, which has encouraged significant recycling in sectors such as </w:t>
      </w:r>
      <w:r>
        <w:t xml:space="preserve">batteries, electronics, </w:t>
      </w:r>
      <w:proofErr w:type="gramStart"/>
      <w:r>
        <w:t>tires</w:t>
      </w:r>
      <w:proofErr w:type="gramEnd"/>
      <w:r>
        <w:t xml:space="preserve"> and motor vehicles</w:t>
      </w:r>
      <w:r w:rsidRPr="00513D84">
        <w:t>.</w:t>
      </w:r>
      <w:r w:rsidRPr="0094107B">
        <w:rPr>
          <w:rStyle w:val="FootnoteReference"/>
          <w:szCs w:val="14"/>
        </w:rPr>
        <w:footnoteReference w:id="96"/>
      </w:r>
      <w:r w:rsidRPr="00513D84">
        <w:t xml:space="preserve">  In 2022, the Sustainable Products Policy was launched, with ambitious plans for expanding the eco-design requirements for certain products, including household appliances, to products more generally. While these policies are important, they continue to focus on efficiency, rather than addressing sufficiency.</w:t>
      </w:r>
      <w:r w:rsidRPr="0094107B">
        <w:rPr>
          <w:rStyle w:val="FootnoteReference"/>
          <w:szCs w:val="14"/>
        </w:rPr>
        <w:footnoteReference w:id="97"/>
      </w:r>
      <w:r w:rsidRPr="00513D84">
        <w:t xml:space="preserve"> For example, the Circular Economy initiatives of the </w:t>
      </w:r>
      <w:r w:rsidRPr="006174A4">
        <w:rPr>
          <w:b/>
          <w:bCs/>
        </w:rPr>
        <w:t>European Union</w:t>
      </w:r>
      <w:r w:rsidRPr="00513D84">
        <w:t xml:space="preserve"> do not fully integrate the recognition of planetary boundaries.</w:t>
      </w:r>
      <w:r>
        <w:t xml:space="preserve"> The </w:t>
      </w:r>
      <w:r w:rsidRPr="00513D84">
        <w:t>European Commission announced that it intends to introduce an effective ‘right to repair’ for consumers to combat planned obsolescence and foster the circular economy</w:t>
      </w:r>
      <w:r>
        <w:t>.</w:t>
      </w:r>
    </w:p>
    <w:p w14:paraId="4377EA8C" w14:textId="336BF46A" w:rsidR="00A94A72" w:rsidRDefault="00A94A72" w:rsidP="00BE0080">
      <w:pPr>
        <w:pStyle w:val="ParNoG"/>
        <w:rPr>
          <w:color w:val="162127"/>
          <w:shd w:val="clear" w:color="auto" w:fill="FFFFFF"/>
        </w:rPr>
      </w:pPr>
      <w:r w:rsidRPr="00513D84">
        <w:t xml:space="preserve">Corporate income taxes have declined dramatically since 1980. At that time, </w:t>
      </w:r>
      <w:r w:rsidRPr="00513D84">
        <w:rPr>
          <w:color w:val="162127"/>
          <w:shd w:val="clear" w:color="auto" w:fill="FFFFFF"/>
        </w:rPr>
        <w:t>corporate tax rates around the world averaged 40.18 percent, and 46.83 percent when weighted by GDP (indicating that larger economies had higher tax rates).  In 2023, the global average corporate tax is 23.45 percent, and 25.67 when weighted by GDP.</w:t>
      </w:r>
      <w:r w:rsidRPr="0094107B">
        <w:rPr>
          <w:rStyle w:val="FootnoteReference"/>
          <w:color w:val="162127"/>
          <w:szCs w:val="14"/>
          <w:shd w:val="clear" w:color="auto" w:fill="FFFFFF"/>
        </w:rPr>
        <w:footnoteReference w:id="98"/>
      </w:r>
      <w:r w:rsidRPr="00513D84">
        <w:rPr>
          <w:color w:val="162127"/>
          <w:shd w:val="clear" w:color="auto" w:fill="FFFFFF"/>
        </w:rPr>
        <w:t xml:space="preserve"> The highest corporate tax rates are found in Africa, Latin </w:t>
      </w:r>
      <w:proofErr w:type="gramStart"/>
      <w:r w:rsidRPr="00513D84">
        <w:rPr>
          <w:color w:val="162127"/>
          <w:shd w:val="clear" w:color="auto" w:fill="FFFFFF"/>
        </w:rPr>
        <w:t>America</w:t>
      </w:r>
      <w:proofErr w:type="gramEnd"/>
      <w:r w:rsidRPr="00513D84">
        <w:rPr>
          <w:color w:val="162127"/>
          <w:shd w:val="clear" w:color="auto" w:fill="FFFFFF"/>
        </w:rPr>
        <w:t xml:space="preserve"> and the Caribbean.</w:t>
      </w:r>
      <w:r w:rsidRPr="0094107B">
        <w:rPr>
          <w:rStyle w:val="FootnoteReference"/>
          <w:color w:val="162127"/>
          <w:szCs w:val="14"/>
          <w:shd w:val="clear" w:color="auto" w:fill="FFFFFF"/>
        </w:rPr>
        <w:footnoteReference w:id="99"/>
      </w:r>
    </w:p>
    <w:p w14:paraId="1353BCE2" w14:textId="468199C5" w:rsidR="00A94A72" w:rsidRDefault="00A94A72" w:rsidP="00BE0080">
      <w:pPr>
        <w:pStyle w:val="ParNoG"/>
        <w:rPr>
          <w:color w:val="162127"/>
        </w:rPr>
      </w:pPr>
      <w:r w:rsidRPr="00513D84">
        <w:t xml:space="preserve">Today, very few States impose net wealth taxes on their richest citizens and residents. Back in 1995, 12 OECD nations generated revenue with wealth taxes but today there are only four OECD nations that do so. </w:t>
      </w:r>
      <w:r w:rsidRPr="00513D84">
        <w:rPr>
          <w:rStyle w:val="Strong"/>
          <w:color w:val="162127"/>
        </w:rPr>
        <w:t>Norway</w:t>
      </w:r>
      <w:r w:rsidR="0094107B">
        <w:rPr>
          <w:color w:val="162127"/>
        </w:rPr>
        <w:t xml:space="preserve"> </w:t>
      </w:r>
      <w:r w:rsidRPr="00513D84">
        <w:rPr>
          <w:color w:val="162127"/>
        </w:rPr>
        <w:t xml:space="preserve">levies a net wealth tax of 1.1 percent on individuals’ assets exceeding $190,000, with 0.7 percent going to municipalities and 0.4 percent to the central government. </w:t>
      </w:r>
      <w:r w:rsidRPr="00513D84">
        <w:rPr>
          <w:rStyle w:val="Strong"/>
          <w:color w:val="162127"/>
        </w:rPr>
        <w:t>Spain</w:t>
      </w:r>
      <w:r w:rsidRPr="00513D84">
        <w:rPr>
          <w:color w:val="162127"/>
        </w:rPr>
        <w:t xml:space="preserve">’s progressive wealth tax ranges from 0.2 percent to 3.75 percent on assets above $761,000 with rates varying substantially across Spain’s autonomous regions. Spanish residents are subject to the tax on a worldwide basis while non-residents pay the tax only on assets located in Spain. </w:t>
      </w:r>
      <w:r w:rsidRPr="00513D84">
        <w:rPr>
          <w:rStyle w:val="Strong"/>
          <w:color w:val="162127"/>
        </w:rPr>
        <w:t>Switzerland </w:t>
      </w:r>
      <w:r w:rsidRPr="00513D84">
        <w:rPr>
          <w:color w:val="162127"/>
        </w:rPr>
        <w:t>levies its net wealth tax at the cantonal level and covers worldwide assets (except real estate located abroad). The tax rates and allowances vary significantly across cantons.</w:t>
      </w:r>
      <w:r w:rsidRPr="0094107B">
        <w:rPr>
          <w:rStyle w:val="FootnoteReference"/>
          <w:color w:val="162127"/>
          <w:szCs w:val="14"/>
        </w:rPr>
        <w:footnoteReference w:id="100"/>
      </w:r>
      <w:r w:rsidRPr="00513D84">
        <w:rPr>
          <w:color w:val="162127"/>
        </w:rPr>
        <w:t xml:space="preserve"> </w:t>
      </w:r>
      <w:r w:rsidRPr="00513D84">
        <w:rPr>
          <w:b/>
          <w:bCs/>
          <w:color w:val="162127"/>
        </w:rPr>
        <w:t>Colombia</w:t>
      </w:r>
      <w:r w:rsidRPr="00513D84">
        <w:rPr>
          <w:color w:val="162127"/>
        </w:rPr>
        <w:t xml:space="preserve"> introduced a wealth tax in 2019 and modified it in 2022. In 2018, </w:t>
      </w:r>
      <w:r w:rsidRPr="00513D84">
        <w:rPr>
          <w:b/>
          <w:bCs/>
          <w:color w:val="162127"/>
        </w:rPr>
        <w:t xml:space="preserve">France </w:t>
      </w:r>
      <w:r w:rsidRPr="00513D84">
        <w:rPr>
          <w:color w:val="162127"/>
        </w:rPr>
        <w:t>replaced its wealth tax with a tax limited to real estate assets with a value exceeding $1.5 million.</w:t>
      </w:r>
    </w:p>
    <w:p w14:paraId="1DD2CDA4" w14:textId="49144D5C" w:rsidR="00CC4673" w:rsidRPr="00B53921" w:rsidRDefault="00A94A72" w:rsidP="00BE0080">
      <w:pPr>
        <w:pStyle w:val="ParNoG"/>
        <w:rPr>
          <w:lang w:val="en-CA"/>
        </w:rPr>
      </w:pPr>
      <w:r w:rsidRPr="00A94A72">
        <w:rPr>
          <w:color w:val="162127"/>
        </w:rPr>
        <w:t xml:space="preserve">A few States impose additional taxes on luxury goods. For example, in 2022, </w:t>
      </w:r>
      <w:r w:rsidRPr="00A94A72">
        <w:rPr>
          <w:b/>
          <w:bCs/>
          <w:color w:val="162127"/>
        </w:rPr>
        <w:t>Canada</w:t>
      </w:r>
      <w:r w:rsidRPr="00A94A72">
        <w:rPr>
          <w:color w:val="162127"/>
        </w:rPr>
        <w:t xml:space="preserve"> established a new luxury tax (on top of regular sales taxes) of 10 per cent on yachts, private aircraft and other luxury vehicles.</w:t>
      </w:r>
      <w:r w:rsidRPr="0094107B">
        <w:rPr>
          <w:rStyle w:val="FootnoteReference"/>
          <w:color w:val="162127"/>
          <w:szCs w:val="14"/>
        </w:rPr>
        <w:footnoteReference w:id="101"/>
      </w:r>
    </w:p>
    <w:p w14:paraId="529068EA" w14:textId="4783CDB6" w:rsidR="00B53921" w:rsidRDefault="0027129A" w:rsidP="0027129A">
      <w:pPr>
        <w:pStyle w:val="HChG"/>
      </w:pPr>
      <w:r>
        <w:rPr>
          <w:lang w:val="en-CA"/>
        </w:rPr>
        <w:tab/>
        <w:t>VII.</w:t>
      </w:r>
      <w:r>
        <w:rPr>
          <w:lang w:val="en-CA"/>
        </w:rPr>
        <w:tab/>
      </w:r>
      <w:r w:rsidRPr="00C601E9">
        <w:t>Conclusion</w:t>
      </w:r>
    </w:p>
    <w:p w14:paraId="6F7CECE2" w14:textId="77777777" w:rsidR="00D520F0" w:rsidRPr="00D520F0" w:rsidRDefault="00D520F0" w:rsidP="00D520F0">
      <w:pPr>
        <w:pStyle w:val="ParNoG"/>
        <w:rPr>
          <w:b/>
          <w:bCs/>
        </w:rPr>
      </w:pPr>
      <w:r w:rsidRPr="00D520F0">
        <w:rPr>
          <w:b/>
          <w:bCs/>
        </w:rPr>
        <w:t>The adoption on 8 October 2021 of the Human Rights Council resolution recognizing the right to a clean, healthy and sustainable environment, and the similar General Assembly resolution adopted on 28 July 2022 should be positive catalysts to accelerate efforts to ensure the enjoyment of all of the inter-connected elements of the right to a clean, healthy and sustainable environment, including clean air, safe and sufficient water, healthy and sustainable food, a safe climate, healthy ecosystems and biodiversity, and non-toxic environments where people can live, work, study and play. The concrete examples of good practices highlighted in this Annex to the report “Businesses, planetary boundaries and the right to a clean, healthy and sustainable environment” (A/HRC/55/43) are encouraging but must not generate a sense of complacency.</w:t>
      </w:r>
    </w:p>
    <w:p w14:paraId="439BBFBE" w14:textId="59C538FE" w:rsidR="00D520F0" w:rsidRPr="00D520F0" w:rsidRDefault="00D520F0" w:rsidP="00D520F0">
      <w:pPr>
        <w:pStyle w:val="ParNoG"/>
        <w:rPr>
          <w:b/>
          <w:bCs/>
        </w:rPr>
      </w:pPr>
      <w:r w:rsidRPr="00D520F0">
        <w:rPr>
          <w:b/>
          <w:bCs/>
        </w:rPr>
        <w:t xml:space="preserve">Ultimately, however, it must be emphasized that many businesses, especially large transnational businesses, are major contributors to the daunting and unprecedented global environmental crisis involving the climate emergency, the collapse of biodiversity, pervasive pollution of air, water, soil and human bodies, unjust, </w:t>
      </w:r>
      <w:proofErr w:type="gramStart"/>
      <w:r w:rsidRPr="00D520F0">
        <w:rPr>
          <w:b/>
          <w:bCs/>
        </w:rPr>
        <w:t>unhealthy</w:t>
      </w:r>
      <w:proofErr w:type="gramEnd"/>
      <w:r w:rsidRPr="00D520F0">
        <w:rPr>
          <w:b/>
          <w:bCs/>
        </w:rPr>
        <w:t xml:space="preserve"> and unsustainable food systems, and the rising number of emerging infectious diseases of zoonotic origin. Despite the many good practices featured in this report, they are not nearly enough. </w:t>
      </w:r>
    </w:p>
    <w:p w14:paraId="4CD3703C" w14:textId="27884188" w:rsidR="0027129A" w:rsidRPr="00D520F0" w:rsidRDefault="00D520F0" w:rsidP="00D520F0">
      <w:pPr>
        <w:pStyle w:val="ParNoG"/>
        <w:rPr>
          <w:b/>
          <w:bCs/>
        </w:rPr>
      </w:pPr>
      <w:r w:rsidRPr="00D520F0">
        <w:rPr>
          <w:b/>
          <w:bCs/>
        </w:rPr>
        <w:t>Rights-based approaches should drive transformative and systemic changes so that humanity can achieve an ecological civilization where everyone enjoys a non-toxic environment and a safe climate, breathes clean air, drinks safe water, eats healthy and sustainably produced food, appreciates the diversity and abundance of wild species, and lives in harmony with nature. Businesses have a key role to play in achieving these tectonic changes, but few will do so voluntarily. The majority will need to be compelled to do so by strong State action, which is an obligation for States, not an option.</w:t>
      </w:r>
    </w:p>
    <w:p w14:paraId="3C37DFCE" w14:textId="0005C637" w:rsidR="00223112" w:rsidRPr="00223112" w:rsidRDefault="00223112" w:rsidP="00223112">
      <w:pPr>
        <w:spacing w:before="240"/>
        <w:ind w:left="1134" w:right="1134"/>
        <w:jc w:val="center"/>
        <w:rPr>
          <w:u w:val="single"/>
        </w:rPr>
      </w:pPr>
      <w:r>
        <w:rPr>
          <w:color w:val="000000"/>
        </w:rPr>
        <w:tab/>
      </w:r>
      <w:r>
        <w:rPr>
          <w:color w:val="000000"/>
          <w:u w:val="single"/>
        </w:rPr>
        <w:tab/>
      </w:r>
      <w:r>
        <w:rPr>
          <w:color w:val="000000"/>
          <w:u w:val="single"/>
        </w:rPr>
        <w:tab/>
      </w:r>
      <w:r>
        <w:rPr>
          <w:color w:val="000000"/>
          <w:u w:val="single"/>
        </w:rPr>
        <w:tab/>
      </w:r>
    </w:p>
    <w:sectPr w:rsidR="00223112" w:rsidRPr="00223112" w:rsidSect="006A38E4">
      <w:headerReference w:type="even" r:id="rId13"/>
      <w:headerReference w:type="default" r:id="rId14"/>
      <w:footerReference w:type="even" r:id="rId15"/>
      <w:footerReference w:type="default" r:id="rId16"/>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860E6D" w14:textId="77777777" w:rsidR="00D40AB7" w:rsidRDefault="00D40AB7">
      <w:pPr>
        <w:spacing w:line="240" w:lineRule="auto"/>
      </w:pPr>
      <w:r>
        <w:separator/>
      </w:r>
    </w:p>
  </w:endnote>
  <w:endnote w:type="continuationSeparator" w:id="0">
    <w:p w14:paraId="03490262" w14:textId="77777777" w:rsidR="00D40AB7" w:rsidRDefault="00D40A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altName w:val="Univers"/>
    <w:charset w:val="00"/>
    <w:family w:val="swiss"/>
    <w:pitch w:val="variable"/>
    <w:sig w:usb0="80000287" w:usb1="00000000" w:usb2="00000000" w:usb3="00000000" w:csb0="0000000F" w:csb1="00000000"/>
  </w:font>
  <w:font w:name="Museo 300">
    <w:altName w:val="Times New Roman"/>
    <w:panose1 w:val="00000000000000000000"/>
    <w:charset w:val="00"/>
    <w:family w:val="modern"/>
    <w:notTrueType/>
    <w:pitch w:val="variable"/>
    <w:sig w:usb0="00000001" w:usb1="40000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1723C" w14:textId="260BB07D" w:rsidR="00E1662D" w:rsidRPr="00503B40" w:rsidRDefault="00E1662D" w:rsidP="000B2FE7">
    <w:pPr>
      <w:pStyle w:val="Footer"/>
      <w:tabs>
        <w:tab w:val="right" w:pos="9638"/>
      </w:tabs>
      <w:rPr>
        <w:sz w:val="20"/>
      </w:rPr>
    </w:pPr>
    <w:r>
      <w:rPr>
        <w:b/>
        <w:sz w:val="18"/>
      </w:rPr>
      <w:tab/>
    </w:r>
    <w:r w:rsidRPr="00503B40">
      <w:rPr>
        <w:sz w:val="18"/>
      </w:rPr>
      <w:fldChar w:fldCharType="begin"/>
    </w:r>
    <w:r w:rsidRPr="00503B40">
      <w:rPr>
        <w:sz w:val="18"/>
      </w:rPr>
      <w:instrText xml:space="preserve"> PAGE  \* MERGEFORMAT </w:instrText>
    </w:r>
    <w:r w:rsidRPr="00503B40">
      <w:rPr>
        <w:sz w:val="18"/>
      </w:rPr>
      <w:fldChar w:fldCharType="separate"/>
    </w:r>
    <w:r w:rsidR="00A51B65">
      <w:rPr>
        <w:noProof/>
        <w:sz w:val="18"/>
      </w:rPr>
      <w:t>22</w:t>
    </w:r>
    <w:r w:rsidRPr="00503B40">
      <w:rPr>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EA3F7" w14:textId="7B0227C9" w:rsidR="00E1662D" w:rsidRDefault="00E1662D" w:rsidP="000B2FE7">
    <w:pPr>
      <w:pStyle w:val="Footer"/>
      <w:tabs>
        <w:tab w:val="right" w:pos="9638"/>
      </w:tabs>
      <w:jc w:val="right"/>
      <w:rPr>
        <w:b/>
        <w:sz w:val="18"/>
      </w:rPr>
    </w:pPr>
    <w:r w:rsidRPr="00503B40">
      <w:rPr>
        <w:b/>
        <w:sz w:val="18"/>
      </w:rPr>
      <w:fldChar w:fldCharType="begin"/>
    </w:r>
    <w:r w:rsidRPr="00503B40">
      <w:rPr>
        <w:b/>
        <w:sz w:val="18"/>
      </w:rPr>
      <w:instrText xml:space="preserve"> PAGE  \* MERGEFORMAT </w:instrText>
    </w:r>
    <w:r w:rsidRPr="00503B40">
      <w:rPr>
        <w:b/>
        <w:sz w:val="18"/>
      </w:rPr>
      <w:fldChar w:fldCharType="separate"/>
    </w:r>
    <w:r w:rsidR="00A51B65">
      <w:rPr>
        <w:b/>
        <w:noProof/>
        <w:sz w:val="18"/>
      </w:rPr>
      <w:t>25</w:t>
    </w:r>
    <w:r w:rsidRPr="00503B40">
      <w:rPr>
        <w:b/>
        <w:sz w:val="18"/>
      </w:rPr>
      <w:fldChar w:fldCharType="end"/>
    </w:r>
    <w:r>
      <w:rPr>
        <w:sz w:val="18"/>
      </w:rP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11836" w14:textId="77777777" w:rsidR="00D40AB7" w:rsidRDefault="00D40AB7">
      <w:pPr>
        <w:tabs>
          <w:tab w:val="right" w:pos="2155"/>
        </w:tabs>
        <w:spacing w:after="80"/>
        <w:ind w:left="680"/>
        <w:rPr>
          <w:u w:val="single"/>
        </w:rPr>
      </w:pPr>
      <w:r>
        <w:rPr>
          <w:u w:val="single"/>
        </w:rPr>
        <w:tab/>
      </w:r>
    </w:p>
  </w:footnote>
  <w:footnote w:type="continuationSeparator" w:id="0">
    <w:p w14:paraId="4BB48205" w14:textId="77777777" w:rsidR="00D40AB7" w:rsidRDefault="00D40AB7">
      <w:pPr>
        <w:tabs>
          <w:tab w:val="left" w:pos="2155"/>
        </w:tabs>
        <w:spacing w:after="80"/>
        <w:ind w:left="680"/>
        <w:rPr>
          <w:u w:val="single"/>
        </w:rPr>
      </w:pPr>
      <w:r>
        <w:rPr>
          <w:u w:val="single"/>
        </w:rPr>
        <w:tab/>
      </w:r>
    </w:p>
  </w:footnote>
  <w:footnote w:id="1">
    <w:p w14:paraId="1835D2E4" w14:textId="4A4B4EBC" w:rsidR="00160AF0" w:rsidRPr="009567E8" w:rsidRDefault="009567E8" w:rsidP="009567E8">
      <w:pPr>
        <w:pStyle w:val="FootnoteText"/>
      </w:pPr>
      <w:r>
        <w:tab/>
      </w:r>
      <w:r w:rsidR="00160AF0" w:rsidRPr="005F1802">
        <w:rPr>
          <w:rStyle w:val="FootnoteReference"/>
          <w:color w:val="000000" w:themeColor="text1"/>
          <w:sz w:val="20"/>
        </w:rPr>
        <w:footnoteRef/>
      </w:r>
      <w:r>
        <w:tab/>
      </w:r>
      <w:r w:rsidR="00160AF0" w:rsidRPr="009567E8">
        <w:t>Law 2327 of 2023.</w:t>
      </w:r>
    </w:p>
  </w:footnote>
  <w:footnote w:id="2">
    <w:p w14:paraId="63E83FFB" w14:textId="3E300864" w:rsidR="00160AF0" w:rsidRPr="005F1802" w:rsidRDefault="009567E8" w:rsidP="009567E8">
      <w:pPr>
        <w:pStyle w:val="FootnoteText"/>
        <w:rPr>
          <w:sz w:val="20"/>
        </w:rPr>
      </w:pPr>
      <w:r>
        <w:tab/>
      </w:r>
      <w:r w:rsidR="00160AF0" w:rsidRPr="009567E8">
        <w:rPr>
          <w:rStyle w:val="FootnoteReference"/>
          <w:color w:val="000000" w:themeColor="text1"/>
          <w:szCs w:val="18"/>
        </w:rPr>
        <w:footnoteRef/>
      </w:r>
      <w:r>
        <w:tab/>
      </w:r>
      <w:r w:rsidR="00160AF0" w:rsidRPr="009567E8">
        <w:t>Submission from Ecuador.</w:t>
      </w:r>
    </w:p>
  </w:footnote>
  <w:footnote w:id="3">
    <w:p w14:paraId="5FEB6124" w14:textId="58BF7BCF" w:rsidR="00160AF0" w:rsidRPr="00C61E9C" w:rsidRDefault="00540A03" w:rsidP="00C61E9C">
      <w:pPr>
        <w:pStyle w:val="FootnoteText"/>
        <w:rPr>
          <w:szCs w:val="18"/>
        </w:rPr>
      </w:pPr>
      <w:r>
        <w:rPr>
          <w:szCs w:val="18"/>
        </w:rPr>
        <w:tab/>
      </w:r>
      <w:r w:rsidR="00160AF0" w:rsidRPr="00C61E9C">
        <w:rPr>
          <w:rStyle w:val="FootnoteReference"/>
          <w:color w:val="000000" w:themeColor="text1"/>
          <w:szCs w:val="18"/>
        </w:rPr>
        <w:footnoteRef/>
      </w:r>
      <w:r>
        <w:rPr>
          <w:szCs w:val="18"/>
        </w:rPr>
        <w:tab/>
      </w:r>
      <w:r w:rsidR="00160AF0" w:rsidRPr="00C61E9C">
        <w:rPr>
          <w:szCs w:val="18"/>
        </w:rPr>
        <w:t>Submission from El Salvador.</w:t>
      </w:r>
    </w:p>
  </w:footnote>
  <w:footnote w:id="4">
    <w:p w14:paraId="63FA7D90" w14:textId="42A312FA" w:rsidR="00160AF0" w:rsidRPr="00C61E9C" w:rsidRDefault="00540A03" w:rsidP="00C61E9C">
      <w:pPr>
        <w:pStyle w:val="FootnoteText"/>
        <w:rPr>
          <w:szCs w:val="18"/>
        </w:rPr>
      </w:pPr>
      <w:r>
        <w:rPr>
          <w:szCs w:val="18"/>
        </w:rPr>
        <w:tab/>
      </w:r>
      <w:r w:rsidR="00160AF0" w:rsidRPr="00C61E9C">
        <w:rPr>
          <w:rStyle w:val="FootnoteReference"/>
          <w:color w:val="000000" w:themeColor="text1"/>
          <w:szCs w:val="18"/>
        </w:rPr>
        <w:footnoteRef/>
      </w:r>
      <w:r>
        <w:rPr>
          <w:szCs w:val="18"/>
        </w:rPr>
        <w:tab/>
      </w:r>
      <w:r w:rsidR="00160AF0" w:rsidRPr="00C61E9C">
        <w:rPr>
          <w:szCs w:val="18"/>
        </w:rPr>
        <w:t>Submission from Italy.</w:t>
      </w:r>
    </w:p>
  </w:footnote>
  <w:footnote w:id="5">
    <w:p w14:paraId="1BAFF533" w14:textId="0B97FAC5" w:rsidR="00160AF0" w:rsidRPr="00C61E9C" w:rsidRDefault="00540A03" w:rsidP="00C61E9C">
      <w:pPr>
        <w:pStyle w:val="FootnoteText"/>
        <w:rPr>
          <w:szCs w:val="18"/>
        </w:rPr>
      </w:pPr>
      <w:r>
        <w:rPr>
          <w:szCs w:val="18"/>
        </w:rPr>
        <w:tab/>
      </w:r>
      <w:r w:rsidR="00160AF0" w:rsidRPr="00C61E9C">
        <w:rPr>
          <w:rStyle w:val="FootnoteReference"/>
          <w:color w:val="000000" w:themeColor="text1"/>
          <w:szCs w:val="18"/>
        </w:rPr>
        <w:footnoteRef/>
      </w:r>
      <w:r>
        <w:rPr>
          <w:szCs w:val="18"/>
        </w:rPr>
        <w:tab/>
      </w:r>
      <w:r w:rsidR="00160AF0" w:rsidRPr="00C61E9C">
        <w:rPr>
          <w:szCs w:val="18"/>
        </w:rPr>
        <w:t>Submission from Mauritius.</w:t>
      </w:r>
    </w:p>
  </w:footnote>
  <w:footnote w:id="6">
    <w:p w14:paraId="485E70FB" w14:textId="325A00BA" w:rsidR="00160AF0" w:rsidRPr="00C61E9C" w:rsidRDefault="00C61E9C" w:rsidP="00C61E9C">
      <w:pPr>
        <w:pStyle w:val="FootnoteText"/>
        <w:rPr>
          <w:szCs w:val="18"/>
        </w:rPr>
      </w:pPr>
      <w:r>
        <w:rPr>
          <w:szCs w:val="18"/>
        </w:rPr>
        <w:tab/>
      </w:r>
      <w:r w:rsidR="00160AF0" w:rsidRPr="00C61E9C">
        <w:rPr>
          <w:rStyle w:val="FootnoteReference"/>
          <w:color w:val="000000" w:themeColor="text1"/>
          <w:szCs w:val="18"/>
        </w:rPr>
        <w:footnoteRef/>
      </w:r>
      <w:r>
        <w:rPr>
          <w:szCs w:val="18"/>
        </w:rPr>
        <w:tab/>
      </w:r>
      <w:r w:rsidR="00160AF0" w:rsidRPr="00C61E9C">
        <w:rPr>
          <w:szCs w:val="18"/>
        </w:rPr>
        <w:t>Submission from Mexico.</w:t>
      </w:r>
    </w:p>
  </w:footnote>
  <w:footnote w:id="7">
    <w:p w14:paraId="6A2123A6" w14:textId="65C3A424" w:rsidR="00160AF0" w:rsidRPr="00C61E9C" w:rsidRDefault="00C61E9C" w:rsidP="00C61E9C">
      <w:pPr>
        <w:pStyle w:val="FootnoteText"/>
        <w:rPr>
          <w:szCs w:val="18"/>
        </w:rPr>
      </w:pPr>
      <w:r>
        <w:rPr>
          <w:szCs w:val="18"/>
        </w:rPr>
        <w:tab/>
      </w:r>
      <w:r w:rsidR="00160AF0" w:rsidRPr="00C61E9C">
        <w:rPr>
          <w:rStyle w:val="FootnoteReference"/>
          <w:color w:val="000000" w:themeColor="text1"/>
          <w:szCs w:val="18"/>
        </w:rPr>
        <w:footnoteRef/>
      </w:r>
      <w:r>
        <w:rPr>
          <w:szCs w:val="18"/>
        </w:rPr>
        <w:tab/>
      </w:r>
      <w:r w:rsidR="00160AF0" w:rsidRPr="00C61E9C">
        <w:rPr>
          <w:szCs w:val="18"/>
        </w:rPr>
        <w:t>Law on the Environment (OG of MNE 52/16), Law on Chemicals (OG of MNE 51/17), Law on Biocidal Products (OG of MNE 54/16), Law on Waste Management (OG of MNE 64/11, 39/16), Law on Air Protection (OG of MNE 25/15, 43/15), Law on Industrial Emissions (OG of MNE 17/19), Law on Liability for the Environmental Damage (OG of MNE 27/14, 55/16) Law on Food Safety (OG of MNE 57/15).</w:t>
      </w:r>
    </w:p>
  </w:footnote>
  <w:footnote w:id="8">
    <w:p w14:paraId="146188AD" w14:textId="33831F48" w:rsidR="00160AF0" w:rsidRPr="00C61E9C" w:rsidRDefault="00C61E9C" w:rsidP="00C61E9C">
      <w:pPr>
        <w:pStyle w:val="FootnoteText"/>
        <w:rPr>
          <w:szCs w:val="18"/>
        </w:rPr>
      </w:pPr>
      <w:r>
        <w:rPr>
          <w:szCs w:val="18"/>
        </w:rPr>
        <w:tab/>
      </w:r>
      <w:r w:rsidR="00160AF0" w:rsidRPr="00C61E9C">
        <w:rPr>
          <w:rStyle w:val="FootnoteReference"/>
          <w:color w:val="000000" w:themeColor="text1"/>
          <w:szCs w:val="18"/>
        </w:rPr>
        <w:footnoteRef/>
      </w:r>
      <w:r>
        <w:rPr>
          <w:szCs w:val="18"/>
        </w:rPr>
        <w:tab/>
      </w:r>
      <w:r w:rsidR="00160AF0" w:rsidRPr="00C61E9C">
        <w:rPr>
          <w:szCs w:val="18"/>
        </w:rPr>
        <w:t>Submission from Montenegro.</w:t>
      </w:r>
    </w:p>
  </w:footnote>
  <w:footnote w:id="9">
    <w:p w14:paraId="7CC50180" w14:textId="64DD8568" w:rsidR="00160AF0" w:rsidRPr="00C61E9C" w:rsidRDefault="00C61E9C" w:rsidP="00C61E9C">
      <w:pPr>
        <w:pStyle w:val="FootnoteText"/>
        <w:rPr>
          <w:szCs w:val="18"/>
        </w:rPr>
      </w:pPr>
      <w:r>
        <w:rPr>
          <w:szCs w:val="18"/>
        </w:rPr>
        <w:tab/>
      </w:r>
      <w:r w:rsidR="00160AF0" w:rsidRPr="00C61E9C">
        <w:rPr>
          <w:rStyle w:val="FootnoteReference"/>
          <w:color w:val="000000" w:themeColor="text1"/>
          <w:szCs w:val="18"/>
        </w:rPr>
        <w:footnoteRef/>
      </w:r>
      <w:r>
        <w:rPr>
          <w:szCs w:val="18"/>
        </w:rPr>
        <w:tab/>
      </w:r>
      <w:r w:rsidR="00160AF0" w:rsidRPr="00C61E9C">
        <w:rPr>
          <w:i/>
          <w:iCs/>
          <w:szCs w:val="18"/>
        </w:rPr>
        <w:t>Law on the Protection of Whistleblowers</w:t>
      </w:r>
      <w:r w:rsidR="00160AF0" w:rsidRPr="00C61E9C">
        <w:rPr>
          <w:szCs w:val="18"/>
        </w:rPr>
        <w:t xml:space="preserve"> ("Official Gazette of Republic of Serbia", No 128/14).</w:t>
      </w:r>
    </w:p>
  </w:footnote>
  <w:footnote w:id="10">
    <w:p w14:paraId="2CD79598" w14:textId="78028775" w:rsidR="00160AF0" w:rsidRPr="00C61E9C" w:rsidRDefault="00C61E9C" w:rsidP="00C61E9C">
      <w:pPr>
        <w:pStyle w:val="FootnoteText"/>
        <w:rPr>
          <w:szCs w:val="18"/>
        </w:rPr>
      </w:pPr>
      <w:r>
        <w:rPr>
          <w:szCs w:val="18"/>
        </w:rPr>
        <w:tab/>
      </w:r>
      <w:r w:rsidR="00160AF0" w:rsidRPr="00C61E9C">
        <w:rPr>
          <w:rStyle w:val="FootnoteReference"/>
          <w:color w:val="000000" w:themeColor="text1"/>
          <w:szCs w:val="18"/>
        </w:rPr>
        <w:footnoteRef/>
      </w:r>
      <w:r>
        <w:rPr>
          <w:szCs w:val="18"/>
        </w:rPr>
        <w:tab/>
      </w:r>
      <w:r w:rsidR="00160AF0" w:rsidRPr="00C61E9C">
        <w:rPr>
          <w:szCs w:val="18"/>
        </w:rPr>
        <w:t>Official Gazette of the Republic of Serbia, no 49/15 and 44/18 - other laws. See also Official Gazette of the Republic of Serbia, No 4/15.</w:t>
      </w:r>
    </w:p>
  </w:footnote>
  <w:footnote w:id="11">
    <w:p w14:paraId="6592B910" w14:textId="46FCB328" w:rsidR="00160AF0" w:rsidRPr="00C61E9C" w:rsidRDefault="00C61E9C" w:rsidP="00C61E9C">
      <w:pPr>
        <w:pStyle w:val="FootnoteText"/>
        <w:rPr>
          <w:szCs w:val="18"/>
        </w:rPr>
      </w:pPr>
      <w:r>
        <w:rPr>
          <w:szCs w:val="18"/>
        </w:rPr>
        <w:tab/>
      </w:r>
      <w:r w:rsidR="00160AF0" w:rsidRPr="00C61E9C">
        <w:rPr>
          <w:rStyle w:val="FootnoteReference"/>
          <w:color w:val="000000" w:themeColor="text1"/>
          <w:szCs w:val="18"/>
        </w:rPr>
        <w:footnoteRef/>
      </w:r>
      <w:r>
        <w:rPr>
          <w:szCs w:val="18"/>
        </w:rPr>
        <w:tab/>
      </w:r>
      <w:r w:rsidR="00160AF0" w:rsidRPr="00C61E9C">
        <w:rPr>
          <w:szCs w:val="18"/>
        </w:rPr>
        <w:t>Submission from Serbia.</w:t>
      </w:r>
    </w:p>
  </w:footnote>
  <w:footnote w:id="12">
    <w:p w14:paraId="48D29AA4" w14:textId="0BC6A620" w:rsidR="00160AF0" w:rsidRPr="00E43A92" w:rsidRDefault="00E43A92" w:rsidP="00E43A92">
      <w:pPr>
        <w:pStyle w:val="FootnoteText"/>
        <w:rPr>
          <w:szCs w:val="18"/>
        </w:rPr>
      </w:pPr>
      <w:r>
        <w:rPr>
          <w:szCs w:val="18"/>
        </w:rPr>
        <w:tab/>
      </w:r>
      <w:r w:rsidR="00160AF0" w:rsidRPr="00E43A92">
        <w:rPr>
          <w:rStyle w:val="FootnoteReference"/>
          <w:color w:val="000000" w:themeColor="text1"/>
          <w:szCs w:val="18"/>
        </w:rPr>
        <w:footnoteRef/>
      </w:r>
      <w:r>
        <w:rPr>
          <w:szCs w:val="18"/>
        </w:rPr>
        <w:tab/>
      </w:r>
      <w:r w:rsidR="00160AF0" w:rsidRPr="00E43A92">
        <w:rPr>
          <w:szCs w:val="18"/>
        </w:rPr>
        <w:t xml:space="preserve">The Ordinance on Due Diligence and Transparency in the Areas of Minerals and Metals from Conflict Zones and Child </w:t>
      </w:r>
      <w:proofErr w:type="spellStart"/>
      <w:r w:rsidR="00160AF0" w:rsidRPr="00E43A92">
        <w:rPr>
          <w:szCs w:val="18"/>
        </w:rPr>
        <w:t>Labor</w:t>
      </w:r>
      <w:proofErr w:type="spellEnd"/>
      <w:r w:rsidR="00160AF0" w:rsidRPr="00E43A92">
        <w:rPr>
          <w:szCs w:val="18"/>
        </w:rPr>
        <w:t>.</w:t>
      </w:r>
    </w:p>
  </w:footnote>
  <w:footnote w:id="13">
    <w:p w14:paraId="21E3BD60" w14:textId="76AAF743" w:rsidR="000B6361" w:rsidRPr="00E43A92" w:rsidRDefault="00E43A92" w:rsidP="00E43A92">
      <w:pPr>
        <w:pStyle w:val="FootnoteText"/>
        <w:rPr>
          <w:color w:val="000000" w:themeColor="text1"/>
          <w:szCs w:val="18"/>
        </w:rPr>
      </w:pPr>
      <w:r>
        <w:rPr>
          <w:color w:val="000000" w:themeColor="text1"/>
          <w:szCs w:val="18"/>
        </w:rPr>
        <w:tab/>
      </w:r>
      <w:r w:rsidR="000B6361" w:rsidRPr="00E43A92">
        <w:rPr>
          <w:rStyle w:val="FootnoteReference"/>
          <w:color w:val="000000" w:themeColor="text1"/>
          <w:szCs w:val="18"/>
        </w:rPr>
        <w:footnoteRef/>
      </w:r>
      <w:r>
        <w:rPr>
          <w:color w:val="000000" w:themeColor="text1"/>
          <w:szCs w:val="18"/>
        </w:rPr>
        <w:tab/>
      </w:r>
      <w:r w:rsidR="000B6361" w:rsidRPr="00E43A92">
        <w:rPr>
          <w:color w:val="000000" w:themeColor="text1"/>
          <w:szCs w:val="18"/>
        </w:rPr>
        <w:t>https://www.bcorporation.net/en-us/</w:t>
      </w:r>
      <w:r>
        <w:rPr>
          <w:color w:val="000000" w:themeColor="text1"/>
          <w:szCs w:val="18"/>
        </w:rPr>
        <w:t>.</w:t>
      </w:r>
    </w:p>
  </w:footnote>
  <w:footnote w:id="14">
    <w:p w14:paraId="38E4BDB4" w14:textId="546DF24B" w:rsidR="000B6361" w:rsidRPr="00E43A92" w:rsidRDefault="00E43A92" w:rsidP="00E43A92">
      <w:pPr>
        <w:pStyle w:val="FootnoteText"/>
        <w:rPr>
          <w:color w:val="000000" w:themeColor="text1"/>
          <w:szCs w:val="18"/>
        </w:rPr>
      </w:pPr>
      <w:r>
        <w:rPr>
          <w:color w:val="000000" w:themeColor="text1"/>
          <w:szCs w:val="18"/>
        </w:rPr>
        <w:tab/>
      </w:r>
      <w:r w:rsidR="000B6361" w:rsidRPr="00E43A92">
        <w:rPr>
          <w:rStyle w:val="FootnoteReference"/>
          <w:color w:val="000000" w:themeColor="text1"/>
          <w:szCs w:val="18"/>
        </w:rPr>
        <w:footnoteRef/>
      </w:r>
      <w:r>
        <w:rPr>
          <w:color w:val="000000" w:themeColor="text1"/>
          <w:szCs w:val="18"/>
        </w:rPr>
        <w:tab/>
      </w:r>
      <w:r w:rsidR="000B6361" w:rsidRPr="00E43A92">
        <w:rPr>
          <w:color w:val="000000" w:themeColor="text1"/>
          <w:szCs w:val="18"/>
        </w:rPr>
        <w:t>https://sustainabilitymag.com/articles/top-10-coolest-b-corps</w:t>
      </w:r>
      <w:r>
        <w:rPr>
          <w:color w:val="000000" w:themeColor="text1"/>
          <w:szCs w:val="18"/>
        </w:rPr>
        <w:t>.</w:t>
      </w:r>
    </w:p>
  </w:footnote>
  <w:footnote w:id="15">
    <w:p w14:paraId="3A4E7437" w14:textId="18F5000A" w:rsidR="000B6361" w:rsidRPr="00E43A92" w:rsidRDefault="00E43A92" w:rsidP="00E43A92">
      <w:pPr>
        <w:pStyle w:val="FootnoteText"/>
        <w:rPr>
          <w:color w:val="000000" w:themeColor="text1"/>
          <w:szCs w:val="18"/>
        </w:rPr>
      </w:pPr>
      <w:r>
        <w:rPr>
          <w:color w:val="000000" w:themeColor="text1"/>
          <w:szCs w:val="18"/>
        </w:rPr>
        <w:tab/>
      </w:r>
      <w:r w:rsidR="000B6361" w:rsidRPr="00E43A92">
        <w:rPr>
          <w:rStyle w:val="FootnoteReference"/>
          <w:color w:val="000000" w:themeColor="text1"/>
          <w:szCs w:val="18"/>
        </w:rPr>
        <w:footnoteRef/>
      </w:r>
      <w:r>
        <w:rPr>
          <w:color w:val="000000" w:themeColor="text1"/>
          <w:szCs w:val="18"/>
        </w:rPr>
        <w:tab/>
      </w:r>
      <w:proofErr w:type="spellStart"/>
      <w:r w:rsidR="000B6361" w:rsidRPr="00E43A92">
        <w:rPr>
          <w:color w:val="000000" w:themeColor="text1"/>
          <w:szCs w:val="18"/>
        </w:rPr>
        <w:t>Rattalino</w:t>
      </w:r>
      <w:proofErr w:type="spellEnd"/>
      <w:r w:rsidR="000B6361" w:rsidRPr="00E43A92">
        <w:rPr>
          <w:color w:val="000000" w:themeColor="text1"/>
          <w:szCs w:val="18"/>
        </w:rPr>
        <w:t xml:space="preserve">, F. (2018). Circular advantage anyone? Sustainability-driven innovation and circularity at Patagonia, Inc.: sustainability-driven innovation and circularity at Patagonia. </w:t>
      </w:r>
      <w:r w:rsidR="000B6361" w:rsidRPr="00E43A92">
        <w:rPr>
          <w:i/>
          <w:iCs/>
          <w:color w:val="000000" w:themeColor="text1"/>
          <w:szCs w:val="18"/>
        </w:rPr>
        <w:t>Thunderbird International Business Review</w:t>
      </w:r>
      <w:r w:rsidR="000B6361" w:rsidRPr="00E43A92">
        <w:rPr>
          <w:color w:val="000000" w:themeColor="text1"/>
          <w:szCs w:val="18"/>
        </w:rPr>
        <w:t xml:space="preserve">, </w:t>
      </w:r>
      <w:r w:rsidR="000B6361" w:rsidRPr="00E43A92">
        <w:rPr>
          <w:i/>
          <w:iCs/>
          <w:color w:val="000000" w:themeColor="text1"/>
          <w:szCs w:val="18"/>
        </w:rPr>
        <w:t>60</w:t>
      </w:r>
      <w:r w:rsidR="000B6361" w:rsidRPr="00E43A92">
        <w:rPr>
          <w:color w:val="000000" w:themeColor="text1"/>
          <w:szCs w:val="18"/>
        </w:rPr>
        <w:t>(5), 747–755. See also https://www.bcorporation.net/en-us/find-a-b-corp/company/patagonia-inc/</w:t>
      </w:r>
      <w:r>
        <w:rPr>
          <w:color w:val="000000" w:themeColor="text1"/>
          <w:szCs w:val="18"/>
        </w:rPr>
        <w:t>.</w:t>
      </w:r>
    </w:p>
  </w:footnote>
  <w:footnote w:id="16">
    <w:p w14:paraId="6ECD22F1" w14:textId="7AC50E30" w:rsidR="000B6361" w:rsidRPr="00E43A92" w:rsidRDefault="00E43A92" w:rsidP="00E43A92">
      <w:pPr>
        <w:pStyle w:val="FootnoteText"/>
        <w:rPr>
          <w:color w:val="000000" w:themeColor="text1"/>
          <w:szCs w:val="18"/>
        </w:rPr>
      </w:pPr>
      <w:r>
        <w:rPr>
          <w:color w:val="000000" w:themeColor="text1"/>
          <w:szCs w:val="18"/>
          <w:lang w:val="es-ES"/>
        </w:rPr>
        <w:tab/>
      </w:r>
      <w:r w:rsidR="000B6361" w:rsidRPr="00E43A92">
        <w:rPr>
          <w:rStyle w:val="FootnoteReference"/>
          <w:color w:val="000000" w:themeColor="text1"/>
          <w:szCs w:val="18"/>
        </w:rPr>
        <w:footnoteRef/>
      </w:r>
      <w:r>
        <w:rPr>
          <w:color w:val="000000" w:themeColor="text1"/>
          <w:szCs w:val="18"/>
          <w:lang w:val="es-ES"/>
        </w:rPr>
        <w:tab/>
      </w:r>
      <w:proofErr w:type="spellStart"/>
      <w:r w:rsidR="000B6361" w:rsidRPr="00E43A92">
        <w:rPr>
          <w:color w:val="000000" w:themeColor="text1"/>
          <w:szCs w:val="18"/>
          <w:shd w:val="clear" w:color="auto" w:fill="FFFFFF"/>
          <w:lang w:val="es-ES"/>
        </w:rPr>
        <w:t>Alzate</w:t>
      </w:r>
      <w:proofErr w:type="spellEnd"/>
      <w:r w:rsidR="000B6361" w:rsidRPr="00E43A92">
        <w:rPr>
          <w:color w:val="000000" w:themeColor="text1"/>
          <w:szCs w:val="18"/>
          <w:shd w:val="clear" w:color="auto" w:fill="FFFFFF"/>
          <w:lang w:val="es-ES"/>
        </w:rPr>
        <w:t xml:space="preserve"> Acevedo, S., Díaz Carrillo, Á. J., Flórez-López, E., &amp; Grande-Tovar, C. D. (2021). </w:t>
      </w:r>
      <w:r w:rsidR="000B6361" w:rsidRPr="00E43A92">
        <w:rPr>
          <w:color w:val="000000" w:themeColor="text1"/>
          <w:szCs w:val="18"/>
          <w:shd w:val="clear" w:color="auto" w:fill="FFFFFF"/>
        </w:rPr>
        <w:t>Recovery of Banana Waste-Loss from Production and Processing: A Contribution to a Circular Economy. </w:t>
      </w:r>
      <w:r w:rsidR="000B6361" w:rsidRPr="00E43A92">
        <w:rPr>
          <w:i/>
          <w:iCs/>
          <w:color w:val="000000" w:themeColor="text1"/>
          <w:szCs w:val="18"/>
          <w:shd w:val="clear" w:color="auto" w:fill="FFFFFF"/>
        </w:rPr>
        <w:t>Molecules</w:t>
      </w:r>
      <w:r w:rsidR="000B6361" w:rsidRPr="00E43A92">
        <w:rPr>
          <w:color w:val="000000" w:themeColor="text1"/>
          <w:szCs w:val="18"/>
          <w:shd w:val="clear" w:color="auto" w:fill="FFFFFF"/>
        </w:rPr>
        <w:t>.</w:t>
      </w:r>
    </w:p>
  </w:footnote>
  <w:footnote w:id="17">
    <w:p w14:paraId="4EC263E6" w14:textId="46CFF510" w:rsidR="000B6361" w:rsidRPr="00E43A92" w:rsidRDefault="00E43A92" w:rsidP="00E43A92">
      <w:pPr>
        <w:pStyle w:val="FootnoteText"/>
        <w:rPr>
          <w:color w:val="000000" w:themeColor="text1"/>
          <w:szCs w:val="18"/>
        </w:rPr>
      </w:pPr>
      <w:r>
        <w:rPr>
          <w:color w:val="000000" w:themeColor="text1"/>
          <w:szCs w:val="18"/>
        </w:rPr>
        <w:tab/>
      </w:r>
      <w:r w:rsidR="000B6361" w:rsidRPr="00E43A92">
        <w:rPr>
          <w:rStyle w:val="FootnoteReference"/>
          <w:color w:val="000000" w:themeColor="text1"/>
          <w:szCs w:val="18"/>
        </w:rPr>
        <w:footnoteRef/>
      </w:r>
      <w:r>
        <w:rPr>
          <w:color w:val="000000" w:themeColor="text1"/>
          <w:szCs w:val="18"/>
        </w:rPr>
        <w:tab/>
      </w:r>
      <w:hyperlink r:id="rId1" w:history="1">
        <w:r w:rsidRPr="00F27255">
          <w:rPr>
            <w:rStyle w:val="Hyperlink"/>
            <w:szCs w:val="18"/>
          </w:rPr>
          <w:t>https://www.solitek.eu/en/news/worlds-first-and-only-pv-industry-company-received-c2c-gold-certification</w:t>
        </w:r>
      </w:hyperlink>
      <w:r w:rsidR="000B6361" w:rsidRPr="00E43A92">
        <w:rPr>
          <w:color w:val="000000" w:themeColor="text1"/>
          <w:szCs w:val="18"/>
        </w:rPr>
        <w:t xml:space="preserve"> See also </w:t>
      </w:r>
      <w:hyperlink r:id="rId2" w:history="1">
        <w:r w:rsidR="000B6361" w:rsidRPr="00E43A92">
          <w:rPr>
            <w:rStyle w:val="Hyperlink"/>
            <w:color w:val="000000" w:themeColor="text1"/>
            <w:szCs w:val="18"/>
          </w:rPr>
          <w:t>https://www.sunpowerbyqhs.com/blog/what-does-cradle-to-cradle-certified-mean-for-su</w:t>
        </w:r>
      </w:hyperlink>
      <w:r>
        <w:rPr>
          <w:color w:val="000000" w:themeColor="text1"/>
          <w:szCs w:val="18"/>
        </w:rPr>
        <w:t>.</w:t>
      </w:r>
    </w:p>
  </w:footnote>
  <w:footnote w:id="18">
    <w:p w14:paraId="127F3B36" w14:textId="695C0B15" w:rsidR="000B6361" w:rsidRPr="00E43A92" w:rsidRDefault="00E43A92" w:rsidP="00E43A92">
      <w:pPr>
        <w:pStyle w:val="FootnoteText"/>
        <w:rPr>
          <w:color w:val="000000" w:themeColor="text1"/>
          <w:szCs w:val="18"/>
        </w:rPr>
      </w:pPr>
      <w:r>
        <w:rPr>
          <w:color w:val="000000" w:themeColor="text1"/>
          <w:szCs w:val="18"/>
        </w:rPr>
        <w:tab/>
      </w:r>
      <w:r w:rsidR="000B6361" w:rsidRPr="00E43A92">
        <w:rPr>
          <w:rStyle w:val="FootnoteReference"/>
          <w:color w:val="000000" w:themeColor="text1"/>
          <w:szCs w:val="18"/>
        </w:rPr>
        <w:footnoteRef/>
      </w:r>
      <w:r>
        <w:rPr>
          <w:color w:val="000000" w:themeColor="text1"/>
          <w:szCs w:val="18"/>
        </w:rPr>
        <w:tab/>
      </w:r>
      <w:r w:rsidR="000B6361" w:rsidRPr="00E43A92">
        <w:rPr>
          <w:color w:val="000000" w:themeColor="text1"/>
          <w:szCs w:val="18"/>
        </w:rPr>
        <w:t xml:space="preserve">Heather Louise Madsen, John Parm </w:t>
      </w:r>
      <w:proofErr w:type="spellStart"/>
      <w:r w:rsidR="000B6361" w:rsidRPr="00E43A92">
        <w:rPr>
          <w:color w:val="000000" w:themeColor="text1"/>
          <w:szCs w:val="18"/>
        </w:rPr>
        <w:t>Ulhøi</w:t>
      </w:r>
      <w:proofErr w:type="spellEnd"/>
      <w:r w:rsidR="000B6361" w:rsidRPr="00E43A92">
        <w:rPr>
          <w:color w:val="000000" w:themeColor="text1"/>
          <w:szCs w:val="18"/>
        </w:rPr>
        <w:t>, 2021, Sustainable visioning: Re-framing strategic vision to enable a sustainable corporate transformation, Journal of Cleaner Production, Volume 288. See also https://orsted.com/en/who-we-are/sustainability/our-stories/our-carbon-reduction-targets-are-in-line-with-what-science-says-is-needed-to-stop-global-warming-at-1-5-c</w:t>
      </w:r>
      <w:r>
        <w:rPr>
          <w:color w:val="000000" w:themeColor="text1"/>
          <w:szCs w:val="18"/>
        </w:rPr>
        <w:t>.</w:t>
      </w:r>
    </w:p>
  </w:footnote>
  <w:footnote w:id="19">
    <w:p w14:paraId="360F3320" w14:textId="530580F5" w:rsidR="000B6361" w:rsidRPr="00E43A92" w:rsidRDefault="00E43A92" w:rsidP="00E43A92">
      <w:pPr>
        <w:pStyle w:val="FootnoteText"/>
        <w:rPr>
          <w:color w:val="000000" w:themeColor="text1"/>
          <w:szCs w:val="18"/>
        </w:rPr>
      </w:pPr>
      <w:r>
        <w:rPr>
          <w:color w:val="000000" w:themeColor="text1"/>
          <w:szCs w:val="18"/>
        </w:rPr>
        <w:tab/>
      </w:r>
      <w:r w:rsidR="000B6361" w:rsidRPr="00E43A92">
        <w:rPr>
          <w:rStyle w:val="FootnoteReference"/>
          <w:color w:val="000000" w:themeColor="text1"/>
          <w:szCs w:val="18"/>
        </w:rPr>
        <w:footnoteRef/>
      </w:r>
      <w:r>
        <w:rPr>
          <w:color w:val="000000" w:themeColor="text1"/>
          <w:szCs w:val="18"/>
        </w:rPr>
        <w:tab/>
      </w:r>
      <w:r w:rsidR="000B6361" w:rsidRPr="00E43A92">
        <w:rPr>
          <w:color w:val="000000" w:themeColor="text1"/>
          <w:szCs w:val="18"/>
        </w:rPr>
        <w:t>See https://www.nytimes.com/2015/08/23/business/how-ben-jerrys-social-mission-survived-being-gobbled-up.html?_r=0 and https://shift.newco.co/2016/09/20/what-everyone-missed-in-the-unilever-seventh-generation-deal/</w:t>
      </w:r>
      <w:r>
        <w:rPr>
          <w:color w:val="000000" w:themeColor="text1"/>
          <w:szCs w:val="18"/>
        </w:rPr>
        <w:t>.</w:t>
      </w:r>
    </w:p>
  </w:footnote>
  <w:footnote w:id="20">
    <w:p w14:paraId="0029286C" w14:textId="7CBC56F1" w:rsidR="000B6361" w:rsidRPr="00E43A92" w:rsidRDefault="00E43A92" w:rsidP="00E43A92">
      <w:pPr>
        <w:pStyle w:val="FootnoteText"/>
        <w:rPr>
          <w:color w:val="000000" w:themeColor="text1"/>
          <w:szCs w:val="18"/>
        </w:rPr>
      </w:pPr>
      <w:r>
        <w:rPr>
          <w:color w:val="000000" w:themeColor="text1"/>
          <w:szCs w:val="18"/>
        </w:rPr>
        <w:tab/>
      </w:r>
      <w:r w:rsidR="000B6361" w:rsidRPr="00E43A92">
        <w:rPr>
          <w:rStyle w:val="FootnoteReference"/>
          <w:color w:val="000000" w:themeColor="text1"/>
          <w:szCs w:val="18"/>
        </w:rPr>
        <w:footnoteRef/>
      </w:r>
      <w:r>
        <w:rPr>
          <w:color w:val="000000" w:themeColor="text1"/>
          <w:szCs w:val="18"/>
        </w:rPr>
        <w:tab/>
      </w:r>
      <w:r w:rsidR="000B6361" w:rsidRPr="00E43A92">
        <w:rPr>
          <w:color w:val="000000" w:themeColor="text1"/>
          <w:szCs w:val="18"/>
        </w:rPr>
        <w:t>See https://www.unilever.com/files/a9ee0484-3dad-4f48-9f0b-69cea560ebba/Unilever%20Principles%20in%20support%20of%20Human%20Rights%20Defenders%20Sept%202023.pdf</w:t>
      </w:r>
      <w:r>
        <w:rPr>
          <w:color w:val="000000" w:themeColor="text1"/>
          <w:szCs w:val="18"/>
        </w:rPr>
        <w:t>.</w:t>
      </w:r>
    </w:p>
  </w:footnote>
  <w:footnote w:id="21">
    <w:p w14:paraId="460069E3" w14:textId="6B21C117" w:rsidR="000B6361" w:rsidRPr="00E43A92" w:rsidRDefault="00E43A92" w:rsidP="00E43A92">
      <w:pPr>
        <w:pStyle w:val="FootnoteText"/>
        <w:rPr>
          <w:rStyle w:val="FootnoteTextChar"/>
          <w:color w:val="000000" w:themeColor="text1"/>
          <w:szCs w:val="18"/>
        </w:rPr>
      </w:pPr>
      <w:r>
        <w:rPr>
          <w:color w:val="000000" w:themeColor="text1"/>
          <w:szCs w:val="18"/>
        </w:rPr>
        <w:tab/>
      </w:r>
      <w:r w:rsidR="000B6361" w:rsidRPr="00E43A92">
        <w:rPr>
          <w:rStyle w:val="FootnoteReference"/>
          <w:color w:val="000000" w:themeColor="text1"/>
          <w:szCs w:val="18"/>
        </w:rPr>
        <w:footnoteRef/>
      </w:r>
      <w:r>
        <w:rPr>
          <w:color w:val="000000" w:themeColor="text1"/>
          <w:szCs w:val="18"/>
        </w:rPr>
        <w:tab/>
      </w:r>
      <w:r w:rsidR="000B6361" w:rsidRPr="00E43A92">
        <w:rPr>
          <w:rStyle w:val="FootnoteTextChar"/>
          <w:color w:val="000000" w:themeColor="text1"/>
          <w:szCs w:val="18"/>
        </w:rPr>
        <w:t xml:space="preserve">Ramsar Convention on Wetlands. (2018). </w:t>
      </w:r>
      <w:r w:rsidR="000B6361" w:rsidRPr="00E43A92">
        <w:rPr>
          <w:rStyle w:val="FootnoteTextChar"/>
          <w:i/>
          <w:iCs/>
          <w:color w:val="000000" w:themeColor="text1"/>
          <w:szCs w:val="18"/>
        </w:rPr>
        <w:t>Global Wetland Outlook: State of the World’s Wetlands and their Services to People</w:t>
      </w:r>
      <w:r w:rsidR="000B6361" w:rsidRPr="00E43A92">
        <w:rPr>
          <w:rStyle w:val="FootnoteTextChar"/>
          <w:color w:val="000000" w:themeColor="text1"/>
          <w:szCs w:val="18"/>
        </w:rPr>
        <w:t xml:space="preserve">. Gland, Switzerland: Ramsar Convention Secretariat. </w:t>
      </w:r>
    </w:p>
  </w:footnote>
  <w:footnote w:id="22">
    <w:p w14:paraId="18EAFB37" w14:textId="29BDADD2" w:rsidR="000B6361" w:rsidRPr="00E43A92" w:rsidRDefault="00E43A92" w:rsidP="00E43A92">
      <w:pPr>
        <w:pStyle w:val="FootnoteText"/>
        <w:rPr>
          <w:color w:val="000000" w:themeColor="text1"/>
          <w:szCs w:val="18"/>
        </w:rPr>
      </w:pPr>
      <w:r>
        <w:rPr>
          <w:color w:val="000000" w:themeColor="text1"/>
          <w:szCs w:val="18"/>
        </w:rPr>
        <w:tab/>
      </w:r>
      <w:r w:rsidR="000B6361" w:rsidRPr="00E43A92">
        <w:rPr>
          <w:rStyle w:val="FootnoteReference"/>
          <w:color w:val="000000" w:themeColor="text1"/>
          <w:szCs w:val="18"/>
        </w:rPr>
        <w:footnoteRef/>
      </w:r>
      <w:r>
        <w:rPr>
          <w:color w:val="000000" w:themeColor="text1"/>
          <w:szCs w:val="18"/>
        </w:rPr>
        <w:tab/>
      </w:r>
      <w:r w:rsidR="000B6361" w:rsidRPr="00E43A92">
        <w:rPr>
          <w:color w:val="000000" w:themeColor="text1"/>
          <w:szCs w:val="18"/>
        </w:rPr>
        <w:t>https://ishr.ch/wp-content/uploads/2021/07/shared_space_under_pressure_-_business_support_for_civic_freedoms_and_human_rights_defenders_1.pdf</w:t>
      </w:r>
      <w:r>
        <w:rPr>
          <w:color w:val="000000" w:themeColor="text1"/>
          <w:szCs w:val="18"/>
        </w:rPr>
        <w:t>.</w:t>
      </w:r>
    </w:p>
  </w:footnote>
  <w:footnote w:id="23">
    <w:p w14:paraId="5CA84FF6" w14:textId="40C83CEB" w:rsidR="006609E2" w:rsidRPr="00AF3337" w:rsidRDefault="00AF3337" w:rsidP="00AF3337">
      <w:pPr>
        <w:pStyle w:val="FootnoteText"/>
        <w:rPr>
          <w:szCs w:val="18"/>
        </w:rPr>
      </w:pPr>
      <w:r>
        <w:rPr>
          <w:szCs w:val="18"/>
        </w:rPr>
        <w:tab/>
      </w:r>
      <w:r w:rsidR="006609E2" w:rsidRPr="00AF3337">
        <w:rPr>
          <w:rStyle w:val="FootnoteReference"/>
          <w:color w:val="000000" w:themeColor="text1"/>
          <w:szCs w:val="18"/>
        </w:rPr>
        <w:footnoteRef/>
      </w:r>
      <w:r w:rsidR="006609E2" w:rsidRPr="00AF3337">
        <w:rPr>
          <w:szCs w:val="18"/>
        </w:rPr>
        <w:tab/>
        <w:t>A/74/198, para. 1.</w:t>
      </w:r>
    </w:p>
  </w:footnote>
  <w:footnote w:id="24">
    <w:p w14:paraId="40107D17" w14:textId="151C5736" w:rsidR="006609E2" w:rsidRPr="00AF3337" w:rsidRDefault="000C197A" w:rsidP="00AF3337">
      <w:pPr>
        <w:pStyle w:val="FootnoteText"/>
        <w:rPr>
          <w:szCs w:val="18"/>
        </w:rPr>
      </w:pPr>
      <w:r>
        <w:rPr>
          <w:szCs w:val="18"/>
        </w:rPr>
        <w:tab/>
      </w:r>
      <w:r w:rsidR="006609E2" w:rsidRPr="00AF3337">
        <w:rPr>
          <w:rStyle w:val="FootnoteReference"/>
          <w:color w:val="000000" w:themeColor="text1"/>
          <w:szCs w:val="18"/>
        </w:rPr>
        <w:footnoteRef/>
      </w:r>
      <w:r w:rsidR="006609E2" w:rsidRPr="00AF3337">
        <w:rPr>
          <w:szCs w:val="18"/>
        </w:rPr>
        <w:tab/>
        <w:t>Inter-American Court on Human Rights, Advisory Opinion 23/17, para. 123 and 124.</w:t>
      </w:r>
    </w:p>
  </w:footnote>
  <w:footnote w:id="25">
    <w:p w14:paraId="539BA456" w14:textId="6598A2EE" w:rsidR="006609E2" w:rsidRPr="00AF3337" w:rsidRDefault="000C197A" w:rsidP="00AF3337">
      <w:pPr>
        <w:pStyle w:val="FootnoteText"/>
        <w:rPr>
          <w:szCs w:val="18"/>
        </w:rPr>
      </w:pPr>
      <w:r>
        <w:rPr>
          <w:szCs w:val="18"/>
        </w:rPr>
        <w:tab/>
      </w:r>
      <w:r w:rsidR="006609E2" w:rsidRPr="00AF3337">
        <w:rPr>
          <w:rStyle w:val="FootnoteReference"/>
          <w:szCs w:val="18"/>
        </w:rPr>
        <w:footnoteRef/>
      </w:r>
      <w:r>
        <w:rPr>
          <w:szCs w:val="18"/>
        </w:rPr>
        <w:tab/>
      </w:r>
      <w:r w:rsidR="006609E2" w:rsidRPr="00AF3337">
        <w:rPr>
          <w:szCs w:val="18"/>
        </w:rPr>
        <w:t xml:space="preserve">All thematic reports of the Special Rapporteur are available here: </w:t>
      </w:r>
      <w:proofErr w:type="gramStart"/>
      <w:r w:rsidR="006609E2" w:rsidRPr="00AF3337">
        <w:rPr>
          <w:szCs w:val="18"/>
        </w:rPr>
        <w:t>https://www.ohchr.org/en/special-procedures/sr-environment/annual-thematic-reports</w:t>
      </w:r>
      <w:proofErr w:type="gramEnd"/>
    </w:p>
  </w:footnote>
  <w:footnote w:id="26">
    <w:p w14:paraId="3E0873FC" w14:textId="4783C8A9" w:rsidR="0024550F" w:rsidRPr="00AF3337" w:rsidRDefault="000C197A" w:rsidP="00AF3337">
      <w:pPr>
        <w:pStyle w:val="FootnoteText"/>
        <w:rPr>
          <w:i/>
          <w:szCs w:val="18"/>
        </w:rPr>
      </w:pPr>
      <w:r>
        <w:rPr>
          <w:szCs w:val="18"/>
        </w:rPr>
        <w:tab/>
      </w:r>
      <w:r w:rsidR="0024550F" w:rsidRPr="00AF3337">
        <w:rPr>
          <w:rStyle w:val="FootnoteReference"/>
          <w:color w:val="000000" w:themeColor="text1"/>
          <w:szCs w:val="18"/>
        </w:rPr>
        <w:footnoteRef/>
      </w:r>
      <w:r>
        <w:rPr>
          <w:szCs w:val="18"/>
        </w:rPr>
        <w:tab/>
      </w:r>
      <w:r w:rsidR="0024550F" w:rsidRPr="00AF3337">
        <w:rPr>
          <w:szCs w:val="18"/>
        </w:rPr>
        <w:t xml:space="preserve">United States Environmental Protection Agency, </w:t>
      </w:r>
      <w:r w:rsidR="0024550F" w:rsidRPr="00AF3337">
        <w:rPr>
          <w:i/>
          <w:szCs w:val="18"/>
        </w:rPr>
        <w:t>The Benefits and Costs of the Clean Air Act from 1990 to 2020</w:t>
      </w:r>
      <w:r w:rsidR="0024550F" w:rsidRPr="00AF3337">
        <w:rPr>
          <w:szCs w:val="18"/>
        </w:rPr>
        <w:t xml:space="preserve"> (2011).</w:t>
      </w:r>
    </w:p>
  </w:footnote>
  <w:footnote w:id="27">
    <w:p w14:paraId="6556577F" w14:textId="0B76C180" w:rsidR="0024550F" w:rsidRPr="00AF3337" w:rsidRDefault="000C197A" w:rsidP="00AF3337">
      <w:pPr>
        <w:pStyle w:val="FootnoteText"/>
        <w:rPr>
          <w:szCs w:val="18"/>
        </w:rPr>
      </w:pPr>
      <w:r>
        <w:rPr>
          <w:szCs w:val="18"/>
        </w:rPr>
        <w:tab/>
      </w:r>
      <w:r w:rsidR="0024550F" w:rsidRPr="00AF3337">
        <w:rPr>
          <w:rStyle w:val="FootnoteReference"/>
          <w:color w:val="000000" w:themeColor="text1"/>
          <w:szCs w:val="18"/>
        </w:rPr>
        <w:footnoteRef/>
      </w:r>
      <w:r>
        <w:rPr>
          <w:szCs w:val="18"/>
        </w:rPr>
        <w:tab/>
      </w:r>
      <w:r w:rsidR="0024550F" w:rsidRPr="00AF3337">
        <w:rPr>
          <w:szCs w:val="18"/>
        </w:rPr>
        <w:t>See https://ec.europa.eu/governance/impact/ia_carried_out/docs/ia_2013/swd_2013_0531_en.pdf.</w:t>
      </w:r>
    </w:p>
  </w:footnote>
  <w:footnote w:id="28">
    <w:p w14:paraId="3C679D58" w14:textId="78E26AB3" w:rsidR="0024550F" w:rsidRPr="00AF3337" w:rsidRDefault="000C197A" w:rsidP="00AF3337">
      <w:pPr>
        <w:pStyle w:val="FootnoteText"/>
        <w:rPr>
          <w:szCs w:val="18"/>
        </w:rPr>
      </w:pPr>
      <w:r>
        <w:rPr>
          <w:szCs w:val="18"/>
        </w:rPr>
        <w:tab/>
      </w:r>
      <w:r w:rsidR="0024550F" w:rsidRPr="00AF3337">
        <w:rPr>
          <w:rStyle w:val="FootnoteReference"/>
          <w:color w:val="000000" w:themeColor="text1"/>
          <w:szCs w:val="18"/>
        </w:rPr>
        <w:footnoteRef/>
      </w:r>
      <w:r>
        <w:rPr>
          <w:szCs w:val="18"/>
        </w:rPr>
        <w:tab/>
      </w:r>
      <w:r w:rsidR="0024550F" w:rsidRPr="00AF3337">
        <w:rPr>
          <w:szCs w:val="18"/>
        </w:rPr>
        <w:t>See https://ec.europa.eu/environment/air/pdf/clean_air_outlook_economic_impact_report.pdf.</w:t>
      </w:r>
    </w:p>
  </w:footnote>
  <w:footnote w:id="29">
    <w:p w14:paraId="6E0C1C9F" w14:textId="46D9998D" w:rsidR="0024550F" w:rsidRPr="00AF3337" w:rsidRDefault="000C197A" w:rsidP="00AF3337">
      <w:pPr>
        <w:pStyle w:val="FootnoteText"/>
        <w:rPr>
          <w:szCs w:val="18"/>
        </w:rPr>
      </w:pPr>
      <w:r>
        <w:rPr>
          <w:szCs w:val="18"/>
        </w:rPr>
        <w:tab/>
      </w:r>
      <w:r w:rsidR="0024550F" w:rsidRPr="00AF3337">
        <w:rPr>
          <w:rStyle w:val="FootnoteReference"/>
          <w:color w:val="000000" w:themeColor="text1"/>
          <w:szCs w:val="18"/>
        </w:rPr>
        <w:footnoteRef/>
      </w:r>
      <w:r>
        <w:rPr>
          <w:szCs w:val="18"/>
        </w:rPr>
        <w:tab/>
      </w:r>
      <w:r w:rsidR="0024550F" w:rsidRPr="00AF3337">
        <w:rPr>
          <w:szCs w:val="18"/>
        </w:rPr>
        <w:t xml:space="preserve">Jennifer A. Burney, 2020, “The downstream air pollution impacts of the transition from coal to natural gas in the United States”, </w:t>
      </w:r>
      <w:r w:rsidR="0024550F" w:rsidRPr="00AF3337">
        <w:rPr>
          <w:i/>
          <w:iCs/>
          <w:szCs w:val="18"/>
        </w:rPr>
        <w:t xml:space="preserve">Nature Sustainability </w:t>
      </w:r>
      <w:r w:rsidR="0024550F" w:rsidRPr="00AF3337">
        <w:rPr>
          <w:szCs w:val="18"/>
        </w:rPr>
        <w:t>3: 152-160. See also https://news.utexas.edu/2023/11/27/coal-power-killed-half-a-million-people-in-u-s-over-two-decades/#:~:text=He%20noted%20one%20bit%20of,policies%20have%20already%20significantly%20reduced.</w:t>
      </w:r>
    </w:p>
  </w:footnote>
  <w:footnote w:id="30">
    <w:p w14:paraId="61B2EFED" w14:textId="7553F976" w:rsidR="0024550F" w:rsidRPr="00AF3337" w:rsidRDefault="000C197A" w:rsidP="00AF3337">
      <w:pPr>
        <w:pStyle w:val="FootnoteText"/>
        <w:rPr>
          <w:szCs w:val="18"/>
        </w:rPr>
      </w:pPr>
      <w:r>
        <w:rPr>
          <w:szCs w:val="18"/>
        </w:rPr>
        <w:tab/>
      </w:r>
      <w:r w:rsidR="0024550F" w:rsidRPr="00AF3337">
        <w:rPr>
          <w:rStyle w:val="FootnoteReference"/>
          <w:color w:val="000000" w:themeColor="text1"/>
          <w:szCs w:val="18"/>
        </w:rPr>
        <w:footnoteRef/>
      </w:r>
      <w:r>
        <w:rPr>
          <w:szCs w:val="18"/>
        </w:rPr>
        <w:tab/>
      </w:r>
      <w:r w:rsidR="0024550F" w:rsidRPr="00AF3337">
        <w:rPr>
          <w:szCs w:val="18"/>
        </w:rPr>
        <w:t>See https://poweringpastcoal.org.</w:t>
      </w:r>
    </w:p>
  </w:footnote>
  <w:footnote w:id="31">
    <w:p w14:paraId="28AB5428" w14:textId="2BF99DDF" w:rsidR="0024550F" w:rsidRPr="00AF3337" w:rsidRDefault="000C197A" w:rsidP="00AF3337">
      <w:pPr>
        <w:pStyle w:val="FootnoteText"/>
        <w:rPr>
          <w:szCs w:val="18"/>
        </w:rPr>
      </w:pPr>
      <w:r>
        <w:rPr>
          <w:szCs w:val="18"/>
        </w:rPr>
        <w:tab/>
      </w:r>
      <w:r w:rsidR="0024550F" w:rsidRPr="00AF3337">
        <w:rPr>
          <w:rStyle w:val="FootnoteReference"/>
          <w:color w:val="000000" w:themeColor="text1"/>
          <w:szCs w:val="18"/>
        </w:rPr>
        <w:footnoteRef/>
      </w:r>
      <w:r>
        <w:rPr>
          <w:szCs w:val="18"/>
        </w:rPr>
        <w:tab/>
      </w:r>
      <w:r w:rsidR="0024550F" w:rsidRPr="00AF3337">
        <w:rPr>
          <w:szCs w:val="18"/>
        </w:rPr>
        <w:t>See communication AL OTH 249/2021 and the reply, available at https://spcommreports.ohchr.org/TMResultsBase/DownLoadPublicCommunicationFile?gId=26751 and https://spcommreports.ohchr.org/TMResultsBase/DownLoadFile?gId=36695.</w:t>
      </w:r>
    </w:p>
  </w:footnote>
  <w:footnote w:id="32">
    <w:p w14:paraId="4FC83C13" w14:textId="58033B00" w:rsidR="0024550F" w:rsidRPr="00AF3337" w:rsidRDefault="000C197A" w:rsidP="00AF3337">
      <w:pPr>
        <w:pStyle w:val="FootnoteText"/>
        <w:rPr>
          <w:szCs w:val="18"/>
        </w:rPr>
      </w:pPr>
      <w:r>
        <w:rPr>
          <w:szCs w:val="18"/>
        </w:rPr>
        <w:tab/>
      </w:r>
      <w:r w:rsidR="0024550F" w:rsidRPr="00AF3337">
        <w:rPr>
          <w:rStyle w:val="FootnoteReference"/>
          <w:color w:val="000000" w:themeColor="text1"/>
          <w:szCs w:val="18"/>
        </w:rPr>
        <w:footnoteRef/>
      </w:r>
      <w:r>
        <w:rPr>
          <w:szCs w:val="18"/>
        </w:rPr>
        <w:tab/>
      </w:r>
      <w:r w:rsidR="0024550F" w:rsidRPr="00AF3337">
        <w:rPr>
          <w:szCs w:val="18"/>
        </w:rPr>
        <w:t xml:space="preserve">E. Gould, “Childhood lead poisoning: conservative estimates of the social and economic benefits of lead hazard control”, </w:t>
      </w:r>
      <w:r w:rsidR="0024550F" w:rsidRPr="00AF3337">
        <w:rPr>
          <w:i/>
          <w:szCs w:val="18"/>
        </w:rPr>
        <w:t>Environmental Health Perspectives</w:t>
      </w:r>
      <w:r w:rsidR="0024550F" w:rsidRPr="00AF3337">
        <w:rPr>
          <w:szCs w:val="18"/>
        </w:rPr>
        <w:t>, vol. 117, No. 7 (July 2009), pp. 1162–1167.</w:t>
      </w:r>
    </w:p>
  </w:footnote>
  <w:footnote w:id="33">
    <w:p w14:paraId="4FB591EC" w14:textId="098BF77D" w:rsidR="0024550F" w:rsidRPr="00AF3337" w:rsidRDefault="000C197A" w:rsidP="00AF3337">
      <w:pPr>
        <w:pStyle w:val="FootnoteText"/>
        <w:rPr>
          <w:szCs w:val="18"/>
        </w:rPr>
      </w:pPr>
      <w:r>
        <w:rPr>
          <w:szCs w:val="18"/>
        </w:rPr>
        <w:tab/>
      </w:r>
      <w:r w:rsidR="0024550F" w:rsidRPr="00AF3337">
        <w:rPr>
          <w:rStyle w:val="FootnoteReference"/>
          <w:color w:val="000000" w:themeColor="text1"/>
          <w:szCs w:val="18"/>
        </w:rPr>
        <w:footnoteRef/>
      </w:r>
      <w:r>
        <w:rPr>
          <w:szCs w:val="18"/>
        </w:rPr>
        <w:tab/>
      </w:r>
      <w:r w:rsidR="0024550F" w:rsidRPr="00AF3337">
        <w:rPr>
          <w:szCs w:val="18"/>
        </w:rPr>
        <w:t xml:space="preserve">Economic Commission for Europe, </w:t>
      </w:r>
      <w:r w:rsidR="0024550F" w:rsidRPr="00AF3337">
        <w:rPr>
          <w:i/>
          <w:szCs w:val="18"/>
        </w:rPr>
        <w:t>Towards Cleaner Air: Scientific Assessment Report 2016</w:t>
      </w:r>
      <w:r w:rsidR="0024550F" w:rsidRPr="00AF3337">
        <w:rPr>
          <w:szCs w:val="18"/>
        </w:rPr>
        <w:t>, 2017.</w:t>
      </w:r>
    </w:p>
  </w:footnote>
  <w:footnote w:id="34">
    <w:p w14:paraId="03ABEF98" w14:textId="2E249C0B" w:rsidR="0024550F" w:rsidRPr="00AF3337" w:rsidRDefault="000C197A" w:rsidP="00AF3337">
      <w:pPr>
        <w:pStyle w:val="FootnoteText"/>
        <w:rPr>
          <w:szCs w:val="18"/>
        </w:rPr>
      </w:pPr>
      <w:r>
        <w:rPr>
          <w:szCs w:val="18"/>
        </w:rPr>
        <w:tab/>
      </w:r>
      <w:r w:rsidR="0024550F" w:rsidRPr="00AF3337">
        <w:rPr>
          <w:rStyle w:val="FootnoteReference"/>
          <w:color w:val="000000" w:themeColor="text1"/>
          <w:szCs w:val="18"/>
        </w:rPr>
        <w:footnoteRef/>
      </w:r>
      <w:r>
        <w:rPr>
          <w:szCs w:val="18"/>
        </w:rPr>
        <w:tab/>
      </w:r>
      <w:r w:rsidR="0024550F" w:rsidRPr="00AF3337">
        <w:rPr>
          <w:rStyle w:val="FootnoteTextChar"/>
          <w:color w:val="000000" w:themeColor="text1"/>
          <w:szCs w:val="18"/>
        </w:rPr>
        <w:t xml:space="preserve">The regulation in revised annex VI to the International Convention for the Prevention of Pollution from Ships (MARPOL) limiting the </w:t>
      </w:r>
      <w:proofErr w:type="spellStart"/>
      <w:r w:rsidR="0024550F" w:rsidRPr="00AF3337">
        <w:rPr>
          <w:rStyle w:val="FootnoteTextChar"/>
          <w:color w:val="000000" w:themeColor="text1"/>
          <w:szCs w:val="18"/>
        </w:rPr>
        <w:t>sulphur</w:t>
      </w:r>
      <w:proofErr w:type="spellEnd"/>
      <w:r w:rsidR="0024550F" w:rsidRPr="00AF3337">
        <w:rPr>
          <w:rStyle w:val="FootnoteTextChar"/>
          <w:color w:val="000000" w:themeColor="text1"/>
          <w:szCs w:val="18"/>
        </w:rPr>
        <w:t xml:space="preserve"> content of bunker fuel to a maximum of 0.5 per cent will enter into force on 1 January 2020. </w:t>
      </w:r>
    </w:p>
  </w:footnote>
  <w:footnote w:id="35">
    <w:p w14:paraId="2F00C933" w14:textId="056F0375" w:rsidR="00D712F5" w:rsidRPr="00D712F5" w:rsidRDefault="00D712F5" w:rsidP="00D712F5">
      <w:pPr>
        <w:pStyle w:val="FootnoteText"/>
        <w:rPr>
          <w:szCs w:val="18"/>
        </w:rPr>
      </w:pPr>
      <w:r>
        <w:rPr>
          <w:szCs w:val="18"/>
        </w:rPr>
        <w:tab/>
      </w:r>
      <w:r w:rsidRPr="00D712F5">
        <w:rPr>
          <w:rStyle w:val="FootnoteReference"/>
          <w:color w:val="000000" w:themeColor="text1"/>
          <w:szCs w:val="18"/>
        </w:rPr>
        <w:footnoteRef/>
      </w:r>
      <w:r>
        <w:rPr>
          <w:szCs w:val="18"/>
        </w:rPr>
        <w:tab/>
      </w:r>
      <w:r w:rsidRPr="00D712F5">
        <w:rPr>
          <w:i/>
          <w:szCs w:val="18"/>
        </w:rPr>
        <w:t>The Production Gap, 2019 Report</w:t>
      </w:r>
      <w:r w:rsidRPr="00D712F5">
        <w:rPr>
          <w:szCs w:val="18"/>
        </w:rPr>
        <w:t xml:space="preserve">, United Nations Environment </w:t>
      </w:r>
      <w:proofErr w:type="spellStart"/>
      <w:r w:rsidRPr="00D712F5">
        <w:rPr>
          <w:szCs w:val="18"/>
        </w:rPr>
        <w:t>Programme</w:t>
      </w:r>
      <w:proofErr w:type="spellEnd"/>
      <w:r w:rsidRPr="00D712F5">
        <w:rPr>
          <w:szCs w:val="18"/>
        </w:rPr>
        <w:t xml:space="preserve"> (UNEP).</w:t>
      </w:r>
    </w:p>
  </w:footnote>
  <w:footnote w:id="36">
    <w:p w14:paraId="4C338743" w14:textId="0FE2F74C" w:rsidR="00D712F5" w:rsidRPr="00D712F5" w:rsidRDefault="00D712F5" w:rsidP="00D712F5">
      <w:pPr>
        <w:pStyle w:val="FootnoteText"/>
        <w:rPr>
          <w:szCs w:val="18"/>
        </w:rPr>
      </w:pPr>
      <w:r>
        <w:rPr>
          <w:szCs w:val="18"/>
        </w:rPr>
        <w:tab/>
      </w:r>
      <w:r w:rsidRPr="00D712F5">
        <w:rPr>
          <w:rStyle w:val="FootnoteReference"/>
          <w:color w:val="000000" w:themeColor="text1"/>
          <w:szCs w:val="18"/>
        </w:rPr>
        <w:footnoteRef/>
      </w:r>
      <w:r>
        <w:rPr>
          <w:szCs w:val="18"/>
        </w:rPr>
        <w:tab/>
      </w:r>
      <w:r w:rsidRPr="00D712F5">
        <w:rPr>
          <w:szCs w:val="18"/>
        </w:rPr>
        <w:t>See https://poweringpastcoal.org.</w:t>
      </w:r>
    </w:p>
  </w:footnote>
  <w:footnote w:id="37">
    <w:p w14:paraId="6FD8F818" w14:textId="03088A42" w:rsidR="00D712F5" w:rsidRPr="00D712F5" w:rsidRDefault="003C6B9D" w:rsidP="00D712F5">
      <w:pPr>
        <w:pStyle w:val="FootnoteText"/>
        <w:rPr>
          <w:szCs w:val="18"/>
        </w:rPr>
      </w:pPr>
      <w:r>
        <w:rPr>
          <w:szCs w:val="18"/>
        </w:rPr>
        <w:tab/>
      </w:r>
      <w:r w:rsidR="00D712F5" w:rsidRPr="00D712F5">
        <w:rPr>
          <w:rStyle w:val="FootnoteReference"/>
          <w:color w:val="000000" w:themeColor="text1"/>
          <w:szCs w:val="18"/>
        </w:rPr>
        <w:footnoteRef/>
      </w:r>
      <w:r>
        <w:rPr>
          <w:szCs w:val="18"/>
        </w:rPr>
        <w:tab/>
      </w:r>
      <w:r w:rsidR="00D712F5" w:rsidRPr="00D712F5">
        <w:rPr>
          <w:szCs w:val="18"/>
        </w:rPr>
        <w:t>https://beyondoilandgasalliance.org/</w:t>
      </w:r>
    </w:p>
  </w:footnote>
  <w:footnote w:id="38">
    <w:p w14:paraId="71B299FE" w14:textId="65437FF0" w:rsidR="00D712F5" w:rsidRPr="00D712F5" w:rsidRDefault="003C6B9D" w:rsidP="00D712F5">
      <w:pPr>
        <w:pStyle w:val="FootnoteText"/>
        <w:rPr>
          <w:szCs w:val="18"/>
        </w:rPr>
      </w:pPr>
      <w:r>
        <w:rPr>
          <w:szCs w:val="18"/>
        </w:rPr>
        <w:tab/>
      </w:r>
      <w:r w:rsidR="00D712F5" w:rsidRPr="00D712F5">
        <w:rPr>
          <w:rStyle w:val="FootnoteReference"/>
          <w:color w:val="000000" w:themeColor="text1"/>
          <w:szCs w:val="18"/>
        </w:rPr>
        <w:footnoteRef/>
      </w:r>
      <w:r>
        <w:rPr>
          <w:szCs w:val="18"/>
        </w:rPr>
        <w:tab/>
      </w:r>
      <w:r w:rsidR="00D712F5" w:rsidRPr="00D712F5">
        <w:rPr>
          <w:szCs w:val="18"/>
        </w:rPr>
        <w:t>https://www.iea.org/reports/renewables-2023/executive-summary</w:t>
      </w:r>
    </w:p>
  </w:footnote>
  <w:footnote w:id="39">
    <w:p w14:paraId="6BCA870D" w14:textId="2EF314D1" w:rsidR="00D712F5" w:rsidRPr="00D712F5" w:rsidRDefault="003C6B9D" w:rsidP="00D712F5">
      <w:pPr>
        <w:pStyle w:val="FootnoteText"/>
        <w:rPr>
          <w:szCs w:val="18"/>
        </w:rPr>
      </w:pPr>
      <w:r>
        <w:rPr>
          <w:szCs w:val="18"/>
        </w:rPr>
        <w:tab/>
      </w:r>
      <w:r w:rsidR="00D712F5" w:rsidRPr="00D712F5">
        <w:rPr>
          <w:rStyle w:val="FootnoteReference"/>
          <w:color w:val="000000" w:themeColor="text1"/>
          <w:szCs w:val="18"/>
        </w:rPr>
        <w:footnoteRef/>
      </w:r>
      <w:r>
        <w:rPr>
          <w:szCs w:val="18"/>
        </w:rPr>
        <w:tab/>
      </w:r>
      <w:r w:rsidR="00D712F5" w:rsidRPr="00D712F5">
        <w:rPr>
          <w:szCs w:val="18"/>
        </w:rPr>
        <w:t>https://www.iea.org/reports/renewables-2023/executive-summary</w:t>
      </w:r>
    </w:p>
  </w:footnote>
  <w:footnote w:id="40">
    <w:p w14:paraId="53ABFF93" w14:textId="1DB125E6" w:rsidR="00D712F5" w:rsidRPr="00D712F5" w:rsidRDefault="003C6B9D" w:rsidP="00D712F5">
      <w:pPr>
        <w:pStyle w:val="FootnoteText"/>
        <w:rPr>
          <w:szCs w:val="18"/>
          <w:lang w:val="en-CA"/>
        </w:rPr>
      </w:pPr>
      <w:r>
        <w:rPr>
          <w:szCs w:val="18"/>
        </w:rPr>
        <w:tab/>
      </w:r>
      <w:r w:rsidR="00D712F5" w:rsidRPr="00D712F5">
        <w:rPr>
          <w:rStyle w:val="FootnoteReference"/>
          <w:color w:val="000000" w:themeColor="text1"/>
          <w:szCs w:val="18"/>
        </w:rPr>
        <w:footnoteRef/>
      </w:r>
      <w:r>
        <w:rPr>
          <w:szCs w:val="18"/>
        </w:rPr>
        <w:tab/>
      </w:r>
      <w:r w:rsidR="00D712F5" w:rsidRPr="00D712F5">
        <w:rPr>
          <w:szCs w:val="18"/>
        </w:rPr>
        <w:t xml:space="preserve">Lorena Aguilar, Margaux </w:t>
      </w:r>
      <w:proofErr w:type="spellStart"/>
      <w:r w:rsidR="00D712F5" w:rsidRPr="00D712F5">
        <w:rPr>
          <w:szCs w:val="18"/>
        </w:rPr>
        <w:t>Granat</w:t>
      </w:r>
      <w:proofErr w:type="spellEnd"/>
      <w:r w:rsidR="00D712F5" w:rsidRPr="00D712F5">
        <w:rPr>
          <w:szCs w:val="18"/>
        </w:rPr>
        <w:t xml:space="preserve"> and Cate </w:t>
      </w:r>
      <w:proofErr w:type="spellStart"/>
      <w:r w:rsidR="00D712F5" w:rsidRPr="00D712F5">
        <w:rPr>
          <w:szCs w:val="18"/>
        </w:rPr>
        <w:t>Owren</w:t>
      </w:r>
      <w:proofErr w:type="spellEnd"/>
      <w:r w:rsidR="00D712F5" w:rsidRPr="00D712F5">
        <w:rPr>
          <w:szCs w:val="18"/>
        </w:rPr>
        <w:t xml:space="preserve">. “Leading the Way: Case Studies of Gender-Responsive Initiatives”, in </w:t>
      </w:r>
      <w:r w:rsidR="00D712F5" w:rsidRPr="00D712F5">
        <w:rPr>
          <w:i/>
          <w:iCs/>
          <w:szCs w:val="18"/>
        </w:rPr>
        <w:t xml:space="preserve">Roots for the Future: The Landscape and Way Forward on Gender and Climate Change, </w:t>
      </w:r>
      <w:r w:rsidR="00D712F5" w:rsidRPr="00D712F5">
        <w:rPr>
          <w:szCs w:val="18"/>
        </w:rPr>
        <w:t xml:space="preserve">L. Aguilar, M. </w:t>
      </w:r>
      <w:proofErr w:type="spellStart"/>
      <w:r w:rsidR="00D712F5" w:rsidRPr="00D712F5">
        <w:rPr>
          <w:szCs w:val="18"/>
        </w:rPr>
        <w:t>Granat</w:t>
      </w:r>
      <w:proofErr w:type="spellEnd"/>
      <w:r w:rsidR="00D712F5" w:rsidRPr="00D712F5">
        <w:rPr>
          <w:szCs w:val="18"/>
        </w:rPr>
        <w:t xml:space="preserve">, &amp; C. </w:t>
      </w:r>
      <w:proofErr w:type="spellStart"/>
      <w:r w:rsidR="00D712F5" w:rsidRPr="00D712F5">
        <w:rPr>
          <w:szCs w:val="18"/>
        </w:rPr>
        <w:t>Owren</w:t>
      </w:r>
      <w:proofErr w:type="spellEnd"/>
      <w:r w:rsidR="00D712F5" w:rsidRPr="00D712F5">
        <w:rPr>
          <w:szCs w:val="18"/>
        </w:rPr>
        <w:t xml:space="preserve"> (Authors)</w:t>
      </w:r>
      <w:r w:rsidR="00D712F5" w:rsidRPr="00D712F5">
        <w:rPr>
          <w:i/>
          <w:iCs/>
          <w:szCs w:val="18"/>
        </w:rPr>
        <w:t xml:space="preserve">. </w:t>
      </w:r>
      <w:r w:rsidR="00D712F5" w:rsidRPr="00D712F5">
        <w:rPr>
          <w:szCs w:val="18"/>
        </w:rPr>
        <w:t xml:space="preserve">(Washington, DC: IUCN &amp; GGCA, 2015). </w:t>
      </w:r>
    </w:p>
  </w:footnote>
  <w:footnote w:id="41">
    <w:p w14:paraId="08787C01" w14:textId="5B20E6D1" w:rsidR="00D712F5" w:rsidRPr="00D712F5" w:rsidRDefault="003C6B9D" w:rsidP="00D712F5">
      <w:pPr>
        <w:pStyle w:val="FootnoteText"/>
        <w:rPr>
          <w:szCs w:val="18"/>
        </w:rPr>
      </w:pPr>
      <w:r>
        <w:rPr>
          <w:szCs w:val="18"/>
        </w:rPr>
        <w:tab/>
      </w:r>
      <w:r w:rsidR="00D712F5" w:rsidRPr="00D712F5">
        <w:rPr>
          <w:rStyle w:val="FootnoteReference"/>
          <w:color w:val="000000" w:themeColor="text1"/>
          <w:szCs w:val="18"/>
        </w:rPr>
        <w:footnoteRef/>
      </w:r>
      <w:r>
        <w:rPr>
          <w:szCs w:val="18"/>
        </w:rPr>
        <w:tab/>
      </w:r>
      <w:r w:rsidR="00D712F5" w:rsidRPr="00D712F5">
        <w:rPr>
          <w:szCs w:val="18"/>
        </w:rPr>
        <w:t>https://solarsister.org</w:t>
      </w:r>
    </w:p>
  </w:footnote>
  <w:footnote w:id="42">
    <w:p w14:paraId="1139DE6D" w14:textId="1AB9E503" w:rsidR="00D712F5" w:rsidRPr="00D712F5" w:rsidRDefault="003C6B9D" w:rsidP="00D712F5">
      <w:pPr>
        <w:pStyle w:val="FootnoteText"/>
        <w:rPr>
          <w:szCs w:val="18"/>
        </w:rPr>
      </w:pPr>
      <w:r>
        <w:rPr>
          <w:szCs w:val="18"/>
        </w:rPr>
        <w:tab/>
      </w:r>
      <w:r w:rsidR="00D712F5" w:rsidRPr="00D712F5">
        <w:rPr>
          <w:rStyle w:val="FootnoteReference"/>
          <w:color w:val="000000" w:themeColor="text1"/>
          <w:szCs w:val="18"/>
        </w:rPr>
        <w:footnoteRef/>
      </w:r>
      <w:r>
        <w:rPr>
          <w:szCs w:val="18"/>
        </w:rPr>
        <w:tab/>
      </w:r>
      <w:r w:rsidR="00D712F5" w:rsidRPr="00D712F5">
        <w:rPr>
          <w:szCs w:val="18"/>
        </w:rPr>
        <w:t xml:space="preserve">Lorena Aguilar, Margaux </w:t>
      </w:r>
      <w:proofErr w:type="spellStart"/>
      <w:r w:rsidR="00D712F5" w:rsidRPr="00D712F5">
        <w:rPr>
          <w:szCs w:val="18"/>
        </w:rPr>
        <w:t>Granat</w:t>
      </w:r>
      <w:proofErr w:type="spellEnd"/>
      <w:r w:rsidR="00D712F5" w:rsidRPr="00D712F5">
        <w:rPr>
          <w:szCs w:val="18"/>
        </w:rPr>
        <w:t xml:space="preserve"> and Cate </w:t>
      </w:r>
      <w:proofErr w:type="spellStart"/>
      <w:r w:rsidR="00D712F5" w:rsidRPr="00D712F5">
        <w:rPr>
          <w:szCs w:val="18"/>
        </w:rPr>
        <w:t>Owren</w:t>
      </w:r>
      <w:proofErr w:type="spellEnd"/>
      <w:r w:rsidR="00D712F5" w:rsidRPr="00D712F5">
        <w:rPr>
          <w:szCs w:val="18"/>
        </w:rPr>
        <w:t xml:space="preserve">. “Leading the Way: Case Studies of Gender-Responsive Initiatives”, in </w:t>
      </w:r>
      <w:r w:rsidR="00D712F5" w:rsidRPr="00D712F5">
        <w:rPr>
          <w:i/>
          <w:iCs/>
          <w:szCs w:val="18"/>
        </w:rPr>
        <w:t xml:space="preserve">Roots for the Future: The Landscape and Way Forward on Gender and Climate Change, </w:t>
      </w:r>
      <w:r w:rsidR="00D712F5" w:rsidRPr="00D712F5">
        <w:rPr>
          <w:szCs w:val="18"/>
        </w:rPr>
        <w:t xml:space="preserve">L. Aguilar, M. </w:t>
      </w:r>
      <w:proofErr w:type="spellStart"/>
      <w:r w:rsidR="00D712F5" w:rsidRPr="00D712F5">
        <w:rPr>
          <w:szCs w:val="18"/>
        </w:rPr>
        <w:t>Granat</w:t>
      </w:r>
      <w:proofErr w:type="spellEnd"/>
      <w:r w:rsidR="00D712F5" w:rsidRPr="00D712F5">
        <w:rPr>
          <w:szCs w:val="18"/>
        </w:rPr>
        <w:t xml:space="preserve">, &amp; C. </w:t>
      </w:r>
      <w:proofErr w:type="spellStart"/>
      <w:r w:rsidR="00D712F5" w:rsidRPr="00D712F5">
        <w:rPr>
          <w:szCs w:val="18"/>
        </w:rPr>
        <w:t>Owren</w:t>
      </w:r>
      <w:proofErr w:type="spellEnd"/>
      <w:r w:rsidR="00D712F5" w:rsidRPr="00D712F5">
        <w:rPr>
          <w:szCs w:val="18"/>
        </w:rPr>
        <w:t xml:space="preserve"> (Authors)</w:t>
      </w:r>
      <w:r w:rsidR="00D712F5" w:rsidRPr="00D712F5">
        <w:rPr>
          <w:i/>
          <w:iCs/>
          <w:szCs w:val="18"/>
        </w:rPr>
        <w:t xml:space="preserve">. </w:t>
      </w:r>
      <w:r w:rsidR="00D712F5" w:rsidRPr="00D712F5">
        <w:rPr>
          <w:szCs w:val="18"/>
        </w:rPr>
        <w:t>(Washington, DC: IUCN &amp; GGCA, 2015).</w:t>
      </w:r>
    </w:p>
  </w:footnote>
  <w:footnote w:id="43">
    <w:p w14:paraId="7416A794" w14:textId="78C19BD9" w:rsidR="00D712F5" w:rsidRPr="00D712F5" w:rsidRDefault="003C6B9D" w:rsidP="00D712F5">
      <w:pPr>
        <w:pStyle w:val="FootnoteText"/>
        <w:rPr>
          <w:szCs w:val="18"/>
        </w:rPr>
      </w:pPr>
      <w:r>
        <w:rPr>
          <w:szCs w:val="18"/>
        </w:rPr>
        <w:tab/>
      </w:r>
      <w:r w:rsidR="00D712F5" w:rsidRPr="00D712F5">
        <w:rPr>
          <w:rStyle w:val="FootnoteReference"/>
          <w:color w:val="000000" w:themeColor="text1"/>
          <w:szCs w:val="18"/>
        </w:rPr>
        <w:footnoteRef/>
      </w:r>
      <w:r>
        <w:rPr>
          <w:szCs w:val="18"/>
        </w:rPr>
        <w:tab/>
      </w:r>
      <w:r w:rsidR="00D712F5" w:rsidRPr="00D712F5">
        <w:rPr>
          <w:szCs w:val="18"/>
        </w:rPr>
        <w:t xml:space="preserve">Lorena Aguilar, Margaux </w:t>
      </w:r>
      <w:proofErr w:type="spellStart"/>
      <w:r w:rsidR="00D712F5" w:rsidRPr="00D712F5">
        <w:rPr>
          <w:szCs w:val="18"/>
        </w:rPr>
        <w:t>Granat</w:t>
      </w:r>
      <w:proofErr w:type="spellEnd"/>
      <w:r w:rsidR="00D712F5" w:rsidRPr="00D712F5">
        <w:rPr>
          <w:szCs w:val="18"/>
        </w:rPr>
        <w:t xml:space="preserve">, and Cate </w:t>
      </w:r>
      <w:proofErr w:type="spellStart"/>
      <w:r w:rsidR="00D712F5" w:rsidRPr="00D712F5">
        <w:rPr>
          <w:szCs w:val="18"/>
        </w:rPr>
        <w:t>Owren</w:t>
      </w:r>
      <w:proofErr w:type="spellEnd"/>
      <w:r w:rsidR="00D712F5" w:rsidRPr="00D712F5">
        <w:rPr>
          <w:szCs w:val="18"/>
        </w:rPr>
        <w:t xml:space="preserve">. “Leading the Way: Case Studies of Gender- Responsive Initiatives”, in </w:t>
      </w:r>
      <w:r w:rsidR="00D712F5" w:rsidRPr="00D712F5">
        <w:rPr>
          <w:i/>
          <w:iCs/>
          <w:szCs w:val="18"/>
        </w:rPr>
        <w:t xml:space="preserve">Roots for the Future: The Landscape and Way Forward on Gender and Climate Change, </w:t>
      </w:r>
      <w:r w:rsidR="00D712F5" w:rsidRPr="00D712F5">
        <w:rPr>
          <w:szCs w:val="18"/>
        </w:rPr>
        <w:t xml:space="preserve">L. Aguilar, M. </w:t>
      </w:r>
      <w:proofErr w:type="spellStart"/>
      <w:r w:rsidR="00D712F5" w:rsidRPr="00D712F5">
        <w:rPr>
          <w:szCs w:val="18"/>
        </w:rPr>
        <w:t>Granat</w:t>
      </w:r>
      <w:proofErr w:type="spellEnd"/>
      <w:r w:rsidR="00D712F5" w:rsidRPr="00D712F5">
        <w:rPr>
          <w:szCs w:val="18"/>
        </w:rPr>
        <w:t xml:space="preserve">, &amp; C. </w:t>
      </w:r>
      <w:proofErr w:type="spellStart"/>
      <w:r w:rsidR="00D712F5" w:rsidRPr="00D712F5">
        <w:rPr>
          <w:szCs w:val="18"/>
        </w:rPr>
        <w:t>Owren</w:t>
      </w:r>
      <w:proofErr w:type="spellEnd"/>
      <w:r w:rsidR="00D712F5" w:rsidRPr="00D712F5">
        <w:rPr>
          <w:szCs w:val="18"/>
        </w:rPr>
        <w:t xml:space="preserve"> (Authors)</w:t>
      </w:r>
      <w:r w:rsidR="00D712F5" w:rsidRPr="00D712F5">
        <w:rPr>
          <w:i/>
          <w:iCs/>
          <w:szCs w:val="18"/>
        </w:rPr>
        <w:t xml:space="preserve">. </w:t>
      </w:r>
      <w:r w:rsidR="00D712F5" w:rsidRPr="00D712F5">
        <w:rPr>
          <w:szCs w:val="18"/>
        </w:rPr>
        <w:t xml:space="preserve">(Washington, DC: IUCN &amp; GGCA, 2015) </w:t>
      </w:r>
    </w:p>
  </w:footnote>
  <w:footnote w:id="44">
    <w:p w14:paraId="3189B3BB" w14:textId="302797D1"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hyperlink r:id="rId3" w:history="1">
        <w:r w:rsidR="00381037" w:rsidRPr="00806FC3">
          <w:rPr>
            <w:rStyle w:val="Hyperlink"/>
            <w:color w:val="000000" w:themeColor="text1"/>
            <w:szCs w:val="18"/>
          </w:rPr>
          <w:t>A/HRC/48/61</w:t>
        </w:r>
      </w:hyperlink>
      <w:r w:rsidR="00381037" w:rsidRPr="00806FC3">
        <w:rPr>
          <w:color w:val="000000" w:themeColor="text1"/>
          <w:szCs w:val="18"/>
        </w:rPr>
        <w:t>, para, 71.</w:t>
      </w:r>
    </w:p>
  </w:footnote>
  <w:footnote w:id="45">
    <w:p w14:paraId="0AC0D1CC" w14:textId="63E409F8"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rPr>
        <w:t>Regulations (EC) No. 1907/2006 and No. 1272/2008.</w:t>
      </w:r>
    </w:p>
  </w:footnote>
  <w:footnote w:id="46">
    <w:p w14:paraId="223D2FD1" w14:textId="32720376"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rPr>
        <w:t>European Commission, “Chemicals strategy for sustainability: towards a toxic-free environment”, communication, 14 October 2020.</w:t>
      </w:r>
    </w:p>
  </w:footnote>
  <w:footnote w:id="47">
    <w:p w14:paraId="20601AF4" w14:textId="1C6DDD8A"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rPr>
        <w:t xml:space="preserve">See European Commission, “Pathway to a healthy planet for all – EU Action Plan: towards zero pollution for air, water and soil”, communication, 12 May 2021. </w:t>
      </w:r>
    </w:p>
  </w:footnote>
  <w:footnote w:id="48">
    <w:p w14:paraId="21F6B4B2" w14:textId="73A98F06"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rPr>
        <w:t xml:space="preserve">A/HRC/49/53. See also https://www.sustainableremediation.org. </w:t>
      </w:r>
    </w:p>
  </w:footnote>
  <w:footnote w:id="49">
    <w:p w14:paraId="107ED108" w14:textId="1BB847CB"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rPr>
        <w:t xml:space="preserve">See https://www.epa.gov/superfund-redevelopment. </w:t>
      </w:r>
    </w:p>
  </w:footnote>
  <w:footnote w:id="50">
    <w:p w14:paraId="6C25D481" w14:textId="46B13BCA"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shd w:val="clear" w:color="auto" w:fill="FFFFFF"/>
        </w:rPr>
        <w:t>Contaminated Sites Regulation, B.C. Reg. 375/96, 16 December 1996 (as amended).</w:t>
      </w:r>
    </w:p>
  </w:footnote>
  <w:footnote w:id="51">
    <w:p w14:paraId="02564656" w14:textId="4026E75E"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rPr>
        <w:t xml:space="preserve">See UNEP, </w:t>
      </w:r>
      <w:r w:rsidR="00381037" w:rsidRPr="00806FC3">
        <w:rPr>
          <w:i/>
          <w:iCs/>
          <w:color w:val="000000" w:themeColor="text1"/>
          <w:szCs w:val="18"/>
        </w:rPr>
        <w:t>Global Chemicals Outlook II</w:t>
      </w:r>
      <w:r w:rsidR="00381037" w:rsidRPr="00806FC3">
        <w:rPr>
          <w:color w:val="000000" w:themeColor="text1"/>
          <w:szCs w:val="18"/>
        </w:rPr>
        <w:t>.</w:t>
      </w:r>
    </w:p>
  </w:footnote>
  <w:footnote w:id="52">
    <w:p w14:paraId="42D51341" w14:textId="10576724"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rPr>
        <w:t>Submission from Singapore.</w:t>
      </w:r>
    </w:p>
  </w:footnote>
  <w:footnote w:id="53">
    <w:p w14:paraId="03507F6F" w14:textId="7E44C372"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rPr>
        <w:t xml:space="preserve">See </w:t>
      </w:r>
      <w:proofErr w:type="gramStart"/>
      <w:r w:rsidR="00381037" w:rsidRPr="00806FC3">
        <w:rPr>
          <w:color w:val="000000" w:themeColor="text1"/>
          <w:szCs w:val="18"/>
        </w:rPr>
        <w:t>https://sverigesmiljomal.se/miljomalen/giftfri-miljo/</w:t>
      </w:r>
      <w:proofErr w:type="gramEnd"/>
      <w:r w:rsidR="00381037" w:rsidRPr="00806FC3">
        <w:rPr>
          <w:color w:val="000000" w:themeColor="text1"/>
          <w:szCs w:val="18"/>
        </w:rPr>
        <w:t xml:space="preserve"> </w:t>
      </w:r>
    </w:p>
  </w:footnote>
  <w:footnote w:id="54">
    <w:p w14:paraId="42356F22" w14:textId="686F6423"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rPr>
        <w:t>European Court of Auditors, 2021, “The Polluter Pays Principle: Inconsistent Application Across EU Environmental Policies and Actions”.</w:t>
      </w:r>
    </w:p>
  </w:footnote>
  <w:footnote w:id="55">
    <w:p w14:paraId="16F552D5" w14:textId="6786000F"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rPr>
        <w:t xml:space="preserve">UNEP 2019, Global Chemicals Outlook II. </w:t>
      </w:r>
    </w:p>
  </w:footnote>
  <w:footnote w:id="56">
    <w:p w14:paraId="5C7779F0" w14:textId="3D8D7745"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rPr>
        <w:t>A/HRC/52/33.</w:t>
      </w:r>
    </w:p>
  </w:footnote>
  <w:footnote w:id="57">
    <w:p w14:paraId="6E8DCDBE" w14:textId="14B33B78"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rPr>
        <w:t>Annex II to A/HRC/49/53.</w:t>
      </w:r>
    </w:p>
  </w:footnote>
  <w:footnote w:id="58">
    <w:p w14:paraId="511ADEE5" w14:textId="2F109A7D"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rPr>
        <w:t xml:space="preserve">Women in Europe for a Common Future. 2016. </w:t>
      </w:r>
      <w:r w:rsidR="00381037" w:rsidRPr="00806FC3">
        <w:rPr>
          <w:i/>
          <w:iCs/>
          <w:color w:val="000000" w:themeColor="text1"/>
          <w:szCs w:val="18"/>
        </w:rPr>
        <w:t>Women and Chemicals: The Impact of Hazardous Chemicals on Women.</w:t>
      </w:r>
    </w:p>
  </w:footnote>
  <w:footnote w:id="59">
    <w:p w14:paraId="0EE5CE30" w14:textId="536D4E6B"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rPr>
        <w:t>http://loop.pe/</w:t>
      </w:r>
    </w:p>
  </w:footnote>
  <w:footnote w:id="60">
    <w:p w14:paraId="2123B67F" w14:textId="040FAE39" w:rsidR="00381037" w:rsidRPr="00806FC3" w:rsidRDefault="00806FC3" w:rsidP="00806FC3">
      <w:pPr>
        <w:pStyle w:val="FootnoteText"/>
        <w:rPr>
          <w:color w:val="000000" w:themeColor="text1"/>
          <w:szCs w:val="18"/>
        </w:rPr>
      </w:pPr>
      <w:r>
        <w:rPr>
          <w:color w:val="000000" w:themeColor="text1"/>
          <w:szCs w:val="18"/>
        </w:rPr>
        <w:tab/>
      </w:r>
      <w:r w:rsidR="00381037" w:rsidRPr="00806FC3">
        <w:rPr>
          <w:rStyle w:val="FootnoteReference"/>
          <w:color w:val="000000" w:themeColor="text1"/>
          <w:szCs w:val="18"/>
        </w:rPr>
        <w:footnoteRef/>
      </w:r>
      <w:r>
        <w:rPr>
          <w:color w:val="000000" w:themeColor="text1"/>
          <w:szCs w:val="18"/>
        </w:rPr>
        <w:tab/>
      </w:r>
      <w:r w:rsidR="00381037" w:rsidRPr="00806FC3">
        <w:rPr>
          <w:color w:val="000000" w:themeColor="text1"/>
          <w:szCs w:val="18"/>
        </w:rPr>
        <w:t>Submission from Costa Rica.</w:t>
      </w:r>
    </w:p>
  </w:footnote>
  <w:footnote w:id="61">
    <w:p w14:paraId="4843027C" w14:textId="65F0563C" w:rsidR="00432DE8" w:rsidRPr="00B51DEB" w:rsidRDefault="00B51DEB" w:rsidP="00B51DEB">
      <w:pPr>
        <w:pStyle w:val="FootnoteText"/>
        <w:rPr>
          <w:szCs w:val="18"/>
        </w:rPr>
      </w:pPr>
      <w:r>
        <w:rPr>
          <w:szCs w:val="18"/>
        </w:rPr>
        <w:tab/>
      </w:r>
      <w:r w:rsidR="00432DE8" w:rsidRPr="00B51DEB">
        <w:rPr>
          <w:rStyle w:val="FootnoteReference"/>
          <w:color w:val="000000" w:themeColor="text1"/>
          <w:szCs w:val="18"/>
        </w:rPr>
        <w:footnoteRef/>
      </w:r>
      <w:r>
        <w:rPr>
          <w:szCs w:val="18"/>
        </w:rPr>
        <w:tab/>
      </w:r>
      <w:r w:rsidR="00432DE8" w:rsidRPr="00B51DEB">
        <w:rPr>
          <w:szCs w:val="18"/>
        </w:rPr>
        <w:t>UN Dept of Economic and Social Affairs. 2020 Synthesis of Voluntary National Reviews.</w:t>
      </w:r>
    </w:p>
  </w:footnote>
  <w:footnote w:id="62">
    <w:p w14:paraId="53172A4F" w14:textId="5D4B9C06" w:rsidR="00D5220A" w:rsidRPr="00373674" w:rsidRDefault="00373674" w:rsidP="00373674">
      <w:pPr>
        <w:pStyle w:val="FootnoteText"/>
        <w:rPr>
          <w:szCs w:val="18"/>
        </w:rPr>
      </w:pPr>
      <w:r>
        <w:rPr>
          <w:szCs w:val="18"/>
        </w:rPr>
        <w:tab/>
      </w:r>
      <w:r w:rsidR="00D5220A" w:rsidRPr="00373674">
        <w:rPr>
          <w:rStyle w:val="FootnoteReference"/>
          <w:color w:val="000000" w:themeColor="text1"/>
          <w:szCs w:val="18"/>
        </w:rPr>
        <w:footnoteRef/>
      </w:r>
      <w:r>
        <w:rPr>
          <w:szCs w:val="18"/>
        </w:rPr>
        <w:tab/>
      </w:r>
      <w:r w:rsidR="00D5220A" w:rsidRPr="00373674">
        <w:rPr>
          <w:szCs w:val="18"/>
        </w:rPr>
        <w:t>Special Report on Climate Change and Land: Summary for Policymakers, IPCC, 2019 (available from www.ipcc.ch/srccl/chapter/summary-for-policymakers).</w:t>
      </w:r>
    </w:p>
  </w:footnote>
  <w:footnote w:id="63">
    <w:p w14:paraId="3ABEFF6D" w14:textId="0335E9AC" w:rsidR="00D5220A" w:rsidRPr="00373674" w:rsidRDefault="00373674" w:rsidP="00373674">
      <w:pPr>
        <w:pStyle w:val="FootnoteText"/>
        <w:rPr>
          <w:szCs w:val="18"/>
        </w:rPr>
      </w:pPr>
      <w:r>
        <w:rPr>
          <w:szCs w:val="18"/>
        </w:rPr>
        <w:tab/>
      </w:r>
      <w:r w:rsidR="00D5220A" w:rsidRPr="00373674">
        <w:rPr>
          <w:szCs w:val="18"/>
          <w:vertAlign w:val="superscript"/>
        </w:rPr>
        <w:footnoteRef/>
      </w:r>
      <w:r>
        <w:rPr>
          <w:szCs w:val="18"/>
        </w:rPr>
        <w:tab/>
      </w:r>
      <w:r w:rsidR="00D5220A" w:rsidRPr="00373674">
        <w:rPr>
          <w:szCs w:val="18"/>
        </w:rPr>
        <w:t>Solutions for the Farm of the Future: Go Green, New Economics Foundation. 2017.</w:t>
      </w:r>
    </w:p>
  </w:footnote>
  <w:footnote w:id="64">
    <w:p w14:paraId="4C59D38F" w14:textId="791B2F46" w:rsidR="00D5220A" w:rsidRPr="00373674" w:rsidRDefault="00373674" w:rsidP="00373674">
      <w:pPr>
        <w:pStyle w:val="FootnoteText"/>
        <w:rPr>
          <w:szCs w:val="18"/>
        </w:rPr>
      </w:pPr>
      <w:r>
        <w:rPr>
          <w:szCs w:val="18"/>
        </w:rPr>
        <w:tab/>
      </w:r>
      <w:r w:rsidR="00D5220A" w:rsidRPr="00373674">
        <w:rPr>
          <w:rStyle w:val="FootnoteReference"/>
          <w:color w:val="000000" w:themeColor="text1"/>
          <w:szCs w:val="18"/>
        </w:rPr>
        <w:footnoteRef/>
      </w:r>
      <w:r>
        <w:rPr>
          <w:szCs w:val="18"/>
        </w:rPr>
        <w:tab/>
      </w:r>
      <w:r w:rsidR="00D5220A" w:rsidRPr="00373674">
        <w:rPr>
          <w:i/>
          <w:szCs w:val="18"/>
        </w:rPr>
        <w:t>State of the Environment Report for Republic of Turkey</w:t>
      </w:r>
      <w:r w:rsidR="00D5220A" w:rsidRPr="00373674">
        <w:rPr>
          <w:szCs w:val="18"/>
        </w:rPr>
        <w:t xml:space="preserve">, Ministry of Environment and </w:t>
      </w:r>
      <w:proofErr w:type="spellStart"/>
      <w:r w:rsidR="00D5220A" w:rsidRPr="00373674">
        <w:rPr>
          <w:szCs w:val="18"/>
        </w:rPr>
        <w:t>Urbanisation</w:t>
      </w:r>
      <w:proofErr w:type="spellEnd"/>
      <w:r w:rsidR="00D5220A" w:rsidRPr="00373674">
        <w:rPr>
          <w:szCs w:val="18"/>
        </w:rPr>
        <w:t>, 2016.</w:t>
      </w:r>
    </w:p>
  </w:footnote>
  <w:footnote w:id="65">
    <w:p w14:paraId="2D16026C" w14:textId="5E23FCD5" w:rsidR="00D5220A" w:rsidRPr="00373674" w:rsidRDefault="00373674" w:rsidP="00373674">
      <w:pPr>
        <w:pStyle w:val="FootnoteText"/>
        <w:rPr>
          <w:szCs w:val="18"/>
        </w:rPr>
      </w:pPr>
      <w:r>
        <w:rPr>
          <w:szCs w:val="18"/>
        </w:rPr>
        <w:tab/>
      </w:r>
      <w:r w:rsidR="00D5220A" w:rsidRPr="00373674">
        <w:rPr>
          <w:rStyle w:val="FootnoteReference"/>
          <w:color w:val="000000" w:themeColor="text1"/>
          <w:szCs w:val="18"/>
        </w:rPr>
        <w:footnoteRef/>
      </w:r>
      <w:r>
        <w:rPr>
          <w:szCs w:val="18"/>
        </w:rPr>
        <w:tab/>
      </w:r>
      <w:r w:rsidR="00D5220A" w:rsidRPr="00373674">
        <w:rPr>
          <w:szCs w:val="18"/>
        </w:rPr>
        <w:t>Government of France. 2018. Ban on neonicotinoid insecticides: France is leading the way in Europe, September 4th, 2018. https://www.gouvernement.fr/en/ban-on-neonicotinoid-insecticides-france-is-leading-the-way-in-europe</w:t>
      </w:r>
      <w:r>
        <w:rPr>
          <w:szCs w:val="18"/>
        </w:rPr>
        <w:t>.</w:t>
      </w:r>
    </w:p>
  </w:footnote>
  <w:footnote w:id="66">
    <w:p w14:paraId="4067AB2C" w14:textId="097763ED" w:rsidR="00D5220A" w:rsidRPr="00373674" w:rsidRDefault="00373674" w:rsidP="00373674">
      <w:pPr>
        <w:pStyle w:val="FootnoteText"/>
        <w:rPr>
          <w:szCs w:val="18"/>
        </w:rPr>
      </w:pPr>
      <w:r>
        <w:rPr>
          <w:szCs w:val="18"/>
        </w:rPr>
        <w:tab/>
      </w:r>
      <w:r w:rsidR="00D5220A" w:rsidRPr="00373674">
        <w:rPr>
          <w:rStyle w:val="FootnoteReference"/>
          <w:color w:val="000000" w:themeColor="text1"/>
          <w:szCs w:val="18"/>
        </w:rPr>
        <w:footnoteRef/>
      </w:r>
      <w:r>
        <w:rPr>
          <w:szCs w:val="18"/>
        </w:rPr>
        <w:tab/>
      </w:r>
      <w:r w:rsidR="00D5220A" w:rsidRPr="00373674">
        <w:rPr>
          <w:szCs w:val="18"/>
        </w:rPr>
        <w:t>Constitutional Council, 2020, Union of Plant Protection Industries, Decision No. 2019-823, 31 January 2020.</w:t>
      </w:r>
    </w:p>
  </w:footnote>
  <w:footnote w:id="67">
    <w:p w14:paraId="641E8AD4" w14:textId="4CBD0A8E" w:rsidR="00D5220A" w:rsidRPr="00373674" w:rsidRDefault="00373674" w:rsidP="00373674">
      <w:pPr>
        <w:pStyle w:val="FootnoteText"/>
        <w:rPr>
          <w:szCs w:val="18"/>
        </w:rPr>
      </w:pPr>
      <w:r>
        <w:rPr>
          <w:szCs w:val="18"/>
        </w:rPr>
        <w:tab/>
      </w:r>
      <w:r w:rsidR="00D5220A" w:rsidRPr="00373674">
        <w:rPr>
          <w:rStyle w:val="FootnoteReference"/>
          <w:color w:val="000000" w:themeColor="text1"/>
          <w:szCs w:val="18"/>
        </w:rPr>
        <w:footnoteRef/>
      </w:r>
      <w:r>
        <w:rPr>
          <w:szCs w:val="18"/>
        </w:rPr>
        <w:tab/>
      </w:r>
      <w:proofErr w:type="spellStart"/>
      <w:r w:rsidR="00D5220A" w:rsidRPr="00373674">
        <w:rPr>
          <w:szCs w:val="18"/>
        </w:rPr>
        <w:t>Orum</w:t>
      </w:r>
      <w:proofErr w:type="spellEnd"/>
      <w:r w:rsidR="00D5220A" w:rsidRPr="00373674">
        <w:rPr>
          <w:szCs w:val="18"/>
        </w:rPr>
        <w:t xml:space="preserve">, </w:t>
      </w:r>
      <w:proofErr w:type="spellStart"/>
      <w:r w:rsidR="00D5220A" w:rsidRPr="00373674">
        <w:rPr>
          <w:szCs w:val="18"/>
        </w:rPr>
        <w:t>Kudsk</w:t>
      </w:r>
      <w:proofErr w:type="spellEnd"/>
      <w:r w:rsidR="00D5220A" w:rsidRPr="00373674">
        <w:rPr>
          <w:szCs w:val="18"/>
        </w:rPr>
        <w:t xml:space="preserve"> and Jensen, 2017, cited in UNEP 2019, Global Chemicals Outlook II.</w:t>
      </w:r>
    </w:p>
  </w:footnote>
  <w:footnote w:id="68">
    <w:p w14:paraId="02C0CAAD" w14:textId="45AD1BBB" w:rsidR="00D5220A" w:rsidRPr="00373674" w:rsidRDefault="00373674" w:rsidP="00373674">
      <w:pPr>
        <w:pStyle w:val="FootnoteText"/>
        <w:rPr>
          <w:szCs w:val="18"/>
        </w:rPr>
      </w:pPr>
      <w:r>
        <w:rPr>
          <w:szCs w:val="18"/>
        </w:rPr>
        <w:tab/>
      </w:r>
      <w:r w:rsidR="00D5220A" w:rsidRPr="00373674">
        <w:rPr>
          <w:rStyle w:val="FootnoteReference"/>
          <w:color w:val="000000" w:themeColor="text1"/>
          <w:szCs w:val="18"/>
        </w:rPr>
        <w:footnoteRef/>
      </w:r>
      <w:r>
        <w:rPr>
          <w:szCs w:val="18"/>
        </w:rPr>
        <w:tab/>
      </w:r>
      <w:r w:rsidR="00D5220A" w:rsidRPr="00373674">
        <w:rPr>
          <w:szCs w:val="18"/>
        </w:rPr>
        <w:tab/>
        <w:t xml:space="preserve">FAO and UNEP. 2020. Legislative approaches to sustainable agriculture and natural resources governance. FAO Legislative Study No. 114. Rome. </w:t>
      </w:r>
    </w:p>
  </w:footnote>
  <w:footnote w:id="69">
    <w:p w14:paraId="392BF24A" w14:textId="0B0FA1B3" w:rsidR="00D5220A" w:rsidRPr="00373674" w:rsidRDefault="00373674" w:rsidP="00373674">
      <w:pPr>
        <w:pStyle w:val="FootnoteText"/>
        <w:rPr>
          <w:szCs w:val="18"/>
        </w:rPr>
      </w:pPr>
      <w:r>
        <w:rPr>
          <w:szCs w:val="18"/>
        </w:rPr>
        <w:tab/>
      </w:r>
      <w:r w:rsidR="00D5220A" w:rsidRPr="00373674">
        <w:rPr>
          <w:rStyle w:val="FootnoteReference"/>
          <w:color w:val="000000" w:themeColor="text1"/>
          <w:szCs w:val="18"/>
        </w:rPr>
        <w:footnoteRef/>
      </w:r>
      <w:r>
        <w:rPr>
          <w:szCs w:val="18"/>
        </w:rPr>
        <w:tab/>
      </w:r>
      <w:r w:rsidR="00D5220A" w:rsidRPr="00373674">
        <w:rPr>
          <w:szCs w:val="18"/>
        </w:rPr>
        <w:t xml:space="preserve">See Global Assessment Report on Biodiversity and Ecosystem Services, Intergovernmental Science-Policy Platform on Biodiversity and Ecosystem Services, 2019. </w:t>
      </w:r>
    </w:p>
  </w:footnote>
  <w:footnote w:id="70">
    <w:p w14:paraId="65FAD780" w14:textId="675B2AA7" w:rsidR="00D5220A" w:rsidRPr="00373674" w:rsidRDefault="00373674" w:rsidP="00373674">
      <w:pPr>
        <w:pStyle w:val="FootnoteText"/>
        <w:rPr>
          <w:rStyle w:val="FootnoteTextChar"/>
          <w:color w:val="000000" w:themeColor="text1"/>
          <w:szCs w:val="18"/>
        </w:rPr>
      </w:pPr>
      <w:r>
        <w:rPr>
          <w:szCs w:val="18"/>
        </w:rPr>
        <w:tab/>
      </w:r>
      <w:r w:rsidR="00D5220A" w:rsidRPr="00373674">
        <w:rPr>
          <w:rStyle w:val="FootnoteReference"/>
          <w:color w:val="000000" w:themeColor="text1"/>
          <w:szCs w:val="18"/>
        </w:rPr>
        <w:footnoteRef/>
      </w:r>
      <w:r w:rsidR="00253180">
        <w:rPr>
          <w:szCs w:val="18"/>
        </w:rPr>
        <w:tab/>
      </w:r>
      <w:r w:rsidR="00D5220A" w:rsidRPr="00373674">
        <w:rPr>
          <w:szCs w:val="18"/>
        </w:rPr>
        <w:t xml:space="preserve">Submission from a network of rural Community Leaders engaged in Community Based Natural Resource Management (CBNRM) initiatives in eight countries within the Southern Africa region (Botswana, Malawi, Mozambique, Namibia, South Africa, Tanzania, </w:t>
      </w:r>
      <w:proofErr w:type="gramStart"/>
      <w:r w:rsidR="00D5220A" w:rsidRPr="00373674">
        <w:rPr>
          <w:szCs w:val="18"/>
        </w:rPr>
        <w:t>Zambia</w:t>
      </w:r>
      <w:proofErr w:type="gramEnd"/>
      <w:r w:rsidR="00D5220A" w:rsidRPr="00373674">
        <w:rPr>
          <w:szCs w:val="18"/>
        </w:rPr>
        <w:t xml:space="preserve"> and Zimbabwe).</w:t>
      </w:r>
    </w:p>
  </w:footnote>
  <w:footnote w:id="71">
    <w:p w14:paraId="632A3971" w14:textId="4F36872E" w:rsidR="00D5220A" w:rsidRPr="005F1802" w:rsidRDefault="00253180" w:rsidP="00373674">
      <w:pPr>
        <w:pStyle w:val="FootnoteText"/>
      </w:pPr>
      <w:r>
        <w:rPr>
          <w:szCs w:val="18"/>
        </w:rPr>
        <w:tab/>
      </w:r>
      <w:r w:rsidR="00D5220A" w:rsidRPr="00373674">
        <w:rPr>
          <w:rStyle w:val="FootnoteReference"/>
          <w:color w:val="000000" w:themeColor="text1"/>
          <w:szCs w:val="18"/>
        </w:rPr>
        <w:footnoteRef/>
      </w:r>
      <w:r>
        <w:rPr>
          <w:szCs w:val="18"/>
        </w:rPr>
        <w:tab/>
      </w:r>
      <w:r w:rsidR="00D5220A" w:rsidRPr="00373674">
        <w:rPr>
          <w:szCs w:val="18"/>
        </w:rPr>
        <w:t xml:space="preserve">FAO and UNEP. 2020. </w:t>
      </w:r>
      <w:r w:rsidR="00D5220A" w:rsidRPr="00373674">
        <w:rPr>
          <w:i/>
          <w:iCs/>
          <w:szCs w:val="18"/>
        </w:rPr>
        <w:t xml:space="preserve">Legislative approaches to sustainable agriculture and natural resources governance. </w:t>
      </w:r>
      <w:r w:rsidR="00D5220A" w:rsidRPr="00373674">
        <w:rPr>
          <w:szCs w:val="18"/>
        </w:rPr>
        <w:t>FAO Legislative Study No. 114. Rome.</w:t>
      </w:r>
      <w:r w:rsidR="00D5220A" w:rsidRPr="005F1802">
        <w:t xml:space="preserve"> </w:t>
      </w:r>
    </w:p>
  </w:footnote>
  <w:footnote w:id="72">
    <w:p w14:paraId="1AC08A16" w14:textId="476930DD" w:rsidR="00E2084A" w:rsidRPr="00E2084A" w:rsidRDefault="00E2084A" w:rsidP="00E2084A">
      <w:pPr>
        <w:pStyle w:val="FootnoteText"/>
        <w:rPr>
          <w:szCs w:val="18"/>
        </w:rPr>
      </w:pPr>
      <w:r>
        <w:rPr>
          <w:szCs w:val="18"/>
        </w:rPr>
        <w:tab/>
      </w:r>
      <w:r w:rsidRPr="00E2084A">
        <w:rPr>
          <w:rStyle w:val="FootnoteReference"/>
          <w:color w:val="000000" w:themeColor="text1"/>
          <w:szCs w:val="18"/>
        </w:rPr>
        <w:footnoteRef/>
      </w:r>
      <w:r>
        <w:rPr>
          <w:szCs w:val="18"/>
        </w:rPr>
        <w:tab/>
      </w:r>
      <w:r w:rsidRPr="00E2084A">
        <w:rPr>
          <w:szCs w:val="18"/>
        </w:rPr>
        <w:t>Business &amp; Human Rights Resource Centre, “Sierra Leone enacts unprecedented laws requiring explicit community consent, land rights for women, and strong environmental protection”, August 16, 2022.</w:t>
      </w:r>
    </w:p>
  </w:footnote>
  <w:footnote w:id="73">
    <w:p w14:paraId="677E3206" w14:textId="2892A94E" w:rsidR="00E2084A" w:rsidRPr="00E2084A" w:rsidRDefault="00E2084A" w:rsidP="00E2084A">
      <w:pPr>
        <w:pStyle w:val="FootnoteText"/>
        <w:rPr>
          <w:szCs w:val="18"/>
        </w:rPr>
      </w:pPr>
      <w:r>
        <w:rPr>
          <w:szCs w:val="18"/>
        </w:rPr>
        <w:tab/>
      </w:r>
      <w:r w:rsidRPr="00E2084A">
        <w:rPr>
          <w:rStyle w:val="FootnoteReference"/>
          <w:color w:val="000000" w:themeColor="text1"/>
          <w:szCs w:val="18"/>
        </w:rPr>
        <w:footnoteRef/>
      </w:r>
      <w:r>
        <w:rPr>
          <w:szCs w:val="18"/>
        </w:rPr>
        <w:tab/>
      </w:r>
      <w:r w:rsidRPr="00E2084A">
        <w:rPr>
          <w:szCs w:val="18"/>
        </w:rPr>
        <w:t xml:space="preserve">Secretariat of the Convention on Biological Diversity. 2022. </w:t>
      </w:r>
      <w:r w:rsidRPr="00E2084A">
        <w:rPr>
          <w:i/>
          <w:iCs/>
          <w:szCs w:val="18"/>
        </w:rPr>
        <w:t xml:space="preserve">Best Practices in Gender and Biodiversity: Pathways for Multiple Benefits. </w:t>
      </w:r>
    </w:p>
  </w:footnote>
  <w:footnote w:id="74">
    <w:p w14:paraId="6F520DAF" w14:textId="1DD78DC9" w:rsidR="00E2084A" w:rsidRPr="00E2084A" w:rsidRDefault="00E2084A" w:rsidP="00E2084A">
      <w:pPr>
        <w:pStyle w:val="FootnoteText"/>
        <w:rPr>
          <w:rStyle w:val="FootnoteTextChar"/>
          <w:color w:val="000000" w:themeColor="text1"/>
          <w:szCs w:val="18"/>
        </w:rPr>
      </w:pPr>
      <w:r>
        <w:rPr>
          <w:szCs w:val="18"/>
        </w:rPr>
        <w:tab/>
      </w:r>
      <w:r w:rsidRPr="00E2084A">
        <w:rPr>
          <w:rStyle w:val="FootnoteReference"/>
          <w:color w:val="000000" w:themeColor="text1"/>
          <w:szCs w:val="18"/>
        </w:rPr>
        <w:footnoteRef/>
      </w:r>
      <w:r>
        <w:rPr>
          <w:szCs w:val="18"/>
        </w:rPr>
        <w:tab/>
      </w:r>
      <w:r w:rsidRPr="00E2084A">
        <w:rPr>
          <w:szCs w:val="18"/>
        </w:rPr>
        <w:t xml:space="preserve">See </w:t>
      </w:r>
      <w:hyperlink r:id="rId4" w:history="1">
        <w:r w:rsidRPr="00E2084A">
          <w:rPr>
            <w:rStyle w:val="Hyperlink"/>
            <w:color w:val="000000" w:themeColor="text1"/>
            <w:szCs w:val="18"/>
          </w:rPr>
          <w:t>https://naturaljustice.org/the-rooibos-access-and-benefit-sharing-agreement</w:t>
        </w:r>
      </w:hyperlink>
      <w:r>
        <w:rPr>
          <w:rStyle w:val="Hyperlink"/>
          <w:color w:val="000000" w:themeColor="text1"/>
          <w:szCs w:val="18"/>
        </w:rPr>
        <w:t>.</w:t>
      </w:r>
    </w:p>
  </w:footnote>
  <w:footnote w:id="75">
    <w:p w14:paraId="39E3D5EE" w14:textId="17A32503" w:rsidR="00E2084A" w:rsidRPr="005F1802" w:rsidRDefault="00E2084A" w:rsidP="00E2084A">
      <w:pPr>
        <w:pStyle w:val="FootnoteText"/>
        <w:rPr>
          <w:rStyle w:val="FootnoteTextChar"/>
          <w:color w:val="000000" w:themeColor="text1"/>
          <w:sz w:val="20"/>
        </w:rPr>
      </w:pPr>
      <w:r>
        <w:rPr>
          <w:szCs w:val="18"/>
        </w:rPr>
        <w:tab/>
      </w:r>
      <w:r w:rsidRPr="00E2084A">
        <w:rPr>
          <w:rStyle w:val="FootnoteReference"/>
          <w:color w:val="000000" w:themeColor="text1"/>
          <w:szCs w:val="18"/>
        </w:rPr>
        <w:footnoteRef/>
      </w:r>
      <w:r>
        <w:rPr>
          <w:szCs w:val="18"/>
        </w:rPr>
        <w:tab/>
      </w:r>
      <w:r w:rsidRPr="00E2084A">
        <w:rPr>
          <w:szCs w:val="18"/>
        </w:rPr>
        <w:t>Submission from Patricia Madrigal Cordero.</w:t>
      </w:r>
    </w:p>
  </w:footnote>
  <w:footnote w:id="76">
    <w:p w14:paraId="4072E006" w14:textId="26F83BF7" w:rsidR="000E0DAE" w:rsidRPr="00A94A72" w:rsidRDefault="00A94A72" w:rsidP="00A94A72">
      <w:pPr>
        <w:pStyle w:val="FootnoteText"/>
        <w:rPr>
          <w:szCs w:val="18"/>
        </w:rPr>
      </w:pPr>
      <w:r>
        <w:rPr>
          <w:szCs w:val="18"/>
        </w:rPr>
        <w:tab/>
      </w:r>
      <w:r w:rsidR="000E0DAE" w:rsidRPr="00A94A72">
        <w:rPr>
          <w:rStyle w:val="FootnoteReference"/>
          <w:color w:val="000000" w:themeColor="text1"/>
          <w:szCs w:val="18"/>
        </w:rPr>
        <w:footnoteRef/>
      </w:r>
      <w:r>
        <w:rPr>
          <w:szCs w:val="18"/>
        </w:rPr>
        <w:tab/>
      </w:r>
      <w:proofErr w:type="spellStart"/>
      <w:r w:rsidR="000E0DAE" w:rsidRPr="00A94A72">
        <w:rPr>
          <w:szCs w:val="18"/>
        </w:rPr>
        <w:t>Milieudefensie</w:t>
      </w:r>
      <w:proofErr w:type="spellEnd"/>
      <w:r w:rsidR="000E0DAE" w:rsidRPr="00A94A72">
        <w:rPr>
          <w:szCs w:val="18"/>
        </w:rPr>
        <w:t xml:space="preserve"> et al. v. Royal Dutch Shell</w:t>
      </w:r>
      <w:r>
        <w:rPr>
          <w:szCs w:val="18"/>
        </w:rPr>
        <w:t>.</w:t>
      </w:r>
    </w:p>
  </w:footnote>
  <w:footnote w:id="77">
    <w:p w14:paraId="12091C47" w14:textId="4964A25C" w:rsidR="000E0DAE" w:rsidRPr="00A94A72" w:rsidRDefault="00A94A72" w:rsidP="00A94A72">
      <w:pPr>
        <w:pStyle w:val="FootnoteText"/>
        <w:rPr>
          <w:szCs w:val="18"/>
        </w:rPr>
      </w:pPr>
      <w:r>
        <w:rPr>
          <w:szCs w:val="18"/>
        </w:rPr>
        <w:tab/>
      </w:r>
      <w:r w:rsidR="000E0DAE" w:rsidRPr="00A94A72">
        <w:rPr>
          <w:rStyle w:val="FootnoteReference"/>
          <w:color w:val="000000" w:themeColor="text1"/>
          <w:szCs w:val="18"/>
        </w:rPr>
        <w:footnoteRef/>
      </w:r>
      <w:r>
        <w:rPr>
          <w:szCs w:val="18"/>
        </w:rPr>
        <w:tab/>
      </w:r>
      <w:proofErr w:type="spellStart"/>
      <w:r w:rsidR="000E0DAE" w:rsidRPr="00A94A72">
        <w:rPr>
          <w:i/>
          <w:iCs/>
          <w:szCs w:val="18"/>
        </w:rPr>
        <w:t>Milieudefensie</w:t>
      </w:r>
      <w:proofErr w:type="spellEnd"/>
      <w:r w:rsidR="000E0DAE" w:rsidRPr="00A94A72">
        <w:rPr>
          <w:i/>
          <w:iCs/>
          <w:szCs w:val="18"/>
        </w:rPr>
        <w:t xml:space="preserve"> et al v Royal Dutch Shell PLC</w:t>
      </w:r>
      <w:r w:rsidR="000E0DAE" w:rsidRPr="00A94A72">
        <w:rPr>
          <w:szCs w:val="18"/>
        </w:rPr>
        <w:t xml:space="preserve">, ECLI-NL-RBDHA-2021-5339, </w:t>
      </w:r>
      <w:proofErr w:type="spellStart"/>
      <w:r w:rsidR="000E0DAE" w:rsidRPr="00A94A72">
        <w:rPr>
          <w:szCs w:val="18"/>
        </w:rPr>
        <w:t>Rechtbank</w:t>
      </w:r>
      <w:proofErr w:type="spellEnd"/>
      <w:r w:rsidR="000E0DAE" w:rsidRPr="00A94A72">
        <w:rPr>
          <w:szCs w:val="18"/>
        </w:rPr>
        <w:t xml:space="preserve"> Den Haag, C-09-571932 - HA ZA 19-379</w:t>
      </w:r>
      <w:r>
        <w:rPr>
          <w:szCs w:val="18"/>
        </w:rPr>
        <w:t>.</w:t>
      </w:r>
    </w:p>
  </w:footnote>
  <w:footnote w:id="78">
    <w:p w14:paraId="028E77F5" w14:textId="06752DF6" w:rsidR="000E0DAE" w:rsidRPr="00A94A72" w:rsidRDefault="00A94A72" w:rsidP="00A94A72">
      <w:pPr>
        <w:pStyle w:val="FootnoteText"/>
        <w:rPr>
          <w:szCs w:val="18"/>
        </w:rPr>
      </w:pPr>
      <w:r>
        <w:rPr>
          <w:szCs w:val="18"/>
        </w:rPr>
        <w:tab/>
      </w:r>
      <w:r w:rsidR="000E0DAE" w:rsidRPr="00A94A72">
        <w:rPr>
          <w:rStyle w:val="FootnoteReference"/>
          <w:color w:val="000000" w:themeColor="text1"/>
          <w:szCs w:val="18"/>
        </w:rPr>
        <w:footnoteRef/>
      </w:r>
      <w:r>
        <w:rPr>
          <w:szCs w:val="18"/>
        </w:rPr>
        <w:tab/>
      </w:r>
      <w:hyperlink r:id="rId5" w:history="1">
        <w:r w:rsidRPr="00F27255">
          <w:rPr>
            <w:rStyle w:val="Hyperlink"/>
            <w:szCs w:val="18"/>
          </w:rPr>
          <w:t>https://www.reuters.com/article/us-chile-codelco/chilean-environmental-court-approves-codelcos-salvador-water-overuse-remedy-plan-idUSKBN2941QB</w:t>
        </w:r>
      </w:hyperlink>
      <w:r>
        <w:rPr>
          <w:szCs w:val="18"/>
        </w:rPr>
        <w:t>.</w:t>
      </w:r>
    </w:p>
  </w:footnote>
  <w:footnote w:id="79">
    <w:p w14:paraId="2E9CB345" w14:textId="17CB9F6B" w:rsidR="000E0DAE" w:rsidRPr="00A94A72" w:rsidRDefault="00A94A72" w:rsidP="00A94A72">
      <w:pPr>
        <w:pStyle w:val="FootnoteText"/>
        <w:rPr>
          <w:szCs w:val="18"/>
        </w:rPr>
      </w:pPr>
      <w:r>
        <w:rPr>
          <w:szCs w:val="18"/>
        </w:rPr>
        <w:tab/>
      </w:r>
      <w:r w:rsidR="000E0DAE" w:rsidRPr="00A94A72">
        <w:rPr>
          <w:rStyle w:val="FootnoteReference"/>
          <w:color w:val="000000" w:themeColor="text1"/>
          <w:szCs w:val="18"/>
        </w:rPr>
        <w:footnoteRef/>
      </w:r>
      <w:r>
        <w:rPr>
          <w:szCs w:val="18"/>
        </w:rPr>
        <w:tab/>
      </w:r>
      <w:r w:rsidR="000E0DAE" w:rsidRPr="00A94A72">
        <w:rPr>
          <w:szCs w:val="18"/>
        </w:rPr>
        <w:t>Cases No. E.1544/2013 (</w:t>
      </w:r>
      <w:proofErr w:type="spellStart"/>
      <w:r w:rsidR="000E0DAE" w:rsidRPr="00A94A72">
        <w:rPr>
          <w:szCs w:val="18"/>
        </w:rPr>
        <w:t>Loei</w:t>
      </w:r>
      <w:proofErr w:type="spellEnd"/>
      <w:r w:rsidR="000E0DAE" w:rsidRPr="00A94A72">
        <w:rPr>
          <w:szCs w:val="18"/>
        </w:rPr>
        <w:t xml:space="preserve"> province), No. E. 9/2012 (Nong Bua </w:t>
      </w:r>
      <w:proofErr w:type="spellStart"/>
      <w:r w:rsidR="000E0DAE" w:rsidRPr="00A94A72">
        <w:rPr>
          <w:szCs w:val="18"/>
        </w:rPr>
        <w:t>Lamphu</w:t>
      </w:r>
      <w:proofErr w:type="spellEnd"/>
      <w:r w:rsidR="000E0DAE" w:rsidRPr="00A94A72">
        <w:rPr>
          <w:szCs w:val="18"/>
        </w:rPr>
        <w:t xml:space="preserve">), and No. 597/2008 (Thong </w:t>
      </w:r>
      <w:proofErr w:type="spellStart"/>
      <w:r w:rsidR="000E0DAE" w:rsidRPr="00A94A72">
        <w:rPr>
          <w:szCs w:val="18"/>
        </w:rPr>
        <w:t>Pha</w:t>
      </w:r>
      <w:proofErr w:type="spellEnd"/>
      <w:r w:rsidR="000E0DAE" w:rsidRPr="00A94A72">
        <w:rPr>
          <w:szCs w:val="18"/>
        </w:rPr>
        <w:t xml:space="preserve"> Phum District, Kanchanaburi Province). </w:t>
      </w:r>
    </w:p>
  </w:footnote>
  <w:footnote w:id="80">
    <w:p w14:paraId="4C961990" w14:textId="5881552B" w:rsidR="000E0DAE" w:rsidRPr="00A94A72" w:rsidRDefault="00A94A72" w:rsidP="00A94A72">
      <w:pPr>
        <w:pStyle w:val="FootnoteText"/>
        <w:rPr>
          <w:szCs w:val="18"/>
        </w:rPr>
      </w:pPr>
      <w:r>
        <w:rPr>
          <w:szCs w:val="18"/>
        </w:rPr>
        <w:tab/>
      </w:r>
      <w:r w:rsidR="000E0DAE" w:rsidRPr="00A94A72">
        <w:rPr>
          <w:rStyle w:val="FootnoteReference"/>
          <w:color w:val="000000" w:themeColor="text1"/>
          <w:szCs w:val="18"/>
        </w:rPr>
        <w:footnoteRef/>
      </w:r>
      <w:r>
        <w:rPr>
          <w:szCs w:val="18"/>
        </w:rPr>
        <w:tab/>
      </w:r>
      <w:r w:rsidR="000E0DAE" w:rsidRPr="00A94A72">
        <w:rPr>
          <w:szCs w:val="18"/>
        </w:rPr>
        <w:t>See https://globalhumanrights.org/stories/hope-in-action-taking-on-corporate-crimes-in-thailand/</w:t>
      </w:r>
      <w:r>
        <w:rPr>
          <w:szCs w:val="18"/>
        </w:rPr>
        <w:t>.</w:t>
      </w:r>
    </w:p>
  </w:footnote>
  <w:footnote w:id="81">
    <w:p w14:paraId="355F7C56" w14:textId="7AD655EC" w:rsidR="000E0DAE" w:rsidRPr="00A94A72" w:rsidRDefault="00A94A72" w:rsidP="00A94A72">
      <w:pPr>
        <w:pStyle w:val="FootnoteText"/>
        <w:rPr>
          <w:szCs w:val="18"/>
        </w:rPr>
      </w:pPr>
      <w:r>
        <w:rPr>
          <w:szCs w:val="18"/>
        </w:rPr>
        <w:tab/>
      </w:r>
      <w:r w:rsidR="000E0DAE" w:rsidRPr="00A94A72">
        <w:rPr>
          <w:rStyle w:val="FootnoteReference"/>
          <w:color w:val="000000" w:themeColor="text1"/>
          <w:szCs w:val="18"/>
        </w:rPr>
        <w:footnoteRef/>
      </w:r>
      <w:r>
        <w:rPr>
          <w:szCs w:val="18"/>
        </w:rPr>
        <w:tab/>
      </w:r>
      <w:r w:rsidR="000E0DAE" w:rsidRPr="00A94A72">
        <w:rPr>
          <w:szCs w:val="18"/>
        </w:rPr>
        <w:t>Youth Verdict v. Waratah Coal in Australia.</w:t>
      </w:r>
    </w:p>
  </w:footnote>
  <w:footnote w:id="82">
    <w:p w14:paraId="2B31AC9C" w14:textId="66A80D78" w:rsidR="000E0DAE" w:rsidRPr="00A94A72" w:rsidRDefault="00A94A72" w:rsidP="00A94A72">
      <w:pPr>
        <w:pStyle w:val="FootnoteText"/>
        <w:rPr>
          <w:szCs w:val="18"/>
        </w:rPr>
      </w:pPr>
      <w:r>
        <w:rPr>
          <w:szCs w:val="18"/>
        </w:rPr>
        <w:tab/>
      </w:r>
      <w:r w:rsidR="000E0DAE" w:rsidRPr="00A94A72">
        <w:rPr>
          <w:rStyle w:val="FootnoteReference"/>
          <w:color w:val="000000" w:themeColor="text1"/>
          <w:szCs w:val="18"/>
        </w:rPr>
        <w:footnoteRef/>
      </w:r>
      <w:r>
        <w:rPr>
          <w:szCs w:val="18"/>
        </w:rPr>
        <w:tab/>
      </w:r>
      <w:proofErr w:type="spellStart"/>
      <w:r w:rsidR="000E0DAE" w:rsidRPr="00A94A72">
        <w:rPr>
          <w:szCs w:val="18"/>
        </w:rPr>
        <w:t>Wayúu</w:t>
      </w:r>
      <w:proofErr w:type="spellEnd"/>
      <w:r w:rsidR="000E0DAE" w:rsidRPr="00A94A72">
        <w:rPr>
          <w:szCs w:val="18"/>
        </w:rPr>
        <w:t xml:space="preserve"> Indigenous Community v. Ministry of Environment in Colombia.</w:t>
      </w:r>
    </w:p>
  </w:footnote>
  <w:footnote w:id="83">
    <w:p w14:paraId="2BB7AD72" w14:textId="6ABD0822" w:rsidR="000E0DAE" w:rsidRPr="00A94A72" w:rsidRDefault="00A94A72" w:rsidP="00A94A72">
      <w:pPr>
        <w:pStyle w:val="FootnoteText"/>
        <w:rPr>
          <w:szCs w:val="18"/>
          <w:lang w:val="fr-FR"/>
        </w:rPr>
      </w:pPr>
      <w:r>
        <w:rPr>
          <w:szCs w:val="18"/>
        </w:rPr>
        <w:tab/>
      </w:r>
      <w:r w:rsidR="000E0DAE" w:rsidRPr="00A94A72">
        <w:rPr>
          <w:rStyle w:val="FootnoteReference"/>
          <w:color w:val="000000" w:themeColor="text1"/>
          <w:szCs w:val="18"/>
        </w:rPr>
        <w:footnoteRef/>
      </w:r>
      <w:r w:rsidRPr="00BB5159">
        <w:rPr>
          <w:szCs w:val="18"/>
          <w:lang w:val="fr-FR"/>
        </w:rPr>
        <w:tab/>
      </w:r>
      <w:proofErr w:type="spellStart"/>
      <w:r w:rsidR="000E0DAE" w:rsidRPr="00A94A72">
        <w:rPr>
          <w:kern w:val="2"/>
          <w:szCs w:val="18"/>
          <w:lang w:val="fr-FR"/>
          <w14:ligatures w14:val="standardContextual"/>
        </w:rPr>
        <w:t>Comissão</w:t>
      </w:r>
      <w:proofErr w:type="spellEnd"/>
      <w:r w:rsidR="000E0DAE" w:rsidRPr="00A94A72">
        <w:rPr>
          <w:kern w:val="2"/>
          <w:szCs w:val="18"/>
          <w:lang w:val="fr-FR"/>
          <w14:ligatures w14:val="standardContextual"/>
        </w:rPr>
        <w:t xml:space="preserve"> Pastoral da Terra and Notre Affaire à Tous v. BNP Paribas in France.</w:t>
      </w:r>
    </w:p>
  </w:footnote>
  <w:footnote w:id="84">
    <w:p w14:paraId="4085C0E9" w14:textId="1ED1C59D" w:rsidR="000E0DAE" w:rsidRPr="00A94A72" w:rsidRDefault="00BB5159" w:rsidP="00A94A72">
      <w:pPr>
        <w:pStyle w:val="FootnoteText"/>
        <w:rPr>
          <w:szCs w:val="18"/>
        </w:rPr>
      </w:pPr>
      <w:r>
        <w:rPr>
          <w:szCs w:val="18"/>
        </w:rPr>
        <w:tab/>
      </w:r>
      <w:r w:rsidR="000E0DAE" w:rsidRPr="00A94A72">
        <w:rPr>
          <w:rStyle w:val="FootnoteReference"/>
          <w:color w:val="000000" w:themeColor="text1"/>
          <w:szCs w:val="18"/>
        </w:rPr>
        <w:footnoteRef/>
      </w:r>
      <w:r>
        <w:rPr>
          <w:szCs w:val="18"/>
        </w:rPr>
        <w:tab/>
      </w:r>
      <w:r w:rsidR="000E0DAE" w:rsidRPr="00A94A72">
        <w:rPr>
          <w:szCs w:val="18"/>
        </w:rPr>
        <w:t>Supreme Court (2019) (7.2.5.)</w:t>
      </w:r>
      <w:r>
        <w:rPr>
          <w:szCs w:val="18"/>
        </w:rPr>
        <w:t>.</w:t>
      </w:r>
    </w:p>
  </w:footnote>
  <w:footnote w:id="85">
    <w:p w14:paraId="664683F5" w14:textId="1EC354AF" w:rsidR="000E0DAE" w:rsidRPr="00A94A72" w:rsidRDefault="00BB5159" w:rsidP="00A94A72">
      <w:pPr>
        <w:pStyle w:val="FootnoteText"/>
        <w:rPr>
          <w:szCs w:val="18"/>
        </w:rPr>
      </w:pPr>
      <w:r>
        <w:rPr>
          <w:szCs w:val="18"/>
        </w:rPr>
        <w:tab/>
      </w:r>
      <w:r w:rsidR="000E0DAE" w:rsidRPr="00A94A72">
        <w:rPr>
          <w:rStyle w:val="FootnoteReference"/>
          <w:color w:val="000000" w:themeColor="text1"/>
          <w:szCs w:val="18"/>
        </w:rPr>
        <w:footnoteRef/>
      </w:r>
      <w:r>
        <w:rPr>
          <w:szCs w:val="18"/>
        </w:rPr>
        <w:tab/>
      </w:r>
      <w:r w:rsidR="000E0DAE" w:rsidRPr="00A94A72">
        <w:rPr>
          <w:i/>
          <w:iCs/>
          <w:szCs w:val="18"/>
        </w:rPr>
        <w:t>In the matter of Hawai’i Electric Light Company</w:t>
      </w:r>
      <w:r w:rsidR="000E0DAE" w:rsidRPr="00A94A72">
        <w:rPr>
          <w:szCs w:val="18"/>
        </w:rPr>
        <w:t>, 2023, SCOT—22—0000418, Supreme Court of Hawai’i, 13 March 2023.</w:t>
      </w:r>
    </w:p>
  </w:footnote>
  <w:footnote w:id="86">
    <w:p w14:paraId="3A413BA0" w14:textId="53EB8629" w:rsidR="000E0DAE" w:rsidRPr="00A94A72" w:rsidRDefault="00BB5159" w:rsidP="00A94A72">
      <w:pPr>
        <w:pStyle w:val="FootnoteText"/>
        <w:rPr>
          <w:szCs w:val="18"/>
          <w:lang w:val="en-CA"/>
        </w:rPr>
      </w:pPr>
      <w:r>
        <w:rPr>
          <w:szCs w:val="18"/>
        </w:rPr>
        <w:tab/>
      </w:r>
      <w:r w:rsidR="000E0DAE" w:rsidRPr="00A94A72">
        <w:rPr>
          <w:rStyle w:val="FootnoteReference"/>
          <w:color w:val="000000" w:themeColor="text1"/>
          <w:szCs w:val="18"/>
        </w:rPr>
        <w:footnoteRef/>
      </w:r>
      <w:r>
        <w:rPr>
          <w:szCs w:val="18"/>
        </w:rPr>
        <w:tab/>
      </w:r>
      <w:r w:rsidR="000E0DAE" w:rsidRPr="00A94A72">
        <w:rPr>
          <w:szCs w:val="18"/>
        </w:rPr>
        <w:t xml:space="preserve">Hans Nicholas Jong, “Indonesia’s </w:t>
      </w:r>
      <w:proofErr w:type="spellStart"/>
      <w:r w:rsidR="000E0DAE" w:rsidRPr="00A94A72">
        <w:rPr>
          <w:szCs w:val="18"/>
        </w:rPr>
        <w:t>Sangihe</w:t>
      </w:r>
      <w:proofErr w:type="spellEnd"/>
      <w:r w:rsidR="000E0DAE" w:rsidRPr="00A94A72">
        <w:rPr>
          <w:szCs w:val="18"/>
        </w:rPr>
        <w:t xml:space="preserve"> islanders score legal victory over mining company”, </w:t>
      </w:r>
      <w:r w:rsidR="000E0DAE" w:rsidRPr="00A94A72">
        <w:rPr>
          <w:i/>
          <w:iCs/>
          <w:szCs w:val="18"/>
        </w:rPr>
        <w:t>Mongabay</w:t>
      </w:r>
      <w:r w:rsidR="000E0DAE" w:rsidRPr="00A94A72">
        <w:rPr>
          <w:szCs w:val="18"/>
        </w:rPr>
        <w:t>, June 20, 2022.</w:t>
      </w:r>
    </w:p>
  </w:footnote>
  <w:footnote w:id="87">
    <w:p w14:paraId="739938FF" w14:textId="159DECD5" w:rsidR="000E0DAE" w:rsidRPr="00A94A72" w:rsidRDefault="00BB5159" w:rsidP="00A94A72">
      <w:pPr>
        <w:pStyle w:val="FootnoteText"/>
        <w:rPr>
          <w:szCs w:val="18"/>
        </w:rPr>
      </w:pPr>
      <w:r>
        <w:rPr>
          <w:szCs w:val="18"/>
        </w:rPr>
        <w:tab/>
      </w:r>
      <w:r w:rsidR="000E0DAE" w:rsidRPr="00A94A72">
        <w:rPr>
          <w:rStyle w:val="FootnoteReference"/>
          <w:color w:val="000000" w:themeColor="text1"/>
          <w:szCs w:val="18"/>
        </w:rPr>
        <w:footnoteRef/>
      </w:r>
      <w:r>
        <w:rPr>
          <w:szCs w:val="18"/>
        </w:rPr>
        <w:tab/>
      </w:r>
      <w:r w:rsidR="000E0DAE" w:rsidRPr="00A94A72">
        <w:rPr>
          <w:szCs w:val="18"/>
        </w:rPr>
        <w:t>A/78/255.</w:t>
      </w:r>
    </w:p>
  </w:footnote>
  <w:footnote w:id="88">
    <w:p w14:paraId="582C809A" w14:textId="0593A573" w:rsidR="000E0DAE" w:rsidRPr="00A94A72" w:rsidRDefault="00BB5159" w:rsidP="00A94A72">
      <w:pPr>
        <w:pStyle w:val="FootnoteText"/>
        <w:rPr>
          <w:szCs w:val="18"/>
        </w:rPr>
      </w:pPr>
      <w:r>
        <w:rPr>
          <w:szCs w:val="18"/>
        </w:rPr>
        <w:tab/>
      </w:r>
      <w:r w:rsidR="000E0DAE" w:rsidRPr="00A94A72">
        <w:rPr>
          <w:rStyle w:val="FootnoteReference"/>
          <w:color w:val="000000" w:themeColor="text1"/>
          <w:szCs w:val="18"/>
        </w:rPr>
        <w:footnoteRef/>
      </w:r>
      <w:r>
        <w:rPr>
          <w:szCs w:val="18"/>
        </w:rPr>
        <w:tab/>
      </w:r>
      <w:r w:rsidR="000E0DAE" w:rsidRPr="00A94A72">
        <w:rPr>
          <w:szCs w:val="18"/>
        </w:rPr>
        <w:t>See www.lse.ac.uk/granthaminstitute/publication/global-trends-in-climate-change-litigation- 2023-snapshot/</w:t>
      </w:r>
      <w:r>
        <w:rPr>
          <w:szCs w:val="18"/>
        </w:rPr>
        <w:t>.</w:t>
      </w:r>
    </w:p>
  </w:footnote>
  <w:footnote w:id="89">
    <w:p w14:paraId="3E4E786D" w14:textId="6A80EE60" w:rsidR="000E0DAE" w:rsidRPr="00A94A72" w:rsidRDefault="00BB5159" w:rsidP="00A94A72">
      <w:pPr>
        <w:pStyle w:val="FootnoteText"/>
        <w:rPr>
          <w:szCs w:val="18"/>
        </w:rPr>
      </w:pPr>
      <w:r>
        <w:rPr>
          <w:szCs w:val="18"/>
        </w:rPr>
        <w:tab/>
      </w:r>
      <w:r w:rsidR="000E0DAE" w:rsidRPr="00A94A72">
        <w:rPr>
          <w:rStyle w:val="FootnoteReference"/>
          <w:color w:val="000000" w:themeColor="text1"/>
          <w:szCs w:val="18"/>
        </w:rPr>
        <w:footnoteRef/>
      </w:r>
      <w:r>
        <w:rPr>
          <w:szCs w:val="18"/>
        </w:rPr>
        <w:tab/>
      </w:r>
      <w:proofErr w:type="spellStart"/>
      <w:r w:rsidR="000E0DAE" w:rsidRPr="00A94A72">
        <w:rPr>
          <w:szCs w:val="18"/>
        </w:rPr>
        <w:t>PubAffairs</w:t>
      </w:r>
      <w:proofErr w:type="spellEnd"/>
      <w:r w:rsidR="000E0DAE" w:rsidRPr="00A94A72">
        <w:rPr>
          <w:szCs w:val="18"/>
        </w:rPr>
        <w:t xml:space="preserve"> </w:t>
      </w:r>
      <w:proofErr w:type="spellStart"/>
      <w:r w:rsidR="000E0DAE" w:rsidRPr="00A94A72">
        <w:rPr>
          <w:szCs w:val="18"/>
        </w:rPr>
        <w:t>Bruxelles</w:t>
      </w:r>
      <w:proofErr w:type="spellEnd"/>
      <w:r w:rsidR="000E0DAE" w:rsidRPr="00A94A72">
        <w:rPr>
          <w:szCs w:val="18"/>
        </w:rPr>
        <w:t xml:space="preserve">, “Screening of websites for ‘greenwashing’: half of green claims lack evidence”, 28 January 2021. Available at www.pubaffairsbruxelles.eu/eu-institution-news/ screening-of-websites-for-greenwashing-half-of-green-claims-lack-evidence/. </w:t>
      </w:r>
    </w:p>
  </w:footnote>
  <w:footnote w:id="90">
    <w:p w14:paraId="636EB753" w14:textId="7480FADB" w:rsidR="000E0DAE" w:rsidRPr="00A94A72" w:rsidRDefault="00BB5159" w:rsidP="00A94A72">
      <w:pPr>
        <w:pStyle w:val="FootnoteText"/>
        <w:rPr>
          <w:szCs w:val="18"/>
        </w:rPr>
      </w:pPr>
      <w:r>
        <w:rPr>
          <w:szCs w:val="18"/>
        </w:rPr>
        <w:tab/>
      </w:r>
      <w:r w:rsidR="000E0DAE" w:rsidRPr="00A94A72">
        <w:rPr>
          <w:rStyle w:val="FootnoteReference"/>
          <w:color w:val="000000" w:themeColor="text1"/>
          <w:szCs w:val="18"/>
        </w:rPr>
        <w:footnoteRef/>
      </w:r>
      <w:r>
        <w:rPr>
          <w:szCs w:val="18"/>
        </w:rPr>
        <w:tab/>
      </w:r>
      <w:hyperlink r:id="rId6" w:history="1">
        <w:r w:rsidRPr="00F27255">
          <w:rPr>
            <w:rStyle w:val="Hyperlink"/>
            <w:szCs w:val="18"/>
          </w:rPr>
          <w:t>https://www.theguardian.com/media/2023/nov/22/toyota-suv-adverts-banned-in-uk-on-environmental-grounds</w:t>
        </w:r>
      </w:hyperlink>
      <w:r>
        <w:rPr>
          <w:rStyle w:val="Hyperlink"/>
          <w:color w:val="000000" w:themeColor="text1"/>
          <w:szCs w:val="18"/>
        </w:rPr>
        <w:t>.</w:t>
      </w:r>
    </w:p>
  </w:footnote>
  <w:footnote w:id="91">
    <w:p w14:paraId="297BE12B" w14:textId="1E457A31" w:rsidR="000E0DAE" w:rsidRPr="00A94A72" w:rsidRDefault="00BB5159" w:rsidP="00A94A72">
      <w:pPr>
        <w:pStyle w:val="FootnoteText"/>
        <w:rPr>
          <w:szCs w:val="18"/>
          <w:lang w:val="en-CA"/>
        </w:rPr>
      </w:pPr>
      <w:r>
        <w:rPr>
          <w:szCs w:val="18"/>
          <w:lang w:val="en-GB"/>
        </w:rPr>
        <w:tab/>
      </w:r>
      <w:r w:rsidR="000E0DAE" w:rsidRPr="00A94A72">
        <w:rPr>
          <w:rStyle w:val="FootnoteReference"/>
          <w:color w:val="000000" w:themeColor="text1"/>
          <w:szCs w:val="18"/>
        </w:rPr>
        <w:footnoteRef/>
      </w:r>
      <w:r>
        <w:rPr>
          <w:szCs w:val="18"/>
          <w:lang w:val="en-GB"/>
        </w:rPr>
        <w:tab/>
      </w:r>
      <w:proofErr w:type="gramStart"/>
      <w:r w:rsidR="000E0DAE" w:rsidRPr="00A94A72">
        <w:rPr>
          <w:szCs w:val="18"/>
          <w:lang w:val="en-GB"/>
        </w:rPr>
        <w:t>https://earthrights.org/case/barrick/ ;</w:t>
      </w:r>
      <w:proofErr w:type="gramEnd"/>
      <w:r w:rsidR="000E0DAE" w:rsidRPr="00A94A72">
        <w:rPr>
          <w:szCs w:val="18"/>
          <w:lang w:val="en-GB"/>
        </w:rPr>
        <w:t xml:space="preserve"> and Kelsey </w:t>
      </w:r>
      <w:proofErr w:type="spellStart"/>
      <w:r w:rsidR="000E0DAE" w:rsidRPr="00A94A72">
        <w:rPr>
          <w:szCs w:val="18"/>
          <w:lang w:val="en-GB"/>
        </w:rPr>
        <w:t>Jost-Creegan</w:t>
      </w:r>
      <w:proofErr w:type="spellEnd"/>
      <w:r w:rsidR="000E0DAE" w:rsidRPr="00A94A72">
        <w:rPr>
          <w:szCs w:val="18"/>
          <w:lang w:val="en-GB"/>
        </w:rPr>
        <w:t xml:space="preserve">, “Women earth rights defenders: defying earth rights abuses and patriarchy”, </w:t>
      </w:r>
      <w:proofErr w:type="spellStart"/>
      <w:r w:rsidR="000E0DAE" w:rsidRPr="00A94A72">
        <w:rPr>
          <w:szCs w:val="18"/>
          <w:lang w:val="en-GB"/>
        </w:rPr>
        <w:t>EarthRights</w:t>
      </w:r>
      <w:proofErr w:type="spellEnd"/>
      <w:r w:rsidR="000E0DAE" w:rsidRPr="00A94A72">
        <w:rPr>
          <w:szCs w:val="18"/>
          <w:lang w:val="en-GB"/>
        </w:rPr>
        <w:t xml:space="preserve"> International, November 29, 2017. </w:t>
      </w:r>
    </w:p>
  </w:footnote>
  <w:footnote w:id="92">
    <w:p w14:paraId="57887770" w14:textId="41409738" w:rsidR="00A94A72" w:rsidRPr="00A94A72" w:rsidRDefault="00BB5159" w:rsidP="00A94A72">
      <w:pPr>
        <w:pStyle w:val="FootnoteText"/>
        <w:rPr>
          <w:szCs w:val="18"/>
        </w:rPr>
      </w:pPr>
      <w:r>
        <w:rPr>
          <w:szCs w:val="18"/>
        </w:rPr>
        <w:tab/>
      </w:r>
      <w:r w:rsidR="00A94A72" w:rsidRPr="00A94A72">
        <w:rPr>
          <w:rStyle w:val="FootnoteReference"/>
          <w:color w:val="000000" w:themeColor="text1"/>
          <w:szCs w:val="18"/>
        </w:rPr>
        <w:footnoteRef/>
      </w:r>
      <w:r>
        <w:rPr>
          <w:szCs w:val="18"/>
        </w:rPr>
        <w:tab/>
      </w:r>
      <w:hyperlink r:id="rId7" w:history="1">
        <w:r w:rsidRPr="00F27255">
          <w:rPr>
            <w:rStyle w:val="Hyperlink"/>
            <w:szCs w:val="18"/>
          </w:rPr>
          <w:t>https://weall.org/wego</w:t>
        </w:r>
      </w:hyperlink>
      <w:r>
        <w:rPr>
          <w:rStyle w:val="Hyperlink"/>
          <w:color w:val="000000" w:themeColor="text1"/>
          <w:szCs w:val="18"/>
        </w:rPr>
        <w:t>.</w:t>
      </w:r>
    </w:p>
  </w:footnote>
  <w:footnote w:id="93">
    <w:p w14:paraId="295AEF83" w14:textId="5C1524BC" w:rsidR="00A94A72" w:rsidRPr="00A94A72" w:rsidRDefault="00BB5159" w:rsidP="00A94A72">
      <w:pPr>
        <w:pStyle w:val="FootnoteText"/>
        <w:rPr>
          <w:szCs w:val="18"/>
        </w:rPr>
      </w:pPr>
      <w:r>
        <w:rPr>
          <w:szCs w:val="18"/>
        </w:rPr>
        <w:tab/>
      </w:r>
      <w:r w:rsidR="00A94A72" w:rsidRPr="00A94A72">
        <w:rPr>
          <w:rStyle w:val="FootnoteReference"/>
          <w:color w:val="000000" w:themeColor="text1"/>
          <w:szCs w:val="18"/>
        </w:rPr>
        <w:footnoteRef/>
      </w:r>
      <w:r>
        <w:rPr>
          <w:szCs w:val="18"/>
        </w:rPr>
        <w:tab/>
      </w:r>
      <w:hyperlink r:id="rId8" w:history="1">
        <w:r w:rsidRPr="00F27255">
          <w:rPr>
            <w:rStyle w:val="Hyperlink"/>
            <w:szCs w:val="18"/>
          </w:rPr>
          <w:t>https://weall.org/case-studies#Wellbeing+Business</w:t>
        </w:r>
      </w:hyperlink>
      <w:r>
        <w:rPr>
          <w:szCs w:val="18"/>
        </w:rPr>
        <w:t>.</w:t>
      </w:r>
    </w:p>
  </w:footnote>
  <w:footnote w:id="94">
    <w:p w14:paraId="20A336AE" w14:textId="4024B756" w:rsidR="00A94A72" w:rsidRPr="00A94A72" w:rsidRDefault="00BB5159" w:rsidP="00A94A72">
      <w:pPr>
        <w:pStyle w:val="FootnoteText"/>
        <w:rPr>
          <w:szCs w:val="18"/>
        </w:rPr>
      </w:pPr>
      <w:r>
        <w:rPr>
          <w:szCs w:val="18"/>
        </w:rPr>
        <w:tab/>
      </w:r>
      <w:r w:rsidR="00A94A72" w:rsidRPr="00A94A72">
        <w:rPr>
          <w:rStyle w:val="FootnoteReference"/>
          <w:color w:val="000000" w:themeColor="text1"/>
          <w:szCs w:val="18"/>
        </w:rPr>
        <w:footnoteRef/>
      </w:r>
      <w:r>
        <w:rPr>
          <w:szCs w:val="18"/>
        </w:rPr>
        <w:tab/>
      </w:r>
      <w:r w:rsidR="00A94A72" w:rsidRPr="00A94A72">
        <w:rPr>
          <w:noProof/>
          <w:szCs w:val="18"/>
        </w:rPr>
        <w:t>Beyond Growth: Towards a New Economic Approach.</w:t>
      </w:r>
    </w:p>
  </w:footnote>
  <w:footnote w:id="95">
    <w:p w14:paraId="30756CA1" w14:textId="6BC9C73C" w:rsidR="00A94A72" w:rsidRPr="00A94A72" w:rsidRDefault="00BB5159" w:rsidP="00A94A72">
      <w:pPr>
        <w:pStyle w:val="FootnoteText"/>
        <w:rPr>
          <w:szCs w:val="18"/>
        </w:rPr>
      </w:pPr>
      <w:r>
        <w:rPr>
          <w:szCs w:val="18"/>
        </w:rPr>
        <w:tab/>
      </w:r>
      <w:r w:rsidR="00A94A72" w:rsidRPr="00A94A72">
        <w:rPr>
          <w:rStyle w:val="FootnoteReference"/>
          <w:color w:val="000000" w:themeColor="text1"/>
          <w:szCs w:val="18"/>
        </w:rPr>
        <w:footnoteRef/>
      </w:r>
      <w:r>
        <w:rPr>
          <w:szCs w:val="18"/>
        </w:rPr>
        <w:tab/>
      </w:r>
      <w:r w:rsidR="00A94A72" w:rsidRPr="00A94A72">
        <w:rPr>
          <w:szCs w:val="18"/>
        </w:rPr>
        <w:t>https://www.sei.org/perspectives/consumption-emissions-eu-climate-policy/#:~:text=The%20eighth%20Environmental%20Action%20Plan,in%20the%20Union%20has%20been</w:t>
      </w:r>
      <w:r>
        <w:rPr>
          <w:szCs w:val="18"/>
        </w:rPr>
        <w:t>.</w:t>
      </w:r>
    </w:p>
  </w:footnote>
  <w:footnote w:id="96">
    <w:p w14:paraId="23D537E7" w14:textId="187719D5" w:rsidR="00A94A72" w:rsidRPr="00A94A72" w:rsidRDefault="00B53921" w:rsidP="00A94A72">
      <w:pPr>
        <w:pStyle w:val="FootnoteText"/>
        <w:rPr>
          <w:szCs w:val="18"/>
        </w:rPr>
      </w:pPr>
      <w:r>
        <w:rPr>
          <w:szCs w:val="18"/>
        </w:rPr>
        <w:tab/>
      </w:r>
      <w:r w:rsidR="00A94A72" w:rsidRPr="00A94A72">
        <w:rPr>
          <w:rStyle w:val="FootnoteReference"/>
          <w:color w:val="000000" w:themeColor="text1"/>
          <w:szCs w:val="18"/>
        </w:rPr>
        <w:footnoteRef/>
      </w:r>
      <w:r>
        <w:rPr>
          <w:szCs w:val="18"/>
        </w:rPr>
        <w:tab/>
      </w:r>
      <w:proofErr w:type="spellStart"/>
      <w:r w:rsidR="00A94A72" w:rsidRPr="00A94A72">
        <w:rPr>
          <w:szCs w:val="18"/>
        </w:rPr>
        <w:t>Bocken</w:t>
      </w:r>
      <w:proofErr w:type="spellEnd"/>
      <w:r w:rsidR="00A94A72" w:rsidRPr="00A94A72">
        <w:rPr>
          <w:szCs w:val="18"/>
        </w:rPr>
        <w:t>, 2022, Sufficiency Based Circular Economy, 13.</w:t>
      </w:r>
    </w:p>
  </w:footnote>
  <w:footnote w:id="97">
    <w:p w14:paraId="45CE6379" w14:textId="2B8509F5" w:rsidR="00A94A72" w:rsidRPr="00A94A72" w:rsidRDefault="00B53921" w:rsidP="00A94A72">
      <w:pPr>
        <w:pStyle w:val="FootnoteText"/>
        <w:rPr>
          <w:szCs w:val="18"/>
        </w:rPr>
      </w:pPr>
      <w:r>
        <w:rPr>
          <w:szCs w:val="18"/>
        </w:rPr>
        <w:tab/>
      </w:r>
      <w:r w:rsidR="00A94A72" w:rsidRPr="00A94A72">
        <w:rPr>
          <w:rStyle w:val="FootnoteReference"/>
          <w:color w:val="000000" w:themeColor="text1"/>
          <w:szCs w:val="18"/>
        </w:rPr>
        <w:footnoteRef/>
      </w:r>
      <w:r>
        <w:rPr>
          <w:szCs w:val="18"/>
        </w:rPr>
        <w:tab/>
      </w:r>
      <w:proofErr w:type="spellStart"/>
      <w:r w:rsidR="00A94A72" w:rsidRPr="00A94A72">
        <w:rPr>
          <w:szCs w:val="18"/>
        </w:rPr>
        <w:t>Maitre</w:t>
      </w:r>
      <w:proofErr w:type="spellEnd"/>
      <w:r w:rsidR="00A94A72" w:rsidRPr="00A94A72">
        <w:rPr>
          <w:szCs w:val="18"/>
        </w:rPr>
        <w:t xml:space="preserve">- </w:t>
      </w:r>
      <w:proofErr w:type="spellStart"/>
      <w:r w:rsidR="00A94A72" w:rsidRPr="00A94A72">
        <w:rPr>
          <w:szCs w:val="18"/>
        </w:rPr>
        <w:t>Ekern</w:t>
      </w:r>
      <w:proofErr w:type="spellEnd"/>
      <w:r w:rsidR="00A94A72" w:rsidRPr="00A94A72">
        <w:rPr>
          <w:szCs w:val="18"/>
        </w:rPr>
        <w:t xml:space="preserve"> 2021</w:t>
      </w:r>
      <w:r>
        <w:rPr>
          <w:szCs w:val="18"/>
        </w:rPr>
        <w:t>.</w:t>
      </w:r>
    </w:p>
  </w:footnote>
  <w:footnote w:id="98">
    <w:p w14:paraId="19CAE889" w14:textId="0F89635B" w:rsidR="00A94A72" w:rsidRPr="00A94A72" w:rsidRDefault="00B53921" w:rsidP="00A94A72">
      <w:pPr>
        <w:pStyle w:val="FootnoteText"/>
        <w:rPr>
          <w:szCs w:val="18"/>
          <w:lang w:val="en-CA"/>
        </w:rPr>
      </w:pPr>
      <w:r>
        <w:rPr>
          <w:szCs w:val="18"/>
        </w:rPr>
        <w:tab/>
      </w:r>
      <w:r w:rsidR="00A94A72" w:rsidRPr="00A94A72">
        <w:rPr>
          <w:rStyle w:val="FootnoteReference"/>
          <w:color w:val="000000" w:themeColor="text1"/>
          <w:szCs w:val="18"/>
        </w:rPr>
        <w:footnoteRef/>
      </w:r>
      <w:r>
        <w:rPr>
          <w:szCs w:val="18"/>
        </w:rPr>
        <w:tab/>
      </w:r>
      <w:r w:rsidR="00A94A72" w:rsidRPr="00A94A72">
        <w:rPr>
          <w:szCs w:val="18"/>
        </w:rPr>
        <w:t xml:space="preserve">OECD, 2023, </w:t>
      </w:r>
      <w:r w:rsidR="00A94A72" w:rsidRPr="00A94A72">
        <w:rPr>
          <w:szCs w:val="18"/>
          <w:shd w:val="clear" w:color="auto" w:fill="FFFFFF"/>
        </w:rPr>
        <w:t>Statutory Corporate Income Tax Rates.</w:t>
      </w:r>
    </w:p>
  </w:footnote>
  <w:footnote w:id="99">
    <w:p w14:paraId="18477F80" w14:textId="108FB722" w:rsidR="00A94A72" w:rsidRPr="00A94A72" w:rsidRDefault="00B53921" w:rsidP="00A94A72">
      <w:pPr>
        <w:pStyle w:val="FootnoteText"/>
        <w:rPr>
          <w:szCs w:val="18"/>
        </w:rPr>
      </w:pPr>
      <w:r>
        <w:rPr>
          <w:szCs w:val="18"/>
          <w:lang w:val="en-CA"/>
        </w:rPr>
        <w:tab/>
      </w:r>
      <w:r w:rsidR="00A94A72" w:rsidRPr="00A94A72">
        <w:rPr>
          <w:rStyle w:val="FootnoteReference"/>
          <w:color w:val="000000" w:themeColor="text1"/>
          <w:szCs w:val="18"/>
        </w:rPr>
        <w:footnoteRef/>
      </w:r>
      <w:r>
        <w:rPr>
          <w:szCs w:val="18"/>
          <w:lang w:val="en-CA"/>
        </w:rPr>
        <w:tab/>
      </w:r>
      <w:r w:rsidR="00A94A72" w:rsidRPr="00A94A72">
        <w:rPr>
          <w:szCs w:val="18"/>
        </w:rPr>
        <w:t>https://taxfoundation.org/data/all/global/corporate-tax-rates-by-country-2023/</w:t>
      </w:r>
      <w:r>
        <w:rPr>
          <w:szCs w:val="18"/>
        </w:rPr>
        <w:t>.</w:t>
      </w:r>
    </w:p>
  </w:footnote>
  <w:footnote w:id="100">
    <w:p w14:paraId="09F32007" w14:textId="37B5FA3D" w:rsidR="00A94A72" w:rsidRPr="00A94A72" w:rsidRDefault="00B53921" w:rsidP="00A94A72">
      <w:pPr>
        <w:pStyle w:val="FootnoteText"/>
        <w:rPr>
          <w:szCs w:val="18"/>
        </w:rPr>
      </w:pPr>
      <w:r>
        <w:rPr>
          <w:szCs w:val="18"/>
        </w:rPr>
        <w:tab/>
      </w:r>
      <w:r w:rsidR="00A94A72" w:rsidRPr="00A94A72">
        <w:rPr>
          <w:rStyle w:val="FootnoteReference"/>
          <w:color w:val="000000" w:themeColor="text1"/>
          <w:szCs w:val="18"/>
        </w:rPr>
        <w:footnoteRef/>
      </w:r>
      <w:r>
        <w:rPr>
          <w:szCs w:val="18"/>
        </w:rPr>
        <w:tab/>
      </w:r>
      <w:r w:rsidR="00A94A72" w:rsidRPr="00A94A72">
        <w:rPr>
          <w:szCs w:val="18"/>
        </w:rPr>
        <w:t>https://taxfoundation.org/data/all/eu/net-wealth-tax-europe-2022/</w:t>
      </w:r>
      <w:r>
        <w:rPr>
          <w:szCs w:val="18"/>
        </w:rPr>
        <w:t>.</w:t>
      </w:r>
    </w:p>
  </w:footnote>
  <w:footnote w:id="101">
    <w:p w14:paraId="4F206DCE" w14:textId="1C653532" w:rsidR="00A94A72" w:rsidRPr="00A94A72" w:rsidRDefault="00BB5159" w:rsidP="00A94A72">
      <w:pPr>
        <w:pStyle w:val="FootnoteText"/>
        <w:rPr>
          <w:szCs w:val="18"/>
        </w:rPr>
      </w:pPr>
      <w:r>
        <w:rPr>
          <w:szCs w:val="18"/>
        </w:rPr>
        <w:tab/>
      </w:r>
      <w:r w:rsidR="00A94A72" w:rsidRPr="00A94A72">
        <w:rPr>
          <w:rStyle w:val="FootnoteReference"/>
          <w:color w:val="000000" w:themeColor="text1"/>
          <w:szCs w:val="18"/>
        </w:rPr>
        <w:footnoteRef/>
      </w:r>
      <w:r>
        <w:rPr>
          <w:szCs w:val="18"/>
        </w:rPr>
        <w:tab/>
      </w:r>
      <w:r w:rsidR="00A94A72" w:rsidRPr="00A94A72">
        <w:rPr>
          <w:szCs w:val="18"/>
        </w:rPr>
        <w:t>Select Luxury Items Tax Act, included in Bill C-19, Budget Implementation Act 2022,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DF449" w14:textId="045183DB" w:rsidR="00E1662D" w:rsidRPr="00950325" w:rsidRDefault="00E1662D" w:rsidP="00C9609B">
    <w:pPr>
      <w:pStyle w:val="Header"/>
    </w:pPr>
    <w:r>
      <w:t>Annex</w:t>
    </w:r>
    <w:r w:rsidR="0051770F">
      <w:t xml:space="preserve"> </w:t>
    </w:r>
    <w:r w:rsidR="008B33A2">
      <w:t>2</w:t>
    </w:r>
    <w:r>
      <w:t xml:space="preserve"> to </w:t>
    </w:r>
    <w:r w:rsidRPr="00D84DF4">
      <w:rPr>
        <w:rFonts w:asciiTheme="majorBidi" w:hAnsiTheme="majorBidi" w:cstheme="majorBidi"/>
        <w:lang w:val="en-CA"/>
      </w:rPr>
      <w:t>A/HRC/</w:t>
    </w:r>
    <w:r w:rsidR="00BB00E8">
      <w:rPr>
        <w:rFonts w:asciiTheme="majorBidi" w:hAnsiTheme="majorBidi" w:cstheme="majorBidi"/>
        <w:lang w:val="en-CA"/>
      </w:rPr>
      <w:t>55</w:t>
    </w:r>
    <w:r w:rsidRPr="00D84DF4">
      <w:rPr>
        <w:rFonts w:asciiTheme="majorBidi" w:hAnsiTheme="majorBidi" w:cstheme="majorBidi"/>
        <w:lang w:val="en-CA"/>
      </w:rPr>
      <w:t>/</w:t>
    </w:r>
    <w:r w:rsidR="00BB00E8">
      <w:rPr>
        <w:rFonts w:asciiTheme="majorBidi" w:hAnsiTheme="majorBidi" w:cstheme="majorBidi"/>
        <w:lang w:val="en-CA"/>
      </w:rPr>
      <w:t>43</w:t>
    </w:r>
  </w:p>
  <w:p w14:paraId="2C08E6BB" w14:textId="10273FA4" w:rsidR="00E1662D" w:rsidRPr="00C9609B" w:rsidRDefault="00E1662D" w:rsidP="00C960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35B4" w14:textId="7C88D72F" w:rsidR="00E1662D" w:rsidRPr="00950325" w:rsidRDefault="00540A03" w:rsidP="006A38E4">
    <w:pPr>
      <w:pStyle w:val="Header"/>
      <w:jc w:val="right"/>
    </w:pPr>
    <w:r>
      <w:fldChar w:fldCharType="begin"/>
    </w:r>
    <w:r>
      <w:instrText>TITLE  \* MERGEFORMAT</w:instrText>
    </w:r>
    <w:r>
      <w:fldChar w:fldCharType="separate"/>
    </w:r>
    <w:r w:rsidR="00E1662D">
      <w:t xml:space="preserve">Annex </w:t>
    </w:r>
    <w:r w:rsidR="008B33A2">
      <w:t>2</w:t>
    </w:r>
    <w:r w:rsidR="00BB00E8">
      <w:t xml:space="preserve"> </w:t>
    </w:r>
    <w:r w:rsidR="00E1662D">
      <w:t>to A/</w:t>
    </w:r>
    <w:r w:rsidR="00BB00E8">
      <w:t>HRC</w:t>
    </w:r>
    <w:r w:rsidR="00E1662D">
      <w:t>/</w:t>
    </w:r>
    <w:r w:rsidR="00BB00E8">
      <w:t>55</w:t>
    </w:r>
    <w:r w:rsidR="00E1662D">
      <w:t>/</w:t>
    </w:r>
    <w:r w:rsidR="00BB00E8">
      <w:t>43</w:t>
    </w:r>
    <w:r>
      <w:fldChar w:fldCharType="end"/>
    </w:r>
  </w:p>
  <w:p w14:paraId="76FF2894" w14:textId="592CAB48" w:rsidR="00E1662D" w:rsidRPr="006A38E4" w:rsidRDefault="00E1662D" w:rsidP="006A3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25FA8"/>
    <w:multiLevelType w:val="multilevel"/>
    <w:tmpl w:val="055A8B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F2036B"/>
    <w:multiLevelType w:val="hybridMultilevel"/>
    <w:tmpl w:val="B22E0BFA"/>
    <w:lvl w:ilvl="0" w:tplc="27FE8238">
      <w:start w:val="1"/>
      <w:numFmt w:val="bullet"/>
      <w:lvlText w:val="•"/>
      <w:lvlJc w:val="left"/>
      <w:pPr>
        <w:tabs>
          <w:tab w:val="num" w:pos="1701"/>
        </w:tabs>
        <w:ind w:left="1701" w:hanging="170"/>
      </w:pPr>
      <w:rPr>
        <w:rFonts w:ascii="Times New Roman" w:hAnsi="Times New Roman" w:cs="Times New Roman" w:hint="default"/>
      </w:rPr>
    </w:lvl>
    <w:lvl w:ilvl="1" w:tplc="44886F9A" w:tentative="1">
      <w:start w:val="1"/>
      <w:numFmt w:val="bullet"/>
      <w:lvlText w:val="o"/>
      <w:lvlJc w:val="left"/>
      <w:pPr>
        <w:tabs>
          <w:tab w:val="num" w:pos="1440"/>
        </w:tabs>
        <w:ind w:left="1440" w:hanging="360"/>
      </w:pPr>
      <w:rPr>
        <w:rFonts w:ascii="Courier New" w:hAnsi="Courier New" w:cs="Courier New" w:hint="default"/>
      </w:rPr>
    </w:lvl>
    <w:lvl w:ilvl="2" w:tplc="D270CA4E" w:tentative="1">
      <w:start w:val="1"/>
      <w:numFmt w:val="bullet"/>
      <w:lvlText w:val=""/>
      <w:lvlJc w:val="left"/>
      <w:pPr>
        <w:tabs>
          <w:tab w:val="num" w:pos="2160"/>
        </w:tabs>
        <w:ind w:left="2160" w:hanging="360"/>
      </w:pPr>
      <w:rPr>
        <w:rFonts w:ascii="Wingdings" w:hAnsi="Wingdings" w:hint="default"/>
      </w:rPr>
    </w:lvl>
    <w:lvl w:ilvl="3" w:tplc="CE7AAE58" w:tentative="1">
      <w:start w:val="1"/>
      <w:numFmt w:val="bullet"/>
      <w:lvlText w:val=""/>
      <w:lvlJc w:val="left"/>
      <w:pPr>
        <w:tabs>
          <w:tab w:val="num" w:pos="2880"/>
        </w:tabs>
        <w:ind w:left="2880" w:hanging="360"/>
      </w:pPr>
      <w:rPr>
        <w:rFonts w:ascii="Symbol" w:hAnsi="Symbol" w:hint="default"/>
      </w:rPr>
    </w:lvl>
    <w:lvl w:ilvl="4" w:tplc="E40C5600" w:tentative="1">
      <w:start w:val="1"/>
      <w:numFmt w:val="bullet"/>
      <w:lvlText w:val="o"/>
      <w:lvlJc w:val="left"/>
      <w:pPr>
        <w:tabs>
          <w:tab w:val="num" w:pos="3600"/>
        </w:tabs>
        <w:ind w:left="3600" w:hanging="360"/>
      </w:pPr>
      <w:rPr>
        <w:rFonts w:ascii="Courier New" w:hAnsi="Courier New" w:cs="Courier New" w:hint="default"/>
      </w:rPr>
    </w:lvl>
    <w:lvl w:ilvl="5" w:tplc="CC3CB9F0" w:tentative="1">
      <w:start w:val="1"/>
      <w:numFmt w:val="bullet"/>
      <w:lvlText w:val=""/>
      <w:lvlJc w:val="left"/>
      <w:pPr>
        <w:tabs>
          <w:tab w:val="num" w:pos="4320"/>
        </w:tabs>
        <w:ind w:left="4320" w:hanging="360"/>
      </w:pPr>
      <w:rPr>
        <w:rFonts w:ascii="Wingdings" w:hAnsi="Wingdings" w:hint="default"/>
      </w:rPr>
    </w:lvl>
    <w:lvl w:ilvl="6" w:tplc="9DAEC2E0" w:tentative="1">
      <w:start w:val="1"/>
      <w:numFmt w:val="bullet"/>
      <w:lvlText w:val=""/>
      <w:lvlJc w:val="left"/>
      <w:pPr>
        <w:tabs>
          <w:tab w:val="num" w:pos="5040"/>
        </w:tabs>
        <w:ind w:left="5040" w:hanging="360"/>
      </w:pPr>
      <w:rPr>
        <w:rFonts w:ascii="Symbol" w:hAnsi="Symbol" w:hint="default"/>
      </w:rPr>
    </w:lvl>
    <w:lvl w:ilvl="7" w:tplc="A64C3A82" w:tentative="1">
      <w:start w:val="1"/>
      <w:numFmt w:val="bullet"/>
      <w:lvlText w:val="o"/>
      <w:lvlJc w:val="left"/>
      <w:pPr>
        <w:tabs>
          <w:tab w:val="num" w:pos="5760"/>
        </w:tabs>
        <w:ind w:left="5760" w:hanging="360"/>
      </w:pPr>
      <w:rPr>
        <w:rFonts w:ascii="Courier New" w:hAnsi="Courier New" w:cs="Courier New" w:hint="default"/>
      </w:rPr>
    </w:lvl>
    <w:lvl w:ilvl="8" w:tplc="FF367A3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E39"/>
    <w:multiLevelType w:val="hybridMultilevel"/>
    <w:tmpl w:val="41106BC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F92ED9"/>
    <w:multiLevelType w:val="hybridMultilevel"/>
    <w:tmpl w:val="CF825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85E16"/>
    <w:multiLevelType w:val="hybridMultilevel"/>
    <w:tmpl w:val="9D740A2E"/>
    <w:lvl w:ilvl="0" w:tplc="D108BCB8">
      <w:start w:val="1"/>
      <w:numFmt w:val="decimal"/>
      <w:lvlText w:val="%1."/>
      <w:lvlJc w:val="left"/>
      <w:pPr>
        <w:ind w:left="2628" w:hanging="360"/>
      </w:pPr>
      <w:rPr>
        <w:b w:val="0"/>
        <w:sz w:val="24"/>
        <w:szCs w:val="24"/>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0">
    <w:nsid w:val="0D954887"/>
    <w:multiLevelType w:val="hybridMultilevel"/>
    <w:tmpl w:val="5A48E46A"/>
    <w:lvl w:ilvl="0" w:tplc="E9621AE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8544A6C" w:tentative="1">
      <w:start w:val="1"/>
      <w:numFmt w:val="lowerLetter"/>
      <w:lvlText w:val="%2."/>
      <w:lvlJc w:val="left"/>
      <w:pPr>
        <w:tabs>
          <w:tab w:val="num" w:pos="1440"/>
        </w:tabs>
        <w:ind w:left="1440" w:hanging="360"/>
      </w:pPr>
    </w:lvl>
    <w:lvl w:ilvl="2" w:tplc="7FD4867A" w:tentative="1">
      <w:start w:val="1"/>
      <w:numFmt w:val="lowerRoman"/>
      <w:lvlText w:val="%3."/>
      <w:lvlJc w:val="right"/>
      <w:pPr>
        <w:tabs>
          <w:tab w:val="num" w:pos="2160"/>
        </w:tabs>
        <w:ind w:left="2160" w:hanging="180"/>
      </w:pPr>
    </w:lvl>
    <w:lvl w:ilvl="3" w:tplc="93743E82" w:tentative="1">
      <w:start w:val="1"/>
      <w:numFmt w:val="decimal"/>
      <w:lvlText w:val="%4."/>
      <w:lvlJc w:val="left"/>
      <w:pPr>
        <w:tabs>
          <w:tab w:val="num" w:pos="2880"/>
        </w:tabs>
        <w:ind w:left="2880" w:hanging="360"/>
      </w:pPr>
    </w:lvl>
    <w:lvl w:ilvl="4" w:tplc="4B883084" w:tentative="1">
      <w:start w:val="1"/>
      <w:numFmt w:val="lowerLetter"/>
      <w:lvlText w:val="%5."/>
      <w:lvlJc w:val="left"/>
      <w:pPr>
        <w:tabs>
          <w:tab w:val="num" w:pos="3600"/>
        </w:tabs>
        <w:ind w:left="3600" w:hanging="360"/>
      </w:pPr>
    </w:lvl>
    <w:lvl w:ilvl="5" w:tplc="8DD460B0" w:tentative="1">
      <w:start w:val="1"/>
      <w:numFmt w:val="lowerRoman"/>
      <w:lvlText w:val="%6."/>
      <w:lvlJc w:val="right"/>
      <w:pPr>
        <w:tabs>
          <w:tab w:val="num" w:pos="4320"/>
        </w:tabs>
        <w:ind w:left="4320" w:hanging="180"/>
      </w:pPr>
    </w:lvl>
    <w:lvl w:ilvl="6" w:tplc="C1C4371A" w:tentative="1">
      <w:start w:val="1"/>
      <w:numFmt w:val="decimal"/>
      <w:lvlText w:val="%7."/>
      <w:lvlJc w:val="left"/>
      <w:pPr>
        <w:tabs>
          <w:tab w:val="num" w:pos="5040"/>
        </w:tabs>
        <w:ind w:left="5040" w:hanging="360"/>
      </w:pPr>
    </w:lvl>
    <w:lvl w:ilvl="7" w:tplc="2DC8D438" w:tentative="1">
      <w:start w:val="1"/>
      <w:numFmt w:val="lowerLetter"/>
      <w:lvlText w:val="%8."/>
      <w:lvlJc w:val="left"/>
      <w:pPr>
        <w:tabs>
          <w:tab w:val="num" w:pos="5760"/>
        </w:tabs>
        <w:ind w:left="5760" w:hanging="360"/>
      </w:pPr>
    </w:lvl>
    <w:lvl w:ilvl="8" w:tplc="00DAF13E" w:tentative="1">
      <w:start w:val="1"/>
      <w:numFmt w:val="lowerRoman"/>
      <w:lvlText w:val="%9."/>
      <w:lvlJc w:val="right"/>
      <w:pPr>
        <w:tabs>
          <w:tab w:val="num" w:pos="6480"/>
        </w:tabs>
        <w:ind w:left="6480" w:hanging="180"/>
      </w:pPr>
    </w:lvl>
  </w:abstractNum>
  <w:abstractNum w:abstractNumId="6" w15:restartNumberingAfterBreak="0">
    <w:nsid w:val="14023B94"/>
    <w:multiLevelType w:val="hybridMultilevel"/>
    <w:tmpl w:val="DF0A0B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93943"/>
    <w:multiLevelType w:val="hybridMultilevel"/>
    <w:tmpl w:val="CDFA9032"/>
    <w:lvl w:ilvl="0" w:tplc="62A6D6C4">
      <w:start w:val="1"/>
      <w:numFmt w:val="upperRoman"/>
      <w:lvlText w:val="%1."/>
      <w:lvlJc w:val="left"/>
      <w:pPr>
        <w:ind w:left="139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634223"/>
    <w:multiLevelType w:val="multilevel"/>
    <w:tmpl w:val="11068B8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20A050EF"/>
    <w:multiLevelType w:val="hybridMultilevel"/>
    <w:tmpl w:val="A76092B8"/>
    <w:lvl w:ilvl="0" w:tplc="A9246C84">
      <w:start w:val="1"/>
      <w:numFmt w:val="decimal"/>
      <w:lvlText w:val="%1."/>
      <w:lvlJc w:val="left"/>
      <w:pPr>
        <w:ind w:left="1620" w:hanging="360"/>
      </w:pPr>
      <w:rPr>
        <w:b w:val="0"/>
        <w:bCs/>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10" w15:restartNumberingAfterBreak="0">
    <w:nsid w:val="239308BD"/>
    <w:multiLevelType w:val="hybridMultilevel"/>
    <w:tmpl w:val="F2683010"/>
    <w:lvl w:ilvl="0" w:tplc="08090017">
      <w:start w:val="1"/>
      <w:numFmt w:val="lowerLetter"/>
      <w:lvlText w:val="%1)"/>
      <w:lvlJc w:val="left"/>
      <w:pPr>
        <w:ind w:left="1987" w:hanging="360"/>
      </w:pPr>
    </w:lvl>
    <w:lvl w:ilvl="1" w:tplc="08090019" w:tentative="1">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11" w15:restartNumberingAfterBreak="0">
    <w:nsid w:val="2AEC5B88"/>
    <w:multiLevelType w:val="hybridMultilevel"/>
    <w:tmpl w:val="66FC6A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7E7A6F"/>
    <w:multiLevelType w:val="hybridMultilevel"/>
    <w:tmpl w:val="87FE8E80"/>
    <w:lvl w:ilvl="0" w:tplc="57F24D26">
      <w:start w:val="1"/>
      <w:numFmt w:val="decimal"/>
      <w:lvlText w:val="%1."/>
      <w:lvlJc w:val="left"/>
      <w:pPr>
        <w:ind w:left="1494" w:hanging="360"/>
      </w:pPr>
      <w:rPr>
        <w:rFonts w:asciiTheme="majorBidi" w:hAnsiTheme="majorBidi" w:cstheme="majorBidi" w:hint="default"/>
        <w:sz w:val="16"/>
        <w:szCs w:val="16"/>
      </w:rPr>
    </w:lvl>
    <w:lvl w:ilvl="1" w:tplc="08090019" w:tentative="1">
      <w:start w:val="1"/>
      <w:numFmt w:val="lowerLetter"/>
      <w:lvlText w:val="%2."/>
      <w:lvlJc w:val="left"/>
      <w:pPr>
        <w:ind w:left="2213" w:hanging="360"/>
      </w:pPr>
    </w:lvl>
    <w:lvl w:ilvl="2" w:tplc="0809001B" w:tentative="1">
      <w:start w:val="1"/>
      <w:numFmt w:val="lowerRoman"/>
      <w:lvlText w:val="%3."/>
      <w:lvlJc w:val="right"/>
      <w:pPr>
        <w:ind w:left="2933" w:hanging="180"/>
      </w:pPr>
    </w:lvl>
    <w:lvl w:ilvl="3" w:tplc="0809000F" w:tentative="1">
      <w:start w:val="1"/>
      <w:numFmt w:val="decimal"/>
      <w:lvlText w:val="%4."/>
      <w:lvlJc w:val="left"/>
      <w:pPr>
        <w:ind w:left="3653" w:hanging="360"/>
      </w:pPr>
    </w:lvl>
    <w:lvl w:ilvl="4" w:tplc="08090019" w:tentative="1">
      <w:start w:val="1"/>
      <w:numFmt w:val="lowerLetter"/>
      <w:lvlText w:val="%5."/>
      <w:lvlJc w:val="left"/>
      <w:pPr>
        <w:ind w:left="4373" w:hanging="360"/>
      </w:pPr>
    </w:lvl>
    <w:lvl w:ilvl="5" w:tplc="0809001B" w:tentative="1">
      <w:start w:val="1"/>
      <w:numFmt w:val="lowerRoman"/>
      <w:lvlText w:val="%6."/>
      <w:lvlJc w:val="right"/>
      <w:pPr>
        <w:ind w:left="5093" w:hanging="180"/>
      </w:pPr>
    </w:lvl>
    <w:lvl w:ilvl="6" w:tplc="0809000F" w:tentative="1">
      <w:start w:val="1"/>
      <w:numFmt w:val="decimal"/>
      <w:lvlText w:val="%7."/>
      <w:lvlJc w:val="left"/>
      <w:pPr>
        <w:ind w:left="5813" w:hanging="360"/>
      </w:pPr>
    </w:lvl>
    <w:lvl w:ilvl="7" w:tplc="08090019" w:tentative="1">
      <w:start w:val="1"/>
      <w:numFmt w:val="lowerLetter"/>
      <w:lvlText w:val="%8."/>
      <w:lvlJc w:val="left"/>
      <w:pPr>
        <w:ind w:left="6533" w:hanging="360"/>
      </w:pPr>
    </w:lvl>
    <w:lvl w:ilvl="8" w:tplc="0809001B" w:tentative="1">
      <w:start w:val="1"/>
      <w:numFmt w:val="lowerRoman"/>
      <w:lvlText w:val="%9."/>
      <w:lvlJc w:val="right"/>
      <w:pPr>
        <w:ind w:left="7253" w:hanging="180"/>
      </w:pPr>
    </w:lvl>
  </w:abstractNum>
  <w:abstractNum w:abstractNumId="13" w15:restartNumberingAfterBreak="0">
    <w:nsid w:val="322B4A4B"/>
    <w:multiLevelType w:val="hybridMultilevel"/>
    <w:tmpl w:val="E4DAFB56"/>
    <w:lvl w:ilvl="0" w:tplc="08090013">
      <w:start w:val="1"/>
      <w:numFmt w:val="upperRoman"/>
      <w:lvlText w:val="%1."/>
      <w:lvlJc w:val="right"/>
      <w:pPr>
        <w:ind w:left="1390" w:hanging="360"/>
      </w:pPr>
    </w:lvl>
    <w:lvl w:ilvl="1" w:tplc="08090019" w:tentative="1">
      <w:start w:val="1"/>
      <w:numFmt w:val="lowerLetter"/>
      <w:lvlText w:val="%2."/>
      <w:lvlJc w:val="left"/>
      <w:pPr>
        <w:ind w:left="2110" w:hanging="360"/>
      </w:pPr>
    </w:lvl>
    <w:lvl w:ilvl="2" w:tplc="0809001B" w:tentative="1">
      <w:start w:val="1"/>
      <w:numFmt w:val="lowerRoman"/>
      <w:lvlText w:val="%3."/>
      <w:lvlJc w:val="right"/>
      <w:pPr>
        <w:ind w:left="2830" w:hanging="180"/>
      </w:pPr>
    </w:lvl>
    <w:lvl w:ilvl="3" w:tplc="0809000F" w:tentative="1">
      <w:start w:val="1"/>
      <w:numFmt w:val="decimal"/>
      <w:lvlText w:val="%4."/>
      <w:lvlJc w:val="left"/>
      <w:pPr>
        <w:ind w:left="3550" w:hanging="360"/>
      </w:pPr>
    </w:lvl>
    <w:lvl w:ilvl="4" w:tplc="08090019" w:tentative="1">
      <w:start w:val="1"/>
      <w:numFmt w:val="lowerLetter"/>
      <w:lvlText w:val="%5."/>
      <w:lvlJc w:val="left"/>
      <w:pPr>
        <w:ind w:left="4270" w:hanging="360"/>
      </w:pPr>
    </w:lvl>
    <w:lvl w:ilvl="5" w:tplc="0809001B" w:tentative="1">
      <w:start w:val="1"/>
      <w:numFmt w:val="lowerRoman"/>
      <w:lvlText w:val="%6."/>
      <w:lvlJc w:val="right"/>
      <w:pPr>
        <w:ind w:left="4990" w:hanging="180"/>
      </w:pPr>
    </w:lvl>
    <w:lvl w:ilvl="6" w:tplc="0809000F" w:tentative="1">
      <w:start w:val="1"/>
      <w:numFmt w:val="decimal"/>
      <w:lvlText w:val="%7."/>
      <w:lvlJc w:val="left"/>
      <w:pPr>
        <w:ind w:left="5710" w:hanging="360"/>
      </w:pPr>
    </w:lvl>
    <w:lvl w:ilvl="7" w:tplc="08090019" w:tentative="1">
      <w:start w:val="1"/>
      <w:numFmt w:val="lowerLetter"/>
      <w:lvlText w:val="%8."/>
      <w:lvlJc w:val="left"/>
      <w:pPr>
        <w:ind w:left="6430" w:hanging="360"/>
      </w:pPr>
    </w:lvl>
    <w:lvl w:ilvl="8" w:tplc="0809001B" w:tentative="1">
      <w:start w:val="1"/>
      <w:numFmt w:val="lowerRoman"/>
      <w:lvlText w:val="%9."/>
      <w:lvlJc w:val="right"/>
      <w:pPr>
        <w:ind w:left="7150" w:hanging="180"/>
      </w:pPr>
    </w:lvl>
  </w:abstractNum>
  <w:abstractNum w:abstractNumId="14" w15:restartNumberingAfterBreak="0">
    <w:nsid w:val="363B39F1"/>
    <w:multiLevelType w:val="hybridMultilevel"/>
    <w:tmpl w:val="B3CAF9CC"/>
    <w:lvl w:ilvl="0" w:tplc="62A6D6C4">
      <w:start w:val="1"/>
      <w:numFmt w:val="upperRoman"/>
      <w:lvlText w:val="%1."/>
      <w:lvlJc w:val="left"/>
      <w:pPr>
        <w:ind w:left="1390" w:hanging="720"/>
      </w:pPr>
      <w:rPr>
        <w:rFonts w:hint="default"/>
      </w:rPr>
    </w:lvl>
    <w:lvl w:ilvl="1" w:tplc="08090019" w:tentative="1">
      <w:start w:val="1"/>
      <w:numFmt w:val="lowerLetter"/>
      <w:lvlText w:val="%2."/>
      <w:lvlJc w:val="left"/>
      <w:pPr>
        <w:ind w:left="1750" w:hanging="360"/>
      </w:pPr>
    </w:lvl>
    <w:lvl w:ilvl="2" w:tplc="0809001B" w:tentative="1">
      <w:start w:val="1"/>
      <w:numFmt w:val="lowerRoman"/>
      <w:lvlText w:val="%3."/>
      <w:lvlJc w:val="right"/>
      <w:pPr>
        <w:ind w:left="2470" w:hanging="180"/>
      </w:pPr>
    </w:lvl>
    <w:lvl w:ilvl="3" w:tplc="0809000F" w:tentative="1">
      <w:start w:val="1"/>
      <w:numFmt w:val="decimal"/>
      <w:lvlText w:val="%4."/>
      <w:lvlJc w:val="left"/>
      <w:pPr>
        <w:ind w:left="3190" w:hanging="360"/>
      </w:pPr>
    </w:lvl>
    <w:lvl w:ilvl="4" w:tplc="08090019" w:tentative="1">
      <w:start w:val="1"/>
      <w:numFmt w:val="lowerLetter"/>
      <w:lvlText w:val="%5."/>
      <w:lvlJc w:val="left"/>
      <w:pPr>
        <w:ind w:left="3910" w:hanging="360"/>
      </w:pPr>
    </w:lvl>
    <w:lvl w:ilvl="5" w:tplc="0809001B" w:tentative="1">
      <w:start w:val="1"/>
      <w:numFmt w:val="lowerRoman"/>
      <w:lvlText w:val="%6."/>
      <w:lvlJc w:val="right"/>
      <w:pPr>
        <w:ind w:left="4630" w:hanging="180"/>
      </w:pPr>
    </w:lvl>
    <w:lvl w:ilvl="6" w:tplc="0809000F" w:tentative="1">
      <w:start w:val="1"/>
      <w:numFmt w:val="decimal"/>
      <w:lvlText w:val="%7."/>
      <w:lvlJc w:val="left"/>
      <w:pPr>
        <w:ind w:left="5350" w:hanging="360"/>
      </w:pPr>
    </w:lvl>
    <w:lvl w:ilvl="7" w:tplc="08090019" w:tentative="1">
      <w:start w:val="1"/>
      <w:numFmt w:val="lowerLetter"/>
      <w:lvlText w:val="%8."/>
      <w:lvlJc w:val="left"/>
      <w:pPr>
        <w:ind w:left="6070" w:hanging="360"/>
      </w:pPr>
    </w:lvl>
    <w:lvl w:ilvl="8" w:tplc="0809001B" w:tentative="1">
      <w:start w:val="1"/>
      <w:numFmt w:val="lowerRoman"/>
      <w:lvlText w:val="%9."/>
      <w:lvlJc w:val="right"/>
      <w:pPr>
        <w:ind w:left="6790" w:hanging="180"/>
      </w:pPr>
    </w:lvl>
  </w:abstractNum>
  <w:abstractNum w:abstractNumId="15" w15:restartNumberingAfterBreak="0">
    <w:nsid w:val="3F17287B"/>
    <w:multiLevelType w:val="hybridMultilevel"/>
    <w:tmpl w:val="79AA059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4DC5E41"/>
    <w:multiLevelType w:val="hybridMultilevel"/>
    <w:tmpl w:val="2C9A77C0"/>
    <w:lvl w:ilvl="0" w:tplc="7D8CC928">
      <w:start w:val="1"/>
      <w:numFmt w:val="decimal"/>
      <w:lvlText w:val="%1."/>
      <w:lvlJc w:val="left"/>
      <w:pPr>
        <w:ind w:left="1495" w:hanging="360"/>
      </w:pPr>
      <w:rPr>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15:restartNumberingAfterBreak="0">
    <w:nsid w:val="451446A2"/>
    <w:multiLevelType w:val="hybridMultilevel"/>
    <w:tmpl w:val="E46E073C"/>
    <w:lvl w:ilvl="0" w:tplc="08090017">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8" w15:restartNumberingAfterBreak="0">
    <w:nsid w:val="45FF0C08"/>
    <w:multiLevelType w:val="multilevel"/>
    <w:tmpl w:val="789EA9BC"/>
    <w:lvl w:ilvl="0">
      <w:start w:val="1"/>
      <w:numFmt w:val="upperRoman"/>
      <w:lvlText w:val="%1."/>
      <w:lvlJc w:val="left"/>
      <w:pPr>
        <w:ind w:left="1080" w:hanging="720"/>
      </w:pPr>
    </w:lvl>
    <w:lvl w:ilvl="1">
      <w:start w:val="1"/>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8CA39C6"/>
    <w:multiLevelType w:val="hybridMultilevel"/>
    <w:tmpl w:val="502AD5F8"/>
    <w:lvl w:ilvl="0" w:tplc="DB945D5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2EE4448"/>
    <w:multiLevelType w:val="hybridMultilevel"/>
    <w:tmpl w:val="4DE8243A"/>
    <w:lvl w:ilvl="0" w:tplc="42D07E74">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695580E"/>
    <w:multiLevelType w:val="hybridMultilevel"/>
    <w:tmpl w:val="A1466D00"/>
    <w:lvl w:ilvl="0" w:tplc="2428784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63F51D7"/>
    <w:multiLevelType w:val="multilevel"/>
    <w:tmpl w:val="F1608D92"/>
    <w:lvl w:ilvl="0">
      <w:start w:val="1"/>
      <w:numFmt w:val="upperRoman"/>
      <w:lvlText w:val="%1."/>
      <w:lvlJc w:val="left"/>
      <w:pPr>
        <w:ind w:left="1080" w:hanging="720"/>
      </w:pPr>
    </w:lvl>
    <w:lvl w:ilvl="1">
      <w:start w:val="1"/>
      <w:numFmt w:val="upperLetter"/>
      <w:lvlText w:val="%2."/>
      <w:lvlJc w:val="left"/>
      <w:pPr>
        <w:ind w:left="1440" w:hanging="360"/>
      </w:pPr>
    </w:lvl>
    <w:lvl w:ilvl="2">
      <w:start w:val="1"/>
      <w:numFmt w:val="bullet"/>
      <w:lvlText w:val="⮚"/>
      <w:lvlJc w:val="left"/>
      <w:pPr>
        <w:ind w:left="1800" w:hanging="360"/>
      </w:pPr>
      <w:rPr>
        <w:rFonts w:ascii="Noto Sans Symbols" w:eastAsia="Noto Sans Symbols" w:hAnsi="Noto Sans Symbols" w:cs="Noto Sans Symbols"/>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8862366"/>
    <w:multiLevelType w:val="hybridMultilevel"/>
    <w:tmpl w:val="523E6D94"/>
    <w:lvl w:ilvl="0" w:tplc="DD48D02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7F08BE8C" w:tentative="1">
      <w:start w:val="1"/>
      <w:numFmt w:val="bullet"/>
      <w:lvlText w:val="o"/>
      <w:lvlJc w:val="left"/>
      <w:pPr>
        <w:tabs>
          <w:tab w:val="num" w:pos="1440"/>
        </w:tabs>
        <w:ind w:left="1440" w:hanging="360"/>
      </w:pPr>
      <w:rPr>
        <w:rFonts w:ascii="Courier New" w:hAnsi="Courier New" w:cs="Courier New" w:hint="default"/>
      </w:rPr>
    </w:lvl>
    <w:lvl w:ilvl="2" w:tplc="A67A0726" w:tentative="1">
      <w:start w:val="1"/>
      <w:numFmt w:val="bullet"/>
      <w:lvlText w:val=""/>
      <w:lvlJc w:val="left"/>
      <w:pPr>
        <w:tabs>
          <w:tab w:val="num" w:pos="2160"/>
        </w:tabs>
        <w:ind w:left="2160" w:hanging="360"/>
      </w:pPr>
      <w:rPr>
        <w:rFonts w:ascii="Wingdings" w:hAnsi="Wingdings" w:hint="default"/>
      </w:rPr>
    </w:lvl>
    <w:lvl w:ilvl="3" w:tplc="A76C5D06" w:tentative="1">
      <w:start w:val="1"/>
      <w:numFmt w:val="bullet"/>
      <w:lvlText w:val=""/>
      <w:lvlJc w:val="left"/>
      <w:pPr>
        <w:tabs>
          <w:tab w:val="num" w:pos="2880"/>
        </w:tabs>
        <w:ind w:left="2880" w:hanging="360"/>
      </w:pPr>
      <w:rPr>
        <w:rFonts w:ascii="Symbol" w:hAnsi="Symbol" w:hint="default"/>
      </w:rPr>
    </w:lvl>
    <w:lvl w:ilvl="4" w:tplc="1E9A5C6A" w:tentative="1">
      <w:start w:val="1"/>
      <w:numFmt w:val="bullet"/>
      <w:lvlText w:val="o"/>
      <w:lvlJc w:val="left"/>
      <w:pPr>
        <w:tabs>
          <w:tab w:val="num" w:pos="3600"/>
        </w:tabs>
        <w:ind w:left="3600" w:hanging="360"/>
      </w:pPr>
      <w:rPr>
        <w:rFonts w:ascii="Courier New" w:hAnsi="Courier New" w:cs="Courier New" w:hint="default"/>
      </w:rPr>
    </w:lvl>
    <w:lvl w:ilvl="5" w:tplc="BD281A1C" w:tentative="1">
      <w:start w:val="1"/>
      <w:numFmt w:val="bullet"/>
      <w:lvlText w:val=""/>
      <w:lvlJc w:val="left"/>
      <w:pPr>
        <w:tabs>
          <w:tab w:val="num" w:pos="4320"/>
        </w:tabs>
        <w:ind w:left="4320" w:hanging="360"/>
      </w:pPr>
      <w:rPr>
        <w:rFonts w:ascii="Wingdings" w:hAnsi="Wingdings" w:hint="default"/>
      </w:rPr>
    </w:lvl>
    <w:lvl w:ilvl="6" w:tplc="26DA0290" w:tentative="1">
      <w:start w:val="1"/>
      <w:numFmt w:val="bullet"/>
      <w:lvlText w:val=""/>
      <w:lvlJc w:val="left"/>
      <w:pPr>
        <w:tabs>
          <w:tab w:val="num" w:pos="5040"/>
        </w:tabs>
        <w:ind w:left="5040" w:hanging="360"/>
      </w:pPr>
      <w:rPr>
        <w:rFonts w:ascii="Symbol" w:hAnsi="Symbol" w:hint="default"/>
      </w:rPr>
    </w:lvl>
    <w:lvl w:ilvl="7" w:tplc="C0867C20" w:tentative="1">
      <w:start w:val="1"/>
      <w:numFmt w:val="bullet"/>
      <w:lvlText w:val="o"/>
      <w:lvlJc w:val="left"/>
      <w:pPr>
        <w:tabs>
          <w:tab w:val="num" w:pos="5760"/>
        </w:tabs>
        <w:ind w:left="5760" w:hanging="360"/>
      </w:pPr>
      <w:rPr>
        <w:rFonts w:ascii="Courier New" w:hAnsi="Courier New" w:cs="Courier New" w:hint="default"/>
      </w:rPr>
    </w:lvl>
    <w:lvl w:ilvl="8" w:tplc="6E02E26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777C4A"/>
    <w:multiLevelType w:val="hybridMultilevel"/>
    <w:tmpl w:val="10F83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12721D"/>
    <w:multiLevelType w:val="hybridMultilevel"/>
    <w:tmpl w:val="156E89DC"/>
    <w:lvl w:ilvl="0" w:tplc="85E29EF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7DA205E6"/>
    <w:multiLevelType w:val="hybridMultilevel"/>
    <w:tmpl w:val="93861B6C"/>
    <w:lvl w:ilvl="0" w:tplc="B5E21D90">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E84D28"/>
    <w:multiLevelType w:val="hybridMultilevel"/>
    <w:tmpl w:val="B5C27638"/>
    <w:lvl w:ilvl="0" w:tplc="A982633E">
      <w:start w:val="1"/>
      <w:numFmt w:val="upperLetter"/>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033468">
    <w:abstractNumId w:val="1"/>
  </w:num>
  <w:num w:numId="2" w16cid:durableId="1145317753">
    <w:abstractNumId w:val="23"/>
  </w:num>
  <w:num w:numId="3" w16cid:durableId="654143302">
    <w:abstractNumId w:val="5"/>
  </w:num>
  <w:num w:numId="4" w16cid:durableId="533810844">
    <w:abstractNumId w:val="12"/>
  </w:num>
  <w:num w:numId="5" w16cid:durableId="1801339327">
    <w:abstractNumId w:val="11"/>
  </w:num>
  <w:num w:numId="6" w16cid:durableId="1197960716">
    <w:abstractNumId w:val="18"/>
  </w:num>
  <w:num w:numId="7" w16cid:durableId="417025784">
    <w:abstractNumId w:val="27"/>
  </w:num>
  <w:num w:numId="8" w16cid:durableId="1487159946">
    <w:abstractNumId w:val="22"/>
  </w:num>
  <w:num w:numId="9" w16cid:durableId="689064177">
    <w:abstractNumId w:val="3"/>
  </w:num>
  <w:num w:numId="10" w16cid:durableId="1868521909">
    <w:abstractNumId w:val="26"/>
  </w:num>
  <w:num w:numId="11" w16cid:durableId="1903905763">
    <w:abstractNumId w:val="4"/>
  </w:num>
  <w:num w:numId="12" w16cid:durableId="1409889943">
    <w:abstractNumId w:val="15"/>
  </w:num>
  <w:num w:numId="13" w16cid:durableId="1703673895">
    <w:abstractNumId w:val="13"/>
  </w:num>
  <w:num w:numId="14" w16cid:durableId="1158962034">
    <w:abstractNumId w:val="14"/>
  </w:num>
  <w:num w:numId="15" w16cid:durableId="305015801">
    <w:abstractNumId w:val="7"/>
  </w:num>
  <w:num w:numId="16" w16cid:durableId="2031906946">
    <w:abstractNumId w:val="17"/>
  </w:num>
  <w:num w:numId="17" w16cid:durableId="754782217">
    <w:abstractNumId w:val="25"/>
  </w:num>
  <w:num w:numId="18" w16cid:durableId="381488642">
    <w:abstractNumId w:val="2"/>
  </w:num>
  <w:num w:numId="19" w16cid:durableId="2012872727">
    <w:abstractNumId w:val="19"/>
  </w:num>
  <w:num w:numId="20" w16cid:durableId="703213434">
    <w:abstractNumId w:val="21"/>
  </w:num>
  <w:num w:numId="21" w16cid:durableId="1985691760">
    <w:abstractNumId w:val="24"/>
  </w:num>
  <w:num w:numId="22" w16cid:durableId="1471628930">
    <w:abstractNumId w:val="9"/>
  </w:num>
  <w:num w:numId="23" w16cid:durableId="1970278379">
    <w:abstractNumId w:val="20"/>
  </w:num>
  <w:num w:numId="24" w16cid:durableId="2006519102">
    <w:abstractNumId w:val="6"/>
  </w:num>
  <w:num w:numId="25" w16cid:durableId="1283923440">
    <w:abstractNumId w:val="16"/>
  </w:num>
  <w:num w:numId="26" w16cid:durableId="915868033">
    <w:abstractNumId w:val="5"/>
    <w:lvlOverride w:ilvl="0">
      <w:startOverride w:val="1"/>
    </w:lvlOverride>
  </w:num>
  <w:num w:numId="27" w16cid:durableId="2073575467">
    <w:abstractNumId w:val="5"/>
    <w:lvlOverride w:ilvl="0">
      <w:startOverride w:val="1"/>
    </w:lvlOverride>
  </w:num>
  <w:num w:numId="28" w16cid:durableId="830758447">
    <w:abstractNumId w:val="5"/>
    <w:lvlOverride w:ilvl="0">
      <w:startOverride w:val="1"/>
    </w:lvlOverride>
  </w:num>
  <w:num w:numId="29" w16cid:durableId="953903003">
    <w:abstractNumId w:val="5"/>
    <w:lvlOverride w:ilvl="0">
      <w:startOverride w:val="1"/>
    </w:lvlOverride>
  </w:num>
  <w:num w:numId="30" w16cid:durableId="1559782720">
    <w:abstractNumId w:val="5"/>
    <w:lvlOverride w:ilvl="0">
      <w:startOverride w:val="1"/>
    </w:lvlOverride>
  </w:num>
  <w:num w:numId="31" w16cid:durableId="1363626741">
    <w:abstractNumId w:val="5"/>
    <w:lvlOverride w:ilvl="0">
      <w:startOverride w:val="1"/>
    </w:lvlOverride>
  </w:num>
  <w:num w:numId="32" w16cid:durableId="1395927759">
    <w:abstractNumId w:val="8"/>
  </w:num>
  <w:num w:numId="33" w16cid:durableId="1215510729">
    <w:abstractNumId w:val="10"/>
  </w:num>
  <w:num w:numId="34" w16cid:durableId="142087562">
    <w:abstractNumId w:val="0"/>
  </w:num>
  <w:num w:numId="35" w16cid:durableId="2047025028">
    <w:abstractNumId w:val="5"/>
    <w:lvlOverride w:ilvl="0">
      <w:startOverride w:val="1"/>
    </w:lvlOverride>
  </w:num>
  <w:num w:numId="36" w16cid:durableId="2106724144">
    <w:abstractNumId w:val="5"/>
    <w:lvlOverride w:ilvl="0">
      <w:startOverride w:val="1"/>
    </w:lvlOverride>
  </w:num>
  <w:num w:numId="37" w16cid:durableId="2078824135">
    <w:abstractNumId w:val="5"/>
    <w:lvlOverride w:ilvl="0">
      <w:startOverride w:val="1"/>
    </w:lvlOverride>
  </w:num>
  <w:num w:numId="38" w16cid:durableId="1901750120">
    <w:abstractNumId w:val="5"/>
    <w:lvlOverride w:ilvl="0">
      <w:startOverride w:val="1"/>
    </w:lvlOverride>
  </w:num>
  <w:num w:numId="39" w16cid:durableId="1395619408">
    <w:abstractNumId w:val="5"/>
    <w:lvlOverride w:ilvl="0">
      <w:startOverride w:val="1"/>
    </w:lvlOverride>
  </w:num>
  <w:num w:numId="40" w16cid:durableId="770273525">
    <w:abstractNumId w:val="5"/>
    <w:lvlOverride w:ilvl="0">
      <w:startOverride w:val="1"/>
    </w:lvlOverride>
  </w:num>
  <w:num w:numId="41" w16cid:durableId="930042499">
    <w:abstractNumId w:val="5"/>
    <w:lvlOverride w:ilvl="0">
      <w:startOverride w:val="1"/>
    </w:lvlOverride>
  </w:num>
  <w:num w:numId="42" w16cid:durableId="675349535">
    <w:abstractNumId w:val="5"/>
    <w:lvlOverride w:ilvl="0">
      <w:startOverride w:val="1"/>
    </w:lvlOverride>
  </w:num>
  <w:num w:numId="43" w16cid:durableId="208929477">
    <w:abstractNumId w:val="5"/>
    <w:lvlOverride w:ilvl="0">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0" w:nlCheck="1" w:checkStyle="0"/>
  <w:activeWritingStyle w:appName="MSWord" w:lang="en-US" w:vendorID="64" w:dllVersion="0" w:nlCheck="1" w:checkStyle="0"/>
  <w:activeWritingStyle w:appName="MSWord" w:lang="en-CA" w:vendorID="64" w:dllVersion="0" w:nlCheck="1" w:checkStyle="0"/>
  <w:activeWritingStyle w:appName="MSWord" w:lang="es-ES" w:vendorID="64" w:dllVersion="0" w:nlCheck="1" w:checkStyle="0"/>
  <w:activeWritingStyle w:appName="MSWord" w:lang="es-419" w:vendorID="64" w:dllVersion="0" w:nlCheck="1" w:checkStyle="0"/>
  <w:activeWritingStyle w:appName="MSWord" w:lang="fr-FR"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813"/>
    <w:rsid w:val="00010D62"/>
    <w:rsid w:val="000120C3"/>
    <w:rsid w:val="000402B3"/>
    <w:rsid w:val="000432E9"/>
    <w:rsid w:val="00051CFE"/>
    <w:rsid w:val="00055EA1"/>
    <w:rsid w:val="000852F3"/>
    <w:rsid w:val="00097996"/>
    <w:rsid w:val="000B2FE7"/>
    <w:rsid w:val="000B2FED"/>
    <w:rsid w:val="000B3733"/>
    <w:rsid w:val="000B6361"/>
    <w:rsid w:val="000C197A"/>
    <w:rsid w:val="000D02C2"/>
    <w:rsid w:val="000D68BC"/>
    <w:rsid w:val="000E0DAE"/>
    <w:rsid w:val="000E44F7"/>
    <w:rsid w:val="000F6231"/>
    <w:rsid w:val="00100708"/>
    <w:rsid w:val="001037EE"/>
    <w:rsid w:val="00112244"/>
    <w:rsid w:val="00146C80"/>
    <w:rsid w:val="001507D1"/>
    <w:rsid w:val="00151813"/>
    <w:rsid w:val="00151DC0"/>
    <w:rsid w:val="00160AF0"/>
    <w:rsid w:val="00187D27"/>
    <w:rsid w:val="001A7283"/>
    <w:rsid w:val="001B7569"/>
    <w:rsid w:val="001F5356"/>
    <w:rsid w:val="00223112"/>
    <w:rsid w:val="00224BE0"/>
    <w:rsid w:val="0022589A"/>
    <w:rsid w:val="00236A04"/>
    <w:rsid w:val="0024550F"/>
    <w:rsid w:val="00253180"/>
    <w:rsid w:val="002642E9"/>
    <w:rsid w:val="0027129A"/>
    <w:rsid w:val="00283802"/>
    <w:rsid w:val="00287BBD"/>
    <w:rsid w:val="00291870"/>
    <w:rsid w:val="00293C02"/>
    <w:rsid w:val="002B4D2A"/>
    <w:rsid w:val="002B53BD"/>
    <w:rsid w:val="002B56F5"/>
    <w:rsid w:val="002C56EA"/>
    <w:rsid w:val="002D3C99"/>
    <w:rsid w:val="002F41F3"/>
    <w:rsid w:val="003255C8"/>
    <w:rsid w:val="003351D7"/>
    <w:rsid w:val="0033656A"/>
    <w:rsid w:val="00345B22"/>
    <w:rsid w:val="00355091"/>
    <w:rsid w:val="00361347"/>
    <w:rsid w:val="00364A16"/>
    <w:rsid w:val="00373674"/>
    <w:rsid w:val="00381037"/>
    <w:rsid w:val="00390A13"/>
    <w:rsid w:val="00390D0F"/>
    <w:rsid w:val="00393D03"/>
    <w:rsid w:val="003A3B23"/>
    <w:rsid w:val="003C00B2"/>
    <w:rsid w:val="003C6B9D"/>
    <w:rsid w:val="003F0877"/>
    <w:rsid w:val="0040054F"/>
    <w:rsid w:val="00401B7B"/>
    <w:rsid w:val="00407868"/>
    <w:rsid w:val="00416BED"/>
    <w:rsid w:val="00423A14"/>
    <w:rsid w:val="00425DB9"/>
    <w:rsid w:val="00431F7D"/>
    <w:rsid w:val="00432DE8"/>
    <w:rsid w:val="004450D4"/>
    <w:rsid w:val="004730D2"/>
    <w:rsid w:val="00482AE2"/>
    <w:rsid w:val="004973A1"/>
    <w:rsid w:val="004A0405"/>
    <w:rsid w:val="004A302D"/>
    <w:rsid w:val="004A77C0"/>
    <w:rsid w:val="004B7413"/>
    <w:rsid w:val="004C37DA"/>
    <w:rsid w:val="004D2D12"/>
    <w:rsid w:val="004D55C6"/>
    <w:rsid w:val="004E7E4F"/>
    <w:rsid w:val="0050053B"/>
    <w:rsid w:val="00503B40"/>
    <w:rsid w:val="0051770F"/>
    <w:rsid w:val="00540A03"/>
    <w:rsid w:val="00552F68"/>
    <w:rsid w:val="005600D0"/>
    <w:rsid w:val="005623E7"/>
    <w:rsid w:val="00576CC6"/>
    <w:rsid w:val="00580251"/>
    <w:rsid w:val="00582628"/>
    <w:rsid w:val="005911C7"/>
    <w:rsid w:val="005A5F54"/>
    <w:rsid w:val="005B14EF"/>
    <w:rsid w:val="005C5137"/>
    <w:rsid w:val="005E7078"/>
    <w:rsid w:val="00600670"/>
    <w:rsid w:val="006115A3"/>
    <w:rsid w:val="00615F3A"/>
    <w:rsid w:val="00651355"/>
    <w:rsid w:val="0065317F"/>
    <w:rsid w:val="00653C83"/>
    <w:rsid w:val="00655FEC"/>
    <w:rsid w:val="00660234"/>
    <w:rsid w:val="006609E2"/>
    <w:rsid w:val="006727C3"/>
    <w:rsid w:val="006759C7"/>
    <w:rsid w:val="006779ED"/>
    <w:rsid w:val="00681C42"/>
    <w:rsid w:val="00682651"/>
    <w:rsid w:val="006A38E4"/>
    <w:rsid w:val="006A534D"/>
    <w:rsid w:val="006B063F"/>
    <w:rsid w:val="00713B57"/>
    <w:rsid w:val="007144FF"/>
    <w:rsid w:val="00727F1A"/>
    <w:rsid w:val="00737426"/>
    <w:rsid w:val="007457C3"/>
    <w:rsid w:val="00756147"/>
    <w:rsid w:val="007877C9"/>
    <w:rsid w:val="00791235"/>
    <w:rsid w:val="007957E8"/>
    <w:rsid w:val="007A6225"/>
    <w:rsid w:val="007B6F56"/>
    <w:rsid w:val="007C7AB5"/>
    <w:rsid w:val="007F128F"/>
    <w:rsid w:val="007F1836"/>
    <w:rsid w:val="00800E9E"/>
    <w:rsid w:val="00806FC3"/>
    <w:rsid w:val="00810E73"/>
    <w:rsid w:val="00812657"/>
    <w:rsid w:val="008161B5"/>
    <w:rsid w:val="00824017"/>
    <w:rsid w:val="00831151"/>
    <w:rsid w:val="00835BBA"/>
    <w:rsid w:val="008433A5"/>
    <w:rsid w:val="00895EA9"/>
    <w:rsid w:val="008A4C4A"/>
    <w:rsid w:val="008B2A9B"/>
    <w:rsid w:val="008B33A2"/>
    <w:rsid w:val="008C0565"/>
    <w:rsid w:val="009035F0"/>
    <w:rsid w:val="0090631B"/>
    <w:rsid w:val="00914D36"/>
    <w:rsid w:val="00917948"/>
    <w:rsid w:val="0092014C"/>
    <w:rsid w:val="0092706D"/>
    <w:rsid w:val="00927F2D"/>
    <w:rsid w:val="009312A4"/>
    <w:rsid w:val="00933E0C"/>
    <w:rsid w:val="009402CE"/>
    <w:rsid w:val="0094107B"/>
    <w:rsid w:val="00945A5A"/>
    <w:rsid w:val="009567E8"/>
    <w:rsid w:val="00960A9B"/>
    <w:rsid w:val="00990D48"/>
    <w:rsid w:val="009A5F8A"/>
    <w:rsid w:val="009B436A"/>
    <w:rsid w:val="009D2213"/>
    <w:rsid w:val="009D44A8"/>
    <w:rsid w:val="009D4B75"/>
    <w:rsid w:val="009E0013"/>
    <w:rsid w:val="009E6F86"/>
    <w:rsid w:val="009F3A96"/>
    <w:rsid w:val="009F58B3"/>
    <w:rsid w:val="00A139BF"/>
    <w:rsid w:val="00A359E9"/>
    <w:rsid w:val="00A361F3"/>
    <w:rsid w:val="00A47459"/>
    <w:rsid w:val="00A51B65"/>
    <w:rsid w:val="00A80312"/>
    <w:rsid w:val="00A82A98"/>
    <w:rsid w:val="00A94A72"/>
    <w:rsid w:val="00AA6102"/>
    <w:rsid w:val="00AD1A79"/>
    <w:rsid w:val="00AE6C80"/>
    <w:rsid w:val="00AF3337"/>
    <w:rsid w:val="00B01CFE"/>
    <w:rsid w:val="00B04BF9"/>
    <w:rsid w:val="00B1032D"/>
    <w:rsid w:val="00B17145"/>
    <w:rsid w:val="00B22502"/>
    <w:rsid w:val="00B35496"/>
    <w:rsid w:val="00B51DEB"/>
    <w:rsid w:val="00B52338"/>
    <w:rsid w:val="00B53921"/>
    <w:rsid w:val="00B569A9"/>
    <w:rsid w:val="00B71390"/>
    <w:rsid w:val="00B74BE4"/>
    <w:rsid w:val="00B801FD"/>
    <w:rsid w:val="00B87F9A"/>
    <w:rsid w:val="00B91796"/>
    <w:rsid w:val="00B91F2F"/>
    <w:rsid w:val="00B95B79"/>
    <w:rsid w:val="00BA02FF"/>
    <w:rsid w:val="00BA0AB7"/>
    <w:rsid w:val="00BB00E8"/>
    <w:rsid w:val="00BB1651"/>
    <w:rsid w:val="00BB5159"/>
    <w:rsid w:val="00BC16CF"/>
    <w:rsid w:val="00BC3329"/>
    <w:rsid w:val="00BD3AD6"/>
    <w:rsid w:val="00BD6920"/>
    <w:rsid w:val="00BE0080"/>
    <w:rsid w:val="00BF2917"/>
    <w:rsid w:val="00C03C3A"/>
    <w:rsid w:val="00C1246E"/>
    <w:rsid w:val="00C1304F"/>
    <w:rsid w:val="00C14B76"/>
    <w:rsid w:val="00C20AB6"/>
    <w:rsid w:val="00C306A1"/>
    <w:rsid w:val="00C3532E"/>
    <w:rsid w:val="00C357CF"/>
    <w:rsid w:val="00C40A3C"/>
    <w:rsid w:val="00C418B2"/>
    <w:rsid w:val="00C5747B"/>
    <w:rsid w:val="00C614D3"/>
    <w:rsid w:val="00C61E9C"/>
    <w:rsid w:val="00C64D04"/>
    <w:rsid w:val="00C71D42"/>
    <w:rsid w:val="00C847C7"/>
    <w:rsid w:val="00C848B7"/>
    <w:rsid w:val="00C925D0"/>
    <w:rsid w:val="00C9609B"/>
    <w:rsid w:val="00CA5EDE"/>
    <w:rsid w:val="00CB6EE6"/>
    <w:rsid w:val="00CC4673"/>
    <w:rsid w:val="00D1449D"/>
    <w:rsid w:val="00D2235A"/>
    <w:rsid w:val="00D25ADF"/>
    <w:rsid w:val="00D40054"/>
    <w:rsid w:val="00D40AB7"/>
    <w:rsid w:val="00D4627F"/>
    <w:rsid w:val="00D520F0"/>
    <w:rsid w:val="00D5220A"/>
    <w:rsid w:val="00D5710A"/>
    <w:rsid w:val="00D661B3"/>
    <w:rsid w:val="00D712F5"/>
    <w:rsid w:val="00D732F3"/>
    <w:rsid w:val="00D84DF4"/>
    <w:rsid w:val="00D87837"/>
    <w:rsid w:val="00D95F03"/>
    <w:rsid w:val="00DA1551"/>
    <w:rsid w:val="00DA5057"/>
    <w:rsid w:val="00DB4E77"/>
    <w:rsid w:val="00DD154D"/>
    <w:rsid w:val="00DE6182"/>
    <w:rsid w:val="00E02F78"/>
    <w:rsid w:val="00E1662D"/>
    <w:rsid w:val="00E2084A"/>
    <w:rsid w:val="00E21470"/>
    <w:rsid w:val="00E24F48"/>
    <w:rsid w:val="00E43A92"/>
    <w:rsid w:val="00E50A90"/>
    <w:rsid w:val="00E619FC"/>
    <w:rsid w:val="00E66C83"/>
    <w:rsid w:val="00E80A25"/>
    <w:rsid w:val="00E83CCA"/>
    <w:rsid w:val="00E9049A"/>
    <w:rsid w:val="00E9468E"/>
    <w:rsid w:val="00EA3741"/>
    <w:rsid w:val="00EB5095"/>
    <w:rsid w:val="00EE3E20"/>
    <w:rsid w:val="00EF2C7A"/>
    <w:rsid w:val="00EF35ED"/>
    <w:rsid w:val="00F131DB"/>
    <w:rsid w:val="00F25710"/>
    <w:rsid w:val="00F42D4A"/>
    <w:rsid w:val="00F4611E"/>
    <w:rsid w:val="00F63F42"/>
    <w:rsid w:val="00F759F8"/>
    <w:rsid w:val="00FA7004"/>
    <w:rsid w:val="00FE09C7"/>
    <w:rsid w:val="00FF3CCE"/>
    <w:rsid w:val="00FF623A"/>
    <w:rsid w:val="00FF62C3"/>
    <w:rsid w:val="6DB3E7B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BEE82C"/>
  <w15:docId w15:val="{8B71B40B-C37E-49EC-9B61-3A468861C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Body Text First Indent" w:semiHidden="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qFormat="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C7485"/>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semiHidden/>
    <w:qFormat/>
    <w:pPr>
      <w:spacing w:line="240" w:lineRule="auto"/>
      <w:outlineLvl w:val="2"/>
    </w:pPr>
  </w:style>
  <w:style w:type="paragraph" w:styleId="Heading4">
    <w:name w:val="heading 4"/>
    <w:basedOn w:val="Normal"/>
    <w:next w:val="Normal"/>
    <w:semiHidden/>
    <w:qFormat/>
    <w:pPr>
      <w:spacing w:line="240" w:lineRule="auto"/>
      <w:outlineLvl w:val="3"/>
    </w:pPr>
  </w:style>
  <w:style w:type="paragraph" w:styleId="Heading5">
    <w:name w:val="heading 5"/>
    <w:basedOn w:val="Normal"/>
    <w:next w:val="Normal"/>
    <w:semiHidden/>
    <w:qFormat/>
    <w:pPr>
      <w:spacing w:line="240" w:lineRule="auto"/>
      <w:outlineLvl w:val="4"/>
    </w:pPr>
  </w:style>
  <w:style w:type="paragraph" w:styleId="Heading6">
    <w:name w:val="heading 6"/>
    <w:basedOn w:val="Normal"/>
    <w:next w:val="Normal"/>
    <w:semiHidden/>
    <w:qFormat/>
    <w:pPr>
      <w:spacing w:line="240" w:lineRule="auto"/>
      <w:outlineLvl w:val="5"/>
    </w:pPr>
  </w:style>
  <w:style w:type="paragraph" w:styleId="Heading7">
    <w:name w:val="heading 7"/>
    <w:basedOn w:val="Normal"/>
    <w:next w:val="Normal"/>
    <w:semiHidden/>
    <w:qFormat/>
    <w:pPr>
      <w:spacing w:line="240" w:lineRule="auto"/>
      <w:outlineLvl w:val="6"/>
    </w:pPr>
  </w:style>
  <w:style w:type="paragraph" w:styleId="Heading8">
    <w:name w:val="heading 8"/>
    <w:basedOn w:val="Normal"/>
    <w:next w:val="Normal"/>
    <w:semiHidden/>
    <w:qFormat/>
    <w:pPr>
      <w:spacing w:line="240" w:lineRule="auto"/>
      <w:outlineLvl w:val="7"/>
    </w:pPr>
  </w:style>
  <w:style w:type="paragraph" w:styleId="Heading9">
    <w:name w:val="heading 9"/>
    <w:basedOn w:val="Normal"/>
    <w:next w:val="Normal"/>
    <w:link w:val="Heading9Char"/>
    <w:semiHidden/>
    <w:qFormat/>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s refss,Footnote Ref,16 Point,Superscript 6 Point,callout,Ref,de nota al pie,Appel note de bas de p.,Footnote text,ftref,fr,oc-footreference,oc-footnoteref,oc-footreference1,oc-footnoteref1,(Diplomarbeit FZ),(Dipl...,FZ,f"/>
    <w:link w:val="FootnotesymbolCarZchnZchn"/>
    <w:uiPriority w:val="99"/>
    <w:qFormat/>
    <w:rPr>
      <w:rFonts w:ascii="Times New Roman" w:hAnsi="Times New Roman"/>
      <w:sz w:val="18"/>
      <w:vertAlign w:val="superscript"/>
    </w:rPr>
  </w:style>
  <w:style w:type="character" w:styleId="EndnoteReference">
    <w:name w:val="endnote reference"/>
    <w:aliases w:val="1_G"/>
    <w:basedOn w:val="FootnoteReference"/>
    <w:uiPriority w:val="99"/>
    <w:rPr>
      <w:rFonts w:ascii="Times New Roman" w:hAnsi="Times New Roman"/>
      <w:sz w:val="18"/>
      <w:vertAlign w:val="superscript"/>
    </w:rPr>
  </w:style>
  <w:style w:type="paragraph" w:styleId="Header">
    <w:name w:val="header"/>
    <w:aliases w:val="6_G"/>
    <w:basedOn w:val="Normal"/>
    <w:link w:val="HeaderChar"/>
    <w:uiPriority w:val="99"/>
    <w:pPr>
      <w:pBdr>
        <w:bottom w:val="single" w:sz="4" w:space="4" w:color="auto"/>
      </w:pBdr>
      <w:spacing w:line="240" w:lineRule="auto"/>
    </w:pPr>
    <w:rPr>
      <w:b/>
      <w:sz w:val="18"/>
    </w:r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Pr>
      <w:color w:val="auto"/>
      <w:u w:val="none"/>
    </w:rPr>
  </w:style>
  <w:style w:type="character" w:styleId="FollowedHyperlink">
    <w:name w:val="FollowedHyperlink"/>
    <w:uiPriority w:val="99"/>
    <w:semiHidden/>
    <w:rPr>
      <w:color w:val="auto"/>
      <w:u w:val="none"/>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noteText">
    <w:name w:val="footnote text"/>
    <w:aliases w:val="5_G,Footnotes,Note de bas de page2,fn,Fußnotentext RAXEN,Footnote Text Char2 Char,Footnote Text Char Char1 Char,Footnote Text Char2 Char Char Char,Footnote Text Char1 Char Char Char Char,footnotes,footnote text,Tex,Car,F,Footnote reference"/>
    <w:basedOn w:val="Normal"/>
    <w:link w:val="FootnoteTextChar"/>
    <w:uiPriority w:val="99"/>
    <w:qFormat/>
    <w:rsid w:val="00660234"/>
    <w:pPr>
      <w:tabs>
        <w:tab w:val="right" w:pos="1021"/>
      </w:tabs>
      <w:spacing w:line="220" w:lineRule="exact"/>
      <w:ind w:left="1134" w:right="1134" w:hanging="1134"/>
    </w:pPr>
    <w:rPr>
      <w:sz w:val="18"/>
      <w:lang w:val="en-US"/>
    </w:rPr>
  </w:style>
  <w:style w:type="paragraph" w:styleId="EndnoteText">
    <w:name w:val="endnote text"/>
    <w:aliases w:val="2_G"/>
    <w:basedOn w:val="FootnoteText"/>
    <w:link w:val="EndnoteTextChar"/>
    <w:uiPriority w:val="99"/>
  </w:style>
  <w:style w:type="character" w:styleId="PageNumber">
    <w:name w:val="page number"/>
    <w:aliases w:val="7_G"/>
    <w:uiPriority w:val="99"/>
    <w:rPr>
      <w:rFonts w:ascii="Times New Roman" w:hAnsi="Times New Roman"/>
      <w:b/>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spacing w:after="120"/>
      <w:ind w:right="1134"/>
      <w:jc w:val="both"/>
    </w:pPr>
  </w:style>
  <w:style w:type="paragraph" w:styleId="Footer">
    <w:name w:val="footer"/>
    <w:aliases w:val="3_G"/>
    <w:basedOn w:val="Normal"/>
    <w:link w:val="FooterChar"/>
    <w:uiPriority w:val="99"/>
    <w:pPr>
      <w:spacing w:line="240" w:lineRule="auto"/>
    </w:pPr>
    <w:rPr>
      <w:sz w:val="16"/>
    </w:rPr>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qFormat/>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Pr>
      <w:rFonts w:ascii="Tahoma" w:hAnsi="Tahoma" w:cs="Tahoma"/>
      <w:sz w:val="16"/>
      <w:szCs w:val="16"/>
    </w:rPr>
  </w:style>
  <w:style w:type="paragraph" w:customStyle="1" w:styleId="ParNoG">
    <w:name w:val="_ParNo_G"/>
    <w:basedOn w:val="SingleTxtG"/>
    <w:qFormat/>
    <w:rsid w:val="000C7485"/>
    <w:pPr>
      <w:numPr>
        <w:numId w:val="3"/>
      </w:numPr>
      <w:suppressAutoHyphens w:val="0"/>
    </w:pPr>
  </w:style>
  <w:style w:type="character" w:customStyle="1" w:styleId="FootnoteTextChar">
    <w:name w:val="Footnote Text Char"/>
    <w:aliases w:val="5_G Char,Footnotes Char,Note de bas de page2 Char,fn Char,Fußnotentext RAXEN Char,Footnote Text Char2 Char Char,Footnote Text Char Char1 Char Char,Footnote Text Char2 Char Char Char Char,Footnote Text Char1 Char Char Char Char Char"/>
    <w:basedOn w:val="DefaultParagraphFont"/>
    <w:link w:val="FootnoteText"/>
    <w:uiPriority w:val="99"/>
    <w:qFormat/>
    <w:rsid w:val="00660234"/>
    <w:rPr>
      <w:sz w:val="18"/>
      <w:lang w:val="en-US"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
    <w:basedOn w:val="Normal"/>
    <w:link w:val="FootnoteReference"/>
    <w:uiPriority w:val="99"/>
    <w:rsid w:val="001F5356"/>
    <w:pPr>
      <w:spacing w:after="160" w:line="240" w:lineRule="exact"/>
      <w:jc w:val="both"/>
    </w:pPr>
    <w:rPr>
      <w:sz w:val="18"/>
      <w:vertAlign w:val="superscript"/>
      <w:lang w:eastAsia="en-GB"/>
    </w:rPr>
  </w:style>
  <w:style w:type="paragraph" w:customStyle="1" w:styleId="paragraph">
    <w:name w:val="paragraph"/>
    <w:basedOn w:val="Normal"/>
    <w:rsid w:val="00D40054"/>
    <w:pPr>
      <w:suppressAutoHyphens w:val="0"/>
      <w:spacing w:before="100" w:beforeAutospacing="1" w:after="100" w:afterAutospacing="1" w:line="240" w:lineRule="auto"/>
    </w:pPr>
    <w:rPr>
      <w:sz w:val="24"/>
      <w:szCs w:val="24"/>
      <w:lang w:eastAsia="en-GB"/>
    </w:rPr>
  </w:style>
  <w:style w:type="character" w:customStyle="1" w:styleId="normaltextrun">
    <w:name w:val="normaltextrun"/>
    <w:basedOn w:val="DefaultParagraphFont"/>
    <w:rsid w:val="00D40054"/>
  </w:style>
  <w:style w:type="character" w:customStyle="1" w:styleId="eop">
    <w:name w:val="eop"/>
    <w:basedOn w:val="DefaultParagraphFont"/>
    <w:rsid w:val="00D40054"/>
  </w:style>
  <w:style w:type="paragraph" w:styleId="ListParagraph">
    <w:name w:val="List Paragraph"/>
    <w:basedOn w:val="Normal"/>
    <w:uiPriority w:val="34"/>
    <w:qFormat/>
    <w:rsid w:val="00D40054"/>
    <w:pPr>
      <w:suppressAutoHyphens w:val="0"/>
      <w:spacing w:after="200" w:line="276" w:lineRule="auto"/>
      <w:ind w:left="720"/>
      <w:contextualSpacing/>
    </w:pPr>
    <w:rPr>
      <w:rFonts w:asciiTheme="minorHAnsi" w:eastAsiaTheme="minorHAnsi" w:hAnsiTheme="minorHAnsi" w:cstheme="minorBidi"/>
      <w:sz w:val="22"/>
      <w:szCs w:val="22"/>
    </w:rPr>
  </w:style>
  <w:style w:type="character" w:customStyle="1" w:styleId="UnresolvedMention1">
    <w:name w:val="Unresolved Mention1"/>
    <w:basedOn w:val="DefaultParagraphFont"/>
    <w:uiPriority w:val="99"/>
    <w:semiHidden/>
    <w:unhideWhenUsed/>
    <w:rsid w:val="00D40054"/>
    <w:rPr>
      <w:color w:val="605E5C"/>
      <w:shd w:val="clear" w:color="auto" w:fill="E1DFDD"/>
    </w:rPr>
  </w:style>
  <w:style w:type="character" w:styleId="CommentReference">
    <w:name w:val="annotation reference"/>
    <w:basedOn w:val="DefaultParagraphFont"/>
    <w:uiPriority w:val="99"/>
    <w:semiHidden/>
    <w:unhideWhenUsed/>
    <w:rsid w:val="00D40054"/>
    <w:rPr>
      <w:sz w:val="16"/>
      <w:szCs w:val="16"/>
    </w:rPr>
  </w:style>
  <w:style w:type="paragraph" w:styleId="CommentText">
    <w:name w:val="annotation text"/>
    <w:basedOn w:val="Normal"/>
    <w:link w:val="CommentTextChar"/>
    <w:uiPriority w:val="99"/>
    <w:unhideWhenUsed/>
    <w:rsid w:val="00D40054"/>
    <w:pPr>
      <w:suppressAutoHyphens w:val="0"/>
      <w:spacing w:after="200" w:line="240" w:lineRule="auto"/>
    </w:pPr>
    <w:rPr>
      <w:rFonts w:asciiTheme="minorHAnsi" w:eastAsiaTheme="minorHAnsi" w:hAnsiTheme="minorHAnsi" w:cstheme="minorBidi"/>
    </w:rPr>
  </w:style>
  <w:style w:type="character" w:customStyle="1" w:styleId="CommentTextChar">
    <w:name w:val="Comment Text Char"/>
    <w:basedOn w:val="DefaultParagraphFont"/>
    <w:link w:val="CommentText"/>
    <w:uiPriority w:val="99"/>
    <w:rsid w:val="00D40054"/>
    <w:rPr>
      <w:rFonts w:asciiTheme="minorHAnsi" w:eastAsiaTheme="minorHAnsi" w:hAnsiTheme="minorHAnsi" w:cstheme="minorBidi"/>
      <w:lang w:eastAsia="en-US"/>
    </w:rPr>
  </w:style>
  <w:style w:type="paragraph" w:styleId="CommentSubject">
    <w:name w:val="annotation subject"/>
    <w:basedOn w:val="CommentText"/>
    <w:next w:val="CommentText"/>
    <w:link w:val="CommentSubjectChar"/>
    <w:uiPriority w:val="99"/>
    <w:semiHidden/>
    <w:unhideWhenUsed/>
    <w:rsid w:val="00D40054"/>
    <w:rPr>
      <w:b/>
      <w:bCs/>
    </w:rPr>
  </w:style>
  <w:style w:type="character" w:customStyle="1" w:styleId="CommentSubjectChar">
    <w:name w:val="Comment Subject Char"/>
    <w:basedOn w:val="CommentTextChar"/>
    <w:link w:val="CommentSubject"/>
    <w:uiPriority w:val="99"/>
    <w:semiHidden/>
    <w:rsid w:val="00D40054"/>
    <w:rPr>
      <w:rFonts w:asciiTheme="minorHAnsi" w:eastAsiaTheme="minorHAnsi" w:hAnsiTheme="minorHAnsi" w:cstheme="minorBidi"/>
      <w:b/>
      <w:bCs/>
      <w:lang w:eastAsia="en-US"/>
    </w:rPr>
  </w:style>
  <w:style w:type="paragraph" w:styleId="NormalWeb">
    <w:name w:val="Normal (Web)"/>
    <w:basedOn w:val="Normal"/>
    <w:uiPriority w:val="99"/>
    <w:unhideWhenUsed/>
    <w:rsid w:val="00D40054"/>
    <w:pPr>
      <w:suppressAutoHyphens w:val="0"/>
      <w:spacing w:before="100" w:beforeAutospacing="1" w:after="100" w:afterAutospacing="1" w:line="240" w:lineRule="auto"/>
    </w:pPr>
    <w:rPr>
      <w:sz w:val="24"/>
      <w:szCs w:val="24"/>
      <w:lang w:eastAsia="en-GB"/>
    </w:rPr>
  </w:style>
  <w:style w:type="character" w:customStyle="1" w:styleId="Heading2Char">
    <w:name w:val="Heading 2 Char"/>
    <w:basedOn w:val="DefaultParagraphFont"/>
    <w:link w:val="Heading2"/>
    <w:uiPriority w:val="9"/>
    <w:rsid w:val="00D40054"/>
    <w:rPr>
      <w:lang w:eastAsia="en-US"/>
    </w:rPr>
  </w:style>
  <w:style w:type="paragraph" w:styleId="Revision">
    <w:name w:val="Revision"/>
    <w:hidden/>
    <w:uiPriority w:val="99"/>
    <w:semiHidden/>
    <w:rsid w:val="00D40054"/>
    <w:rPr>
      <w:rFonts w:asciiTheme="minorHAnsi" w:eastAsiaTheme="minorHAnsi" w:hAnsiTheme="minorHAnsi" w:cstheme="minorBidi"/>
      <w:sz w:val="22"/>
      <w:szCs w:val="22"/>
      <w:lang w:eastAsia="en-US"/>
    </w:rPr>
  </w:style>
  <w:style w:type="character" w:customStyle="1" w:styleId="BalloonTextChar">
    <w:name w:val="Balloon Text Char"/>
    <w:basedOn w:val="DefaultParagraphFont"/>
    <w:link w:val="BalloonText"/>
    <w:uiPriority w:val="99"/>
    <w:semiHidden/>
    <w:rsid w:val="00D40054"/>
    <w:rPr>
      <w:rFonts w:ascii="Tahoma" w:hAnsi="Tahoma" w:cs="Tahoma"/>
      <w:sz w:val="16"/>
      <w:szCs w:val="16"/>
      <w:lang w:eastAsia="en-US"/>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uiPriority w:val="99"/>
    <w:rsid w:val="00D40054"/>
    <w:pPr>
      <w:suppressAutoHyphens w:val="0"/>
      <w:spacing w:after="160" w:line="240" w:lineRule="exact"/>
      <w:jc w:val="both"/>
    </w:pPr>
    <w:rPr>
      <w:rFonts w:asciiTheme="minorHAnsi" w:eastAsiaTheme="minorHAnsi" w:hAnsiTheme="minorHAnsi" w:cstheme="minorBidi"/>
      <w:sz w:val="22"/>
      <w:szCs w:val="22"/>
      <w:vertAlign w:val="superscript"/>
      <w:lang w:val="en-US"/>
    </w:rPr>
  </w:style>
  <w:style w:type="paragraph" w:customStyle="1" w:styleId="Default">
    <w:name w:val="Default"/>
    <w:rsid w:val="00D40054"/>
    <w:pPr>
      <w:autoSpaceDE w:val="0"/>
      <w:autoSpaceDN w:val="0"/>
      <w:adjustRightInd w:val="0"/>
    </w:pPr>
    <w:rPr>
      <w:rFonts w:eastAsiaTheme="minorHAnsi"/>
      <w:color w:val="000000"/>
      <w:sz w:val="24"/>
      <w:szCs w:val="24"/>
      <w:lang w:eastAsia="en-US"/>
    </w:rPr>
  </w:style>
  <w:style w:type="character" w:customStyle="1" w:styleId="Heading1Char">
    <w:name w:val="Heading 1 Char"/>
    <w:aliases w:val="Table_G Char"/>
    <w:basedOn w:val="DefaultParagraphFont"/>
    <w:link w:val="Heading1"/>
    <w:uiPriority w:val="9"/>
    <w:rsid w:val="00D40054"/>
    <w:rPr>
      <w:lang w:eastAsia="en-US"/>
    </w:rPr>
  </w:style>
  <w:style w:type="paragraph" w:styleId="TOCHeading">
    <w:name w:val="TOC Heading"/>
    <w:basedOn w:val="Heading1"/>
    <w:next w:val="Normal"/>
    <w:uiPriority w:val="39"/>
    <w:unhideWhenUsed/>
    <w:qFormat/>
    <w:rsid w:val="00D40054"/>
    <w:pPr>
      <w:keepNext/>
      <w:keepLines/>
      <w:suppressAutoHyphens w:val="0"/>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D40054"/>
    <w:pPr>
      <w:suppressAutoHyphens w:val="0"/>
      <w:spacing w:after="100" w:line="276" w:lineRule="auto"/>
    </w:pPr>
    <w:rPr>
      <w:rFonts w:asciiTheme="minorHAnsi" w:eastAsiaTheme="minorHAnsi" w:hAnsiTheme="minorHAnsi" w:cstheme="minorBidi"/>
      <w:sz w:val="22"/>
      <w:szCs w:val="22"/>
    </w:rPr>
  </w:style>
  <w:style w:type="character" w:customStyle="1" w:styleId="HeaderChar">
    <w:name w:val="Header Char"/>
    <w:aliases w:val="6_G Char"/>
    <w:basedOn w:val="DefaultParagraphFont"/>
    <w:link w:val="Header"/>
    <w:uiPriority w:val="99"/>
    <w:rsid w:val="00D40054"/>
    <w:rPr>
      <w:b/>
      <w:sz w:val="18"/>
      <w:lang w:eastAsia="en-US"/>
    </w:rPr>
  </w:style>
  <w:style w:type="character" w:customStyle="1" w:styleId="FooterChar">
    <w:name w:val="Footer Char"/>
    <w:aliases w:val="3_G Char"/>
    <w:basedOn w:val="DefaultParagraphFont"/>
    <w:link w:val="Footer"/>
    <w:uiPriority w:val="99"/>
    <w:rsid w:val="00D40054"/>
    <w:rPr>
      <w:sz w:val="16"/>
      <w:lang w:eastAsia="en-US"/>
    </w:rPr>
  </w:style>
  <w:style w:type="paragraph" w:styleId="NoSpacing">
    <w:name w:val="No Spacing"/>
    <w:uiPriority w:val="1"/>
    <w:qFormat/>
    <w:rsid w:val="00D40054"/>
    <w:rPr>
      <w:rFonts w:asciiTheme="minorHAnsi" w:eastAsiaTheme="minorHAnsi" w:hAnsiTheme="minorHAnsi" w:cstheme="minorBidi"/>
      <w:sz w:val="22"/>
      <w:szCs w:val="22"/>
      <w:lang w:eastAsia="en-US"/>
    </w:rPr>
  </w:style>
  <w:style w:type="character" w:customStyle="1" w:styleId="UnresolvedMention2">
    <w:name w:val="Unresolved Mention2"/>
    <w:basedOn w:val="DefaultParagraphFont"/>
    <w:uiPriority w:val="99"/>
    <w:semiHidden/>
    <w:unhideWhenUsed/>
    <w:rsid w:val="00D40054"/>
    <w:rPr>
      <w:color w:val="605E5C"/>
      <w:shd w:val="clear" w:color="auto" w:fill="E1DFDD"/>
    </w:rPr>
  </w:style>
  <w:style w:type="character" w:customStyle="1" w:styleId="highlight">
    <w:name w:val="highlight"/>
    <w:basedOn w:val="DefaultParagraphFont"/>
    <w:rsid w:val="00D40054"/>
  </w:style>
  <w:style w:type="paragraph" w:customStyle="1" w:styleId="texte">
    <w:name w:val="texte"/>
    <w:basedOn w:val="Normal"/>
    <w:rsid w:val="00D40054"/>
    <w:pPr>
      <w:suppressAutoHyphens w:val="0"/>
      <w:spacing w:before="100" w:beforeAutospacing="1" w:after="100" w:afterAutospacing="1" w:line="240" w:lineRule="auto"/>
    </w:pPr>
    <w:rPr>
      <w:sz w:val="24"/>
      <w:szCs w:val="24"/>
      <w:lang w:eastAsia="en-GB"/>
    </w:rPr>
  </w:style>
  <w:style w:type="character" w:styleId="Emphasis">
    <w:name w:val="Emphasis"/>
    <w:basedOn w:val="DefaultParagraphFont"/>
    <w:uiPriority w:val="20"/>
    <w:qFormat/>
    <w:rsid w:val="00D40054"/>
    <w:rPr>
      <w:i/>
      <w:iCs/>
    </w:rPr>
  </w:style>
  <w:style w:type="character" w:customStyle="1" w:styleId="num">
    <w:name w:val="num"/>
    <w:basedOn w:val="DefaultParagraphFont"/>
    <w:rsid w:val="00D40054"/>
  </w:style>
  <w:style w:type="character" w:customStyle="1" w:styleId="paranumber">
    <w:name w:val="paranumber"/>
    <w:basedOn w:val="DefaultParagraphFont"/>
    <w:rsid w:val="00D40054"/>
  </w:style>
  <w:style w:type="character" w:customStyle="1" w:styleId="markedcontent">
    <w:name w:val="markedcontent"/>
    <w:basedOn w:val="DefaultParagraphFont"/>
    <w:rsid w:val="00D40054"/>
  </w:style>
  <w:style w:type="character" w:customStyle="1" w:styleId="Heading3Char">
    <w:name w:val="Heading 3 Char"/>
    <w:basedOn w:val="DefaultParagraphFont"/>
    <w:link w:val="Heading3"/>
    <w:uiPriority w:val="9"/>
    <w:semiHidden/>
    <w:rsid w:val="00D40054"/>
    <w:rPr>
      <w:lang w:eastAsia="en-US"/>
    </w:rPr>
  </w:style>
  <w:style w:type="paragraph" w:styleId="TOC2">
    <w:name w:val="toc 2"/>
    <w:basedOn w:val="Normal"/>
    <w:next w:val="Normal"/>
    <w:autoRedefine/>
    <w:uiPriority w:val="39"/>
    <w:unhideWhenUsed/>
    <w:rsid w:val="00D40054"/>
    <w:pPr>
      <w:suppressAutoHyphens w:val="0"/>
      <w:spacing w:after="100" w:line="276" w:lineRule="auto"/>
      <w:ind w:left="220"/>
    </w:pPr>
    <w:rPr>
      <w:rFonts w:asciiTheme="minorHAnsi" w:eastAsiaTheme="minorHAnsi" w:hAnsiTheme="minorHAnsi" w:cstheme="minorBidi"/>
      <w:sz w:val="22"/>
      <w:szCs w:val="22"/>
    </w:rPr>
  </w:style>
  <w:style w:type="character" w:customStyle="1" w:styleId="SingleTxtGChar">
    <w:name w:val="_ Single Txt_G Char"/>
    <w:basedOn w:val="DefaultParagraphFont"/>
    <w:link w:val="SingleTxtG"/>
    <w:qFormat/>
    <w:rsid w:val="00D40054"/>
    <w:rPr>
      <w:lang w:eastAsia="en-US"/>
    </w:rPr>
  </w:style>
  <w:style w:type="character" w:styleId="Strong">
    <w:name w:val="Strong"/>
    <w:basedOn w:val="DefaultParagraphFont"/>
    <w:uiPriority w:val="22"/>
    <w:qFormat/>
    <w:rsid w:val="00D40054"/>
    <w:rPr>
      <w:b/>
      <w:bCs/>
    </w:rPr>
  </w:style>
  <w:style w:type="character" w:customStyle="1" w:styleId="UnresolvedMention3">
    <w:name w:val="Unresolved Mention3"/>
    <w:basedOn w:val="DefaultParagraphFont"/>
    <w:uiPriority w:val="99"/>
    <w:semiHidden/>
    <w:unhideWhenUsed/>
    <w:rsid w:val="00D40054"/>
    <w:rPr>
      <w:color w:val="605E5C"/>
      <w:shd w:val="clear" w:color="auto" w:fill="E1DFDD"/>
    </w:rPr>
  </w:style>
  <w:style w:type="character" w:customStyle="1" w:styleId="cf01">
    <w:name w:val="cf01"/>
    <w:basedOn w:val="DefaultParagraphFont"/>
    <w:rsid w:val="00D40054"/>
    <w:rPr>
      <w:rFonts w:ascii="Segoe UI" w:hAnsi="Segoe UI" w:cs="Segoe UI" w:hint="default"/>
      <w:sz w:val="18"/>
      <w:szCs w:val="18"/>
    </w:rPr>
  </w:style>
  <w:style w:type="paragraph" w:customStyle="1" w:styleId="pf0">
    <w:name w:val="pf0"/>
    <w:basedOn w:val="Normal"/>
    <w:rsid w:val="00D40054"/>
    <w:pPr>
      <w:suppressAutoHyphens w:val="0"/>
      <w:spacing w:before="100" w:beforeAutospacing="1" w:after="100" w:afterAutospacing="1" w:line="240" w:lineRule="auto"/>
    </w:pPr>
    <w:rPr>
      <w:sz w:val="24"/>
      <w:szCs w:val="24"/>
      <w:lang w:eastAsia="en-GB"/>
    </w:rPr>
  </w:style>
  <w:style w:type="character" w:customStyle="1" w:styleId="cf11">
    <w:name w:val="cf11"/>
    <w:basedOn w:val="DefaultParagraphFont"/>
    <w:rsid w:val="00D40054"/>
    <w:rPr>
      <w:rFonts w:ascii="Segoe UI" w:hAnsi="Segoe UI" w:cs="Segoe UI" w:hint="default"/>
      <w:sz w:val="18"/>
      <w:szCs w:val="18"/>
    </w:rPr>
  </w:style>
  <w:style w:type="character" w:customStyle="1" w:styleId="spipnoteref">
    <w:name w:val="spip_note_ref"/>
    <w:basedOn w:val="DefaultParagraphFont"/>
    <w:rsid w:val="00D40054"/>
  </w:style>
  <w:style w:type="character" w:customStyle="1" w:styleId="UnresolvedMention4">
    <w:name w:val="Unresolved Mention4"/>
    <w:basedOn w:val="DefaultParagraphFont"/>
    <w:uiPriority w:val="99"/>
    <w:semiHidden/>
    <w:unhideWhenUsed/>
    <w:rsid w:val="00D40054"/>
    <w:rPr>
      <w:color w:val="605E5C"/>
      <w:shd w:val="clear" w:color="auto" w:fill="E1DFDD"/>
    </w:rPr>
  </w:style>
  <w:style w:type="character" w:customStyle="1" w:styleId="UnresolvedMention5">
    <w:name w:val="Unresolved Mention5"/>
    <w:basedOn w:val="DefaultParagraphFont"/>
    <w:uiPriority w:val="99"/>
    <w:unhideWhenUsed/>
    <w:rsid w:val="00D40054"/>
    <w:rPr>
      <w:color w:val="605E5C"/>
      <w:shd w:val="clear" w:color="auto" w:fill="E1DFDD"/>
    </w:rPr>
  </w:style>
  <w:style w:type="character" w:customStyle="1" w:styleId="cf21">
    <w:name w:val="cf21"/>
    <w:basedOn w:val="DefaultParagraphFont"/>
    <w:rsid w:val="00D40054"/>
    <w:rPr>
      <w:rFonts w:ascii="Segoe UI" w:hAnsi="Segoe UI" w:cs="Segoe UI" w:hint="default"/>
      <w:b/>
      <w:bCs/>
      <w:sz w:val="18"/>
      <w:szCs w:val="18"/>
      <w:shd w:val="clear" w:color="auto" w:fill="D3D3D3"/>
    </w:rPr>
  </w:style>
  <w:style w:type="paragraph" w:customStyle="1" w:styleId="FootnotesymbolCarZchn">
    <w:name w:val="Footnote symbol Car Zchn"/>
    <w:aliases w:val="Footnote Car Zchn,Times 10 Point Car Zchn,Exposant 3 Point Car Zchn,Footnote Reference Superscript Car Zchn, Char Char Char Char Char Car Zchn,BVI fnr Car Zchn, BVI fnr Car Zchn,SUPERS Car Zchn,Char Char Char Char Char Car Zchn"/>
    <w:basedOn w:val="Normal"/>
    <w:qFormat/>
    <w:rsid w:val="00503B40"/>
    <w:pPr>
      <w:suppressAutoHyphens w:val="0"/>
      <w:spacing w:after="160" w:line="240" w:lineRule="exact"/>
      <w:jc w:val="both"/>
    </w:pPr>
    <w:rPr>
      <w:rFonts w:asciiTheme="minorHAnsi" w:eastAsiaTheme="minorHAnsi" w:hAnsiTheme="minorHAnsi" w:cstheme="minorBidi"/>
      <w:sz w:val="24"/>
      <w:szCs w:val="24"/>
      <w:vertAlign w:val="superscript"/>
      <w:lang w:val="en-US"/>
    </w:rPr>
  </w:style>
  <w:style w:type="paragraph" w:customStyle="1" w:styleId="SingleTxt">
    <w:name w:val="__Single Txt"/>
    <w:basedOn w:val="Normal"/>
    <w:rsid w:val="00503B4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spacing w:val="4"/>
      <w:w w:val="103"/>
      <w:kern w:val="14"/>
    </w:rPr>
  </w:style>
  <w:style w:type="character" w:customStyle="1" w:styleId="apple-converted-space">
    <w:name w:val="apple-converted-space"/>
    <w:basedOn w:val="DefaultParagraphFont"/>
    <w:rsid w:val="00B1032D"/>
  </w:style>
  <w:style w:type="character" w:customStyle="1" w:styleId="cit-name-given-names">
    <w:name w:val="cit-name-given-names"/>
    <w:basedOn w:val="DefaultParagraphFont"/>
    <w:rsid w:val="00552F68"/>
  </w:style>
  <w:style w:type="character" w:customStyle="1" w:styleId="cit-name-surname">
    <w:name w:val="cit-name-surname"/>
    <w:basedOn w:val="DefaultParagraphFont"/>
    <w:rsid w:val="00552F68"/>
  </w:style>
  <w:style w:type="character" w:styleId="HTMLCite">
    <w:name w:val="HTML Cite"/>
    <w:basedOn w:val="DefaultParagraphFont"/>
    <w:uiPriority w:val="99"/>
    <w:semiHidden/>
    <w:unhideWhenUsed/>
    <w:rsid w:val="00552F68"/>
    <w:rPr>
      <w:i/>
      <w:iCs/>
    </w:rPr>
  </w:style>
  <w:style w:type="character" w:customStyle="1" w:styleId="cit-article-title">
    <w:name w:val="cit-article-title"/>
    <w:basedOn w:val="DefaultParagraphFont"/>
    <w:rsid w:val="00552F68"/>
  </w:style>
  <w:style w:type="character" w:customStyle="1" w:styleId="cit-vol">
    <w:name w:val="cit-vol"/>
    <w:basedOn w:val="DefaultParagraphFont"/>
    <w:rsid w:val="00552F68"/>
  </w:style>
  <w:style w:type="character" w:customStyle="1" w:styleId="cit-fpage">
    <w:name w:val="cit-fpage"/>
    <w:basedOn w:val="DefaultParagraphFont"/>
    <w:rsid w:val="00552F68"/>
  </w:style>
  <w:style w:type="character" w:customStyle="1" w:styleId="cit-lpage">
    <w:name w:val="cit-lpage"/>
    <w:basedOn w:val="DefaultParagraphFont"/>
    <w:rsid w:val="00552F68"/>
  </w:style>
  <w:style w:type="character" w:customStyle="1" w:styleId="cit-pub-date">
    <w:name w:val="cit-pub-date"/>
    <w:basedOn w:val="DefaultParagraphFont"/>
    <w:rsid w:val="00552F68"/>
  </w:style>
  <w:style w:type="paragraph" w:customStyle="1" w:styleId="H1">
    <w:name w:val="_ H_1"/>
    <w:basedOn w:val="Normal"/>
    <w:next w:val="SingleTxt"/>
    <w:rsid w:val="003F087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TOC3">
    <w:name w:val="toc 3"/>
    <w:basedOn w:val="Normal"/>
    <w:next w:val="Normal"/>
    <w:autoRedefine/>
    <w:uiPriority w:val="39"/>
    <w:unhideWhenUsed/>
    <w:rsid w:val="00431F7D"/>
    <w:pPr>
      <w:suppressAutoHyphens w:val="0"/>
      <w:spacing w:after="100" w:line="259" w:lineRule="auto"/>
      <w:ind w:left="440"/>
    </w:pPr>
    <w:rPr>
      <w:rFonts w:asciiTheme="minorHAnsi" w:eastAsiaTheme="minorEastAsia" w:hAnsiTheme="minorHAnsi"/>
      <w:sz w:val="22"/>
      <w:szCs w:val="22"/>
      <w:lang w:val="en-US"/>
    </w:rPr>
  </w:style>
  <w:style w:type="paragraph" w:customStyle="1" w:styleId="HCh">
    <w:name w:val="_ H _Ch"/>
    <w:basedOn w:val="H1"/>
    <w:next w:val="SingleTxt"/>
    <w:rsid w:val="00FE09C7"/>
    <w:pPr>
      <w:spacing w:line="300" w:lineRule="exact"/>
      <w:ind w:left="0" w:right="0" w:firstLine="0"/>
    </w:pPr>
    <w:rPr>
      <w:rFonts w:eastAsiaTheme="minorHAnsi"/>
      <w:spacing w:val="-2"/>
      <w:sz w:val="28"/>
    </w:rPr>
  </w:style>
  <w:style w:type="character" w:styleId="PlaceholderText">
    <w:name w:val="Placeholder Text"/>
    <w:basedOn w:val="DefaultParagraphFont"/>
    <w:uiPriority w:val="99"/>
    <w:semiHidden/>
    <w:qFormat/>
    <w:rsid w:val="001507D1"/>
    <w:rPr>
      <w:color w:val="808080"/>
    </w:rPr>
  </w:style>
  <w:style w:type="character" w:customStyle="1" w:styleId="apple-tab-span">
    <w:name w:val="apple-tab-span"/>
    <w:basedOn w:val="DefaultParagraphFont"/>
    <w:rsid w:val="006759C7"/>
  </w:style>
  <w:style w:type="paragraph" w:styleId="BodyText">
    <w:name w:val="Body Text"/>
    <w:basedOn w:val="Normal"/>
    <w:link w:val="BodyTextChar"/>
    <w:uiPriority w:val="1"/>
    <w:qFormat/>
    <w:rsid w:val="00D87837"/>
    <w:pPr>
      <w:widowControl w:val="0"/>
      <w:suppressAutoHyphens w:val="0"/>
      <w:autoSpaceDE w:val="0"/>
      <w:autoSpaceDN w:val="0"/>
      <w:spacing w:line="240" w:lineRule="auto"/>
    </w:pPr>
    <w:rPr>
      <w:lang w:val="en-US"/>
    </w:rPr>
  </w:style>
  <w:style w:type="character" w:customStyle="1" w:styleId="BodyTextChar">
    <w:name w:val="Body Text Char"/>
    <w:basedOn w:val="DefaultParagraphFont"/>
    <w:link w:val="BodyText"/>
    <w:uiPriority w:val="1"/>
    <w:rsid w:val="00D87837"/>
    <w:rPr>
      <w:lang w:val="en-US" w:eastAsia="en-US"/>
    </w:rPr>
  </w:style>
  <w:style w:type="character" w:customStyle="1" w:styleId="EndnoteTextChar">
    <w:name w:val="Endnote Text Char"/>
    <w:aliases w:val="2_G Char"/>
    <w:basedOn w:val="DefaultParagraphFont"/>
    <w:link w:val="EndnoteText"/>
    <w:uiPriority w:val="99"/>
    <w:rsid w:val="00D84DF4"/>
    <w:rPr>
      <w:sz w:val="18"/>
      <w:lang w:val="en-US" w:eastAsia="en-US"/>
    </w:rPr>
  </w:style>
  <w:style w:type="character" w:customStyle="1" w:styleId="None">
    <w:name w:val="None"/>
    <w:rsid w:val="00D84DF4"/>
  </w:style>
  <w:style w:type="paragraph" w:customStyle="1" w:styleId="Body">
    <w:name w:val="Body"/>
    <w:rsid w:val="00D84DF4"/>
    <w:pPr>
      <w:pBdr>
        <w:top w:val="nil"/>
        <w:left w:val="nil"/>
        <w:bottom w:val="nil"/>
        <w:right w:val="nil"/>
        <w:between w:val="nil"/>
        <w:bar w:val="nil"/>
      </w:pBdr>
      <w:spacing w:line="276" w:lineRule="auto"/>
    </w:pPr>
    <w:rPr>
      <w:rFonts w:ascii="Arial" w:eastAsia="Arial Unicode MS" w:hAnsi="Arial" w:cs="Arial Unicode MS"/>
      <w:color w:val="000000"/>
      <w:sz w:val="22"/>
      <w:szCs w:val="22"/>
      <w:u w:color="000000"/>
      <w:bdr w:val="nil"/>
      <w:lang w:val="it-IT" w:eastAsia="en-US"/>
      <w14:textOutline w14:w="0" w14:cap="flat" w14:cmpd="sng" w14:algn="ctr">
        <w14:noFill/>
        <w14:prstDash w14:val="solid"/>
        <w14:bevel/>
      </w14:textOutline>
    </w:rPr>
  </w:style>
  <w:style w:type="character" w:customStyle="1" w:styleId="Hyperlink0">
    <w:name w:val="Hyperlink.0"/>
    <w:basedOn w:val="None"/>
    <w:rsid w:val="00D84DF4"/>
    <w:rPr>
      <w:rFonts w:ascii="Times New Roman" w:eastAsia="Times New Roman" w:hAnsi="Times New Roman" w:cs="Times New Roman"/>
      <w:outline w:val="0"/>
      <w:color w:val="1155CC"/>
      <w:u w:val="single" w:color="1155CC"/>
    </w:rPr>
  </w:style>
  <w:style w:type="character" w:customStyle="1" w:styleId="ref-journal">
    <w:name w:val="ref-journal"/>
    <w:basedOn w:val="DefaultParagraphFont"/>
    <w:rsid w:val="00D84DF4"/>
  </w:style>
  <w:style w:type="paragraph" w:customStyle="1" w:styleId="specific-use-nonindented">
    <w:name w:val="specific-use-nonindented"/>
    <w:basedOn w:val="Normal"/>
    <w:rsid w:val="00D84DF4"/>
    <w:pPr>
      <w:suppressAutoHyphens w:val="0"/>
      <w:spacing w:before="100" w:beforeAutospacing="1" w:after="100" w:afterAutospacing="1" w:line="240" w:lineRule="auto"/>
    </w:pPr>
    <w:rPr>
      <w:sz w:val="24"/>
      <w:szCs w:val="24"/>
      <w:lang w:val="en-CA"/>
    </w:rPr>
  </w:style>
  <w:style w:type="character" w:customStyle="1" w:styleId="abt-citation">
    <w:name w:val="abt-citation"/>
    <w:basedOn w:val="DefaultParagraphFont"/>
    <w:rsid w:val="00D84DF4"/>
  </w:style>
  <w:style w:type="character" w:customStyle="1" w:styleId="ref-title">
    <w:name w:val="ref-title"/>
    <w:basedOn w:val="DefaultParagraphFont"/>
    <w:rsid w:val="00D84DF4"/>
  </w:style>
  <w:style w:type="character" w:customStyle="1" w:styleId="ref-vol">
    <w:name w:val="ref-vol"/>
    <w:basedOn w:val="DefaultParagraphFont"/>
    <w:rsid w:val="00D84DF4"/>
  </w:style>
  <w:style w:type="paragraph" w:customStyle="1" w:styleId="p">
    <w:name w:val="p"/>
    <w:basedOn w:val="Normal"/>
    <w:rsid w:val="00D84DF4"/>
    <w:pPr>
      <w:suppressAutoHyphens w:val="0"/>
      <w:spacing w:before="100" w:beforeAutospacing="1" w:after="100" w:afterAutospacing="1" w:line="240" w:lineRule="auto"/>
    </w:pPr>
    <w:rPr>
      <w:sz w:val="24"/>
      <w:szCs w:val="24"/>
      <w:lang w:val="en-CA"/>
    </w:rPr>
  </w:style>
  <w:style w:type="character" w:customStyle="1" w:styleId="element-citation">
    <w:name w:val="element-citation"/>
    <w:basedOn w:val="DefaultParagraphFont"/>
    <w:rsid w:val="00D84DF4"/>
  </w:style>
  <w:style w:type="character" w:customStyle="1" w:styleId="Heading9Char">
    <w:name w:val="Heading 9 Char"/>
    <w:basedOn w:val="DefaultParagraphFont"/>
    <w:link w:val="Heading9"/>
    <w:semiHidden/>
    <w:rsid w:val="00D84DF4"/>
    <w:rPr>
      <w:lang w:eastAsia="en-US"/>
    </w:rPr>
  </w:style>
  <w:style w:type="character" w:styleId="UnresolvedMention">
    <w:name w:val="Unresolved Mention"/>
    <w:basedOn w:val="DefaultParagraphFont"/>
    <w:uiPriority w:val="99"/>
    <w:semiHidden/>
    <w:unhideWhenUsed/>
    <w:rsid w:val="00293C02"/>
    <w:rPr>
      <w:color w:val="605E5C"/>
      <w:shd w:val="clear" w:color="auto" w:fill="E1DFDD"/>
    </w:rPr>
  </w:style>
  <w:style w:type="paragraph" w:styleId="Title">
    <w:name w:val="Title"/>
    <w:basedOn w:val="Normal"/>
    <w:link w:val="TitleChar"/>
    <w:qFormat/>
    <w:rsid w:val="00810E73"/>
    <w:pPr>
      <w:suppressAutoHyphens w:val="0"/>
      <w:spacing w:line="240" w:lineRule="auto"/>
      <w:jc w:val="center"/>
    </w:pPr>
    <w:rPr>
      <w:rFonts w:ascii="Univers" w:hAnsi="Univers"/>
      <w:b/>
      <w:bCs/>
      <w:sz w:val="28"/>
      <w:szCs w:val="24"/>
    </w:rPr>
  </w:style>
  <w:style w:type="character" w:customStyle="1" w:styleId="TitleChar">
    <w:name w:val="Title Char"/>
    <w:basedOn w:val="DefaultParagraphFont"/>
    <w:link w:val="Title"/>
    <w:rsid w:val="00810E73"/>
    <w:rPr>
      <w:rFonts w:ascii="Univers" w:hAnsi="Univers"/>
      <w:b/>
      <w:bCs/>
      <w:sz w:val="28"/>
      <w:szCs w:val="24"/>
      <w:lang w:eastAsia="en-US"/>
    </w:rPr>
  </w:style>
  <w:style w:type="paragraph" w:customStyle="1" w:styleId="-EFunotenzeichen">
    <w:name w:val="-E Fußnotenzeichen"/>
    <w:aliases w:val="Carattere Char1,Carattere Char Char Carattere Carattere Char Char, Carattere Char1, Carattere Char Char Carattere Carattere Char Char,Footnote,Footnotes refss Char"/>
    <w:basedOn w:val="Normal"/>
    <w:uiPriority w:val="99"/>
    <w:rsid w:val="00160AF0"/>
    <w:pPr>
      <w:suppressAutoHyphens w:val="0"/>
      <w:spacing w:after="160" w:line="240" w:lineRule="exact"/>
    </w:pPr>
    <w:rPr>
      <w:rFonts w:eastAsiaTheme="minorHAnsi" w:cstheme="minorBidi"/>
      <w:sz w:val="18"/>
      <w:szCs w:val="24"/>
      <w:vertAlign w:val="superscript"/>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hchr.org/EN/Issues/Environment/SREnvironment/Pages/Annualreports.aspx"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eall.org/case-studies#Wellbeing+Business" TargetMode="External"/><Relationship Id="rId3" Type="http://schemas.openxmlformats.org/officeDocument/2006/relationships/hyperlink" Target="http://undocs.org/en/A/HRC/48/61" TargetMode="External"/><Relationship Id="rId7" Type="http://schemas.openxmlformats.org/officeDocument/2006/relationships/hyperlink" Target="https://weall.org/wego" TargetMode="External"/><Relationship Id="rId2" Type="http://schemas.openxmlformats.org/officeDocument/2006/relationships/hyperlink" Target="https://www.sunpowerbyqhs.com/blog/what-does-cradle-to-cradle-certified-mean-for-su" TargetMode="External"/><Relationship Id="rId1" Type="http://schemas.openxmlformats.org/officeDocument/2006/relationships/hyperlink" Target="https://www.solitek.eu/en/news/worlds-first-and-only-pv-industry-company-received-c2c-gold-certification" TargetMode="External"/><Relationship Id="rId6" Type="http://schemas.openxmlformats.org/officeDocument/2006/relationships/hyperlink" Target="https://www.theguardian.com/media/2023/nov/22/toyota-suv-adverts-banned-in-uk-on-environmental-grounds" TargetMode="External"/><Relationship Id="rId5" Type="http://schemas.openxmlformats.org/officeDocument/2006/relationships/hyperlink" Target="https://www.reuters.com/article/us-chile-codelco/chilean-environmental-court-approves-codelcos-salvador-water-overuse-remedy-plan-idUSKBN2941QB" TargetMode="External"/><Relationship Id="rId4" Type="http://schemas.openxmlformats.org/officeDocument/2006/relationships/hyperlink" Target="https://naturaljustice.org/the-rooibos-access-and-benefit-sharing-agre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2022-03-25T10:13:40+00:00</Document_x0020_Date>
    <UDOfficeOfOrigin xmlns="45d51fac-69ef-452b-9906-e49edf10792a" xsi:nil="true"/>
    <UDAddedOn xmlns="45d51fac-69ef-452b-9906-e49edf10792a" xsi:nil="true"/>
    <ProjectName xmlns="45d51fac-69ef-452b-9906-e49edf10792a" xsi:nil="true"/>
    <UDModifiedBy xmlns="45d51fac-69ef-452b-9906-e49edf10792a" xsi:nil="true"/>
    <UDModifiedOn xmlns="45d51fac-69ef-452b-9906-e49edf10792a" xsi:nil="true"/>
    <ThematicArea xmlns="45d51fac-69ef-452b-9906-e49edf10792a" xsi:nil="true"/>
    <UDAddedBy xmlns="45d51fac-69ef-452b-9906-e49edf10792a" xsi:nil="true"/>
    <ReportType xmlns="45d51fac-69ef-452b-9906-e49edf10792a" xsi:nil="true"/>
    <Document_x0020_Type xmlns="985ec44e-1bab-4c0b-9df0-6ba128686fc9">UN others</Document_x0020_Type>
    <Meeting xmlns="45d51fac-69ef-452b-9906-e49edf10792a" xsi:nil="true"/>
    <Treaty_x0020_Body xmlns="45d51fac-69ef-452b-9906-e49edf10792a" xsi:nil="true"/>
    <Donor xmlns="45d51fac-69ef-452b-9906-e49edf10792a" xsi:nil="true"/>
    <Country xmlns="45d51fac-69ef-452b-9906-e49edf10792a" xsi:nil="true"/>
    <Session xmlns="45d51fac-69ef-452b-9906-e49edf10792a" xsi:nil="true"/>
    <Date_x0020_Sent xmlns="985ec44e-1bab-4c0b-9df0-6ba128686fc9">2022-03-25T10:13:40+00:00</Date_x0020_Sent>
    <Personal_x0020_Information_x0020__x0028_PII_x0029_ xmlns="985ec44e-1bab-4c0b-9df0-6ba128686fc9">false</Personal_x0020_Information_x0020__x0028_PII_x0029_>
    <Date_x0020_Received xmlns="985ec44e-1bab-4c0b-9df0-6ba128686fc9">2022-03-25T10:13:40+00:00</Date_x0020_Received>
    <FieldOffice xmlns="45d51fac-69ef-452b-9906-e49edf10792a" xsi:nil="true"/>
    <WorkingGroup xmlns="45d51fac-69ef-452b-9906-e49edf10792a" xsi:nil="true"/>
    <Linked_x0020_Records xmlns="985ec44e-1bab-4c0b-9df0-6ba128686fc9">
      <Url xsi:nil="true"/>
      <Description xsi:nil="true"/>
    </Linked_x0020_Records>
    <Security_x0020_Level xmlns="985ec44e-1bab-4c0b-9df0-6ba128686fc9">Unclassified</Security_x0020_Level>
    <UN_x0020_Official_x0020_Language xmlns="985ec44e-1bab-4c0b-9df0-6ba128686fc9">English</UN_x0020_Official_x0020_Languag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3F5CEDE0A20B145AC359A6697E32DE0" ma:contentTypeVersion="56" ma:contentTypeDescription="Create a new document." ma:contentTypeScope="" ma:versionID="a234571330792d60885a741cad9724a1">
  <xsd:schema xmlns:xsd="http://www.w3.org/2001/XMLSchema" xmlns:xs="http://www.w3.org/2001/XMLSchema" xmlns:p="http://schemas.microsoft.com/office/2006/metadata/properties" xmlns:ns2="985ec44e-1bab-4c0b-9df0-6ba128686fc9" xmlns:ns4="45d51fac-69ef-452b-9906-e49edf10792a" xmlns:ns5="b374fb6f-4518-4128-998a-b914b2906915" targetNamespace="http://schemas.microsoft.com/office/2006/metadata/properties" ma:root="true" ma:fieldsID="27d76e7de5f505bb11f4ab53da3f120c" ns2:_="" ns4:_="" ns5:_="">
    <xsd:import namespace="985ec44e-1bab-4c0b-9df0-6ba128686fc9"/>
    <xsd:import namespace="45d51fac-69ef-452b-9906-e49edf10792a"/>
    <xsd:import namespace="b374fb6f-4518-4128-998a-b914b2906915"/>
    <xsd:element name="properties">
      <xsd:complexType>
        <xsd:sequence>
          <xsd:element name="documentManagement">
            <xsd:complexType>
              <xsd:all>
                <xsd:element ref="ns2:Date_x0020_Received" minOccurs="0"/>
                <xsd:element ref="ns2:Date_x0020_Sent" minOccurs="0"/>
                <xsd:element ref="ns2:Document_x0020_Date" minOccurs="0"/>
                <xsd:element ref="ns2:Document_x0020_Type" minOccurs="0"/>
                <xsd:element ref="ns2:UN_x0020_Official_x0020_Language" minOccurs="0"/>
                <xsd:element ref="ns2:Linked_x0020_Records" minOccurs="0"/>
                <xsd:element ref="ns2:Personal_x0020_Information_x0020__x0028_PII_x0029_" minOccurs="0"/>
                <xsd:element ref="ns2:Security_x0020_Level" minOccurs="0"/>
                <xsd:element ref="ns4:Country" minOccurs="0"/>
                <xsd:element ref="ns4:Meeting" minOccurs="0"/>
                <xsd:element ref="ns4:ReportType" minOccurs="0"/>
                <xsd:element ref="ns4:ThematicArea" minOccurs="0"/>
                <xsd:element ref="ns4:Treaty_x0020_Body" minOccurs="0"/>
                <xsd:element ref="ns4:UDAddedBy" minOccurs="0"/>
                <xsd:element ref="ns4:UDAddedOn" minOccurs="0"/>
                <xsd:element ref="ns4:UDModifiedOn" minOccurs="0"/>
                <xsd:element ref="ns4:UDOfficeOfOrigin" minOccurs="0"/>
                <xsd:element ref="ns4:WorkingGroup" minOccurs="0"/>
                <xsd:element ref="ns4:Donor" minOccurs="0"/>
                <xsd:element ref="ns4:FieldOffice" minOccurs="0"/>
                <xsd:element ref="ns4:UDModifiedBy" minOccurs="0"/>
                <xsd:element ref="ns4:Session" minOccurs="0"/>
                <xsd:element ref="ns4:ProjectNam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4:SharedWithUsers" minOccurs="0"/>
                <xsd:element ref="ns4:SharedWithDetails"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8" nillable="true" ma:displayName="Date Received" ma:default="[today]" ma:format="DateOnly" ma:internalName="Date_x0020_Received">
      <xsd:simpleType>
        <xsd:restriction base="dms:DateTime"/>
      </xsd:simpleType>
    </xsd:element>
    <xsd:element name="Date_x0020_Sent" ma:index="9" nillable="true" ma:displayName="Date Sent" ma:default="[today]" ma:format="DateOnly" ma:internalName="Date_x0020_Sent">
      <xsd:simpleType>
        <xsd:restriction base="dms:DateTime"/>
      </xsd:simpleType>
    </xsd:element>
    <xsd:element name="Document_x0020_Date" ma:index="10" nillable="true" ma:displayName="Document Date" ma:default="[today]" ma:description="The date when the file was drafted" ma:format="DateOnly" ma:internalName="Document_x0020_Date">
      <xsd:simpleType>
        <xsd:restriction base="dms:DateTime"/>
      </xsd:simpleType>
    </xsd:element>
    <xsd:element name="Document_x0020_Type" ma:index="11"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2"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3"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Personal_x0020_Information_x0020__x0028_PII_x0029_" ma:index="14"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15"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45d51fac-69ef-452b-9906-e49edf10792a" elementFormDefault="qualified">
    <xsd:import namespace="http://schemas.microsoft.com/office/2006/documentManagement/types"/>
    <xsd:import namespace="http://schemas.microsoft.com/office/infopath/2007/PartnerControls"/>
    <xsd:element name="Country" ma:index="19" nillable="true" ma:displayName="Country" ma:internalName="Country">
      <xsd:simpleType>
        <xsd:restriction base="dms:Text"/>
      </xsd:simpleType>
    </xsd:element>
    <xsd:element name="Meeting" ma:index="20" nillable="true" ma:displayName="Meeting" ma:internalName="Meeting">
      <xsd:simpleType>
        <xsd:restriction base="dms:Text"/>
      </xsd:simpleType>
    </xsd:element>
    <xsd:element name="ReportType" ma:index="21" nillable="true" ma:displayName="Report Type" ma:internalName="ReportType">
      <xsd:simpleType>
        <xsd:restriction base="dms:Text"/>
      </xsd:simpleType>
    </xsd:element>
    <xsd:element name="ThematicArea" ma:index="22" nillable="true" ma:displayName="Thematic Area" ma:internalName="ThematicArea">
      <xsd:simpleType>
        <xsd:restriction base="dms:Text"/>
      </xsd:simpleType>
    </xsd:element>
    <xsd:element name="Treaty_x0020_Body" ma:index="23" nillable="true" ma:displayName="Treaty Body" ma:internalName="Treaty_x0020_Body">
      <xsd:simpleType>
        <xsd:restriction base="dms:Text"/>
      </xsd:simpleType>
    </xsd:element>
    <xsd:element name="UDAddedBy" ma:index="24" nillable="true" ma:displayName="UD Added By" ma:internalName="UDAddedBy">
      <xsd:simpleType>
        <xsd:restriction base="dms:Text"/>
      </xsd:simpleType>
    </xsd:element>
    <xsd:element name="UDAddedOn" ma:index="25" nillable="true" ma:displayName="UD Added On" ma:internalName="UDAddedOn">
      <xsd:simpleType>
        <xsd:restriction base="dms:Text"/>
      </xsd:simpleType>
    </xsd:element>
    <xsd:element name="UDModifiedOn" ma:index="26" nillable="true" ma:displayName="UD Modified On" ma:internalName="UDModifiedOn">
      <xsd:simpleType>
        <xsd:restriction base="dms:Text"/>
      </xsd:simpleType>
    </xsd:element>
    <xsd:element name="UDOfficeOfOrigin" ma:index="27" nillable="true" ma:displayName="UD Office of Origin" ma:internalName="UDOfficeOfOrigin">
      <xsd:simpleType>
        <xsd:restriction base="dms:Text"/>
      </xsd:simpleType>
    </xsd:element>
    <xsd:element name="WorkingGroup" ma:index="28" nillable="true" ma:displayName="Working Group" ma:internalName="WorkingGroup">
      <xsd:simpleType>
        <xsd:restriction base="dms:Text"/>
      </xsd:simpleType>
    </xsd:element>
    <xsd:element name="Donor" ma:index="29" nillable="true" ma:displayName="Donor" ma:internalName="Donor">
      <xsd:simpleType>
        <xsd:restriction base="dms:Text"/>
      </xsd:simpleType>
    </xsd:element>
    <xsd:element name="FieldOffice" ma:index="30" nillable="true" ma:displayName="Field Office" ma:internalName="FieldOffice">
      <xsd:simpleType>
        <xsd:restriction base="dms:Text"/>
      </xsd:simpleType>
    </xsd:element>
    <xsd:element name="UDModifiedBy" ma:index="31" nillable="true" ma:displayName="UD Modified By" ma:internalName="UDModifiedBy">
      <xsd:simpleType>
        <xsd:restriction base="dms:Text"/>
      </xsd:simpleType>
    </xsd:element>
    <xsd:element name="Session" ma:index="32" nillable="true" ma:displayName="Session" ma:internalName="Session">
      <xsd:simpleType>
        <xsd:restriction base="dms:Text"/>
      </xsd:simpleType>
    </xsd:element>
    <xsd:element name="ProjectName" ma:index="33" nillable="true" ma:displayName="Project Name" ma:internalName="ProjectName">
      <xsd:simpleType>
        <xsd:restriction base="dms:Text"/>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74fb6f-4518-4128-998a-b914b2906915" elementFormDefault="qualified">
    <xsd:import namespace="http://schemas.microsoft.com/office/2006/documentManagement/types"/>
    <xsd:import namespace="http://schemas.microsoft.com/office/infopath/2007/PartnerControls"/>
    <xsd:element name="MediaServiceMetadata" ma:index="34" nillable="true" ma:displayName="MediaServiceMetadata" ma:hidden="true" ma:internalName="MediaServiceMetadata" ma:readOnly="true">
      <xsd:simpleType>
        <xsd:restriction base="dms:Note"/>
      </xsd:simpleType>
    </xsd:element>
    <xsd:element name="MediaServiceFastMetadata" ma:index="35" nillable="true" ma:displayName="MediaServiceFastMetadata" ma:hidden="true" ma:internalName="MediaServiceFastMetadata" ma:readOnly="true">
      <xsd:simpleType>
        <xsd:restriction base="dms:Note"/>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element name="MediaServiceAutoTags" ma:index="38" nillable="true" ma:displayName="Tags" ma:internalName="MediaServiceAutoTags" ma:readOnly="true">
      <xsd:simpleType>
        <xsd:restriction base="dms:Text"/>
      </xsd:simple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DateTaken" ma:index="42" nillable="true" ma:displayName="MediaServiceDateTaken" ma:hidden="true" ma:internalName="MediaServiceDateTaken" ma:readOnly="true">
      <xsd:simpleType>
        <xsd:restriction base="dms:Text"/>
      </xsd:simpleType>
    </xsd:element>
    <xsd:element name="MediaServiceLocation" ma:index="43" nillable="true" ma:displayName="Location" ma:internalName="MediaServiceLocation" ma:readOnly="true">
      <xsd:simpleType>
        <xsd:restriction base="dms:Text"/>
      </xsd:simpleType>
    </xsd:element>
    <xsd:element name="MediaServiceObjectDetectorVersions" ma:index="46" nillable="true" ma:displayName="MediaServiceObjectDetectorVersions" ma:hidden="true" ma:indexed="true" ma:internalName="MediaServiceObjectDetectorVersions" ma:readOnly="true">
      <xsd:simpleType>
        <xsd:restriction base="dms:Text"/>
      </xsd:simpleType>
    </xsd:element>
    <xsd:element name="MediaServiceSearchProperties" ma:index="4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6"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17" ma:displayName="Subject"/>
        <xsd:element ref="dc:description" minOccurs="0" maxOccurs="1"/>
        <xsd:element name="keywords" minOccurs="0" maxOccurs="1" type="xsd:string" ma:index="1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98C13-B877-414B-87C0-E0E15CAB963A}">
  <ds:schemaRefs>
    <ds:schemaRef ds:uri="http://schemas.microsoft.com/office/2006/metadata/properties"/>
    <ds:schemaRef ds:uri="http://schemas.microsoft.com/office/infopath/2007/PartnerControls"/>
    <ds:schemaRef ds:uri="985ec44e-1bab-4c0b-9df0-6ba128686fc9"/>
    <ds:schemaRef ds:uri="45d51fac-69ef-452b-9906-e49edf10792a"/>
  </ds:schemaRefs>
</ds:datastoreItem>
</file>

<file path=customXml/itemProps2.xml><?xml version="1.0" encoding="utf-8"?>
<ds:datastoreItem xmlns:ds="http://schemas.openxmlformats.org/officeDocument/2006/customXml" ds:itemID="{DB1E364D-E76B-481F-A97D-0FE3118E53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45d51fac-69ef-452b-9906-e49edf10792a"/>
    <ds:schemaRef ds:uri="b374fb6f-4518-4128-998a-b914b29069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41D596-4DB0-4275-84A3-E373E3828D1E}">
  <ds:schemaRefs>
    <ds:schemaRef ds:uri="http://schemas.microsoft.com/sharepoint/v3/contenttype/forms"/>
  </ds:schemaRefs>
</ds:datastoreItem>
</file>

<file path=customXml/itemProps4.xml><?xml version="1.0" encoding="utf-8"?>
<ds:datastoreItem xmlns:ds="http://schemas.openxmlformats.org/officeDocument/2006/customXml" ds:itemID="{85EEB7E8-11CB-472F-8A78-E56CA375F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22</Pages>
  <Words>11375</Words>
  <Characters>64842</Characters>
  <Application>Microsoft Office Word</Application>
  <DocSecurity>0</DocSecurity>
  <Lines>540</Lines>
  <Paragraphs>152</Paragraphs>
  <ScaleCrop>false</ScaleCrop>
  <Company/>
  <LinksUpToDate>false</LinksUpToDate>
  <CharactersWithSpaces>76065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A/76/21024545</dc:title>
  <dc:creator>GONZALEZ PEREZ Marcel</dc:creator>
  <cp:lastModifiedBy>PALAZZO Cristina Maria Carmela</cp:lastModifiedBy>
  <cp:revision>68</cp:revision>
  <dcterms:created xsi:type="dcterms:W3CDTF">2024-02-15T13:27:00Z</dcterms:created>
  <dcterms:modified xsi:type="dcterms:W3CDTF">2024-02-16T14:56:00Z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0x01010063F5CEDE0A20B145AC359A6697E32DE0</vt:lpwstr>
  </property>
</Properties>
</file>