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104D" w:rsidRDefault="00E1104D" w:rsidP="00E1104D">
      <w:pPr>
        <w:rPr>
          <w:rFonts w:ascii="휴먼명조" w:eastAsia="휴먼명조" w:hAnsi="바탕체"/>
          <w:b/>
        </w:rPr>
      </w:pPr>
      <w:r w:rsidRPr="009372C4">
        <w:rPr>
          <w:rFonts w:ascii="휴먼명조" w:eastAsia="휴먼명조" w:hAnsi="바탕체" w:hint="eastAsia"/>
          <w:b/>
        </w:rPr>
        <w:t>&lt;제5</w:t>
      </w:r>
      <w:r>
        <w:rPr>
          <w:rFonts w:ascii="휴먼명조" w:eastAsia="휴먼명조" w:hAnsi="바탕체"/>
          <w:b/>
        </w:rPr>
        <w:t>4</w:t>
      </w:r>
      <w:r w:rsidRPr="009372C4">
        <w:rPr>
          <w:rFonts w:ascii="휴먼명조" w:eastAsia="휴먼명조" w:hAnsi="바탕체" w:hint="eastAsia"/>
          <w:b/>
        </w:rPr>
        <w:t>차 유엔 인권이사회 정기회기(</w:t>
      </w:r>
      <w:r w:rsidRPr="009372C4">
        <w:rPr>
          <w:rFonts w:ascii="휴먼명조" w:eastAsia="휴먼명조" w:hAnsi="바탕체"/>
          <w:b/>
        </w:rPr>
        <w:t>2023</w:t>
      </w:r>
      <w:r>
        <w:rPr>
          <w:rFonts w:ascii="휴먼명조" w:eastAsia="휴먼명조" w:hAnsi="바탕체"/>
          <w:b/>
        </w:rPr>
        <w:t>. 9</w:t>
      </w:r>
      <w:r w:rsidRPr="009372C4">
        <w:rPr>
          <w:rFonts w:ascii="휴먼명조" w:eastAsia="휴먼명조" w:hAnsi="바탕체"/>
          <w:b/>
        </w:rPr>
        <w:t xml:space="preserve">. </w:t>
      </w:r>
      <w:r>
        <w:rPr>
          <w:rFonts w:ascii="휴먼명조" w:eastAsia="휴먼명조" w:hAnsi="바탕체"/>
          <w:b/>
        </w:rPr>
        <w:t>11</w:t>
      </w:r>
      <w:r w:rsidRPr="009372C4">
        <w:rPr>
          <w:rFonts w:ascii="휴먼명조" w:eastAsia="휴먼명조" w:hAnsi="바탕체"/>
          <w:b/>
        </w:rPr>
        <w:t xml:space="preserve">. ~ </w:t>
      </w:r>
      <w:r>
        <w:rPr>
          <w:rFonts w:ascii="휴먼명조" w:eastAsia="휴먼명조" w:hAnsi="바탕체"/>
          <w:b/>
        </w:rPr>
        <w:t>10</w:t>
      </w:r>
      <w:r w:rsidRPr="009372C4">
        <w:rPr>
          <w:rFonts w:ascii="휴먼명조" w:eastAsia="휴먼명조" w:hAnsi="바탕체"/>
          <w:b/>
        </w:rPr>
        <w:t xml:space="preserve">. </w:t>
      </w:r>
      <w:r>
        <w:rPr>
          <w:rFonts w:ascii="휴먼명조" w:eastAsia="휴먼명조" w:hAnsi="바탕체"/>
          <w:b/>
        </w:rPr>
        <w:t>13</w:t>
      </w:r>
      <w:r w:rsidRPr="009372C4">
        <w:rPr>
          <w:rFonts w:ascii="휴먼명조" w:eastAsia="휴먼명조" w:hAnsi="바탕체"/>
          <w:b/>
        </w:rPr>
        <w:t>.)</w:t>
      </w:r>
      <w:r>
        <w:rPr>
          <w:rFonts w:ascii="휴먼명조" w:eastAsia="휴먼명조" w:hAnsi="바탕체"/>
          <w:b/>
        </w:rPr>
        <w:t>&gt;</w:t>
      </w:r>
    </w:p>
    <w:tbl>
      <w:tblPr>
        <w:tblOverlap w:val="never"/>
        <w:tblW w:w="9243" w:type="dxa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1"/>
        <w:gridCol w:w="3137"/>
        <w:gridCol w:w="1302"/>
        <w:gridCol w:w="3633"/>
      </w:tblGrid>
      <w:tr w:rsidR="00DB1E1D" w:rsidRPr="00DB1E1D" w:rsidTr="00DB1E1D">
        <w:trPr>
          <w:trHeight w:val="409"/>
        </w:trPr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1E1D" w:rsidRPr="00DB1E1D" w:rsidRDefault="00DB1E1D" w:rsidP="00DB1E1D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bookmarkStart w:id="0" w:name="_GoBack" w:colFirst="3" w:colLast="3"/>
            <w:r w:rsidRPr="00DB1E1D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분류</w:t>
            </w:r>
          </w:p>
        </w:tc>
        <w:tc>
          <w:tcPr>
            <w:tcW w:w="3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1E1D" w:rsidRPr="00DB1E1D" w:rsidRDefault="00DB1E1D" w:rsidP="00DB1E1D">
            <w:pPr>
              <w:wordWrap/>
              <w:spacing w:after="0" w:line="36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B1E1D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보고서</w:t>
            </w: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1E1D" w:rsidRPr="00DB1E1D" w:rsidRDefault="00DB1E1D" w:rsidP="00DB1E1D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B1E1D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문서번호</w:t>
            </w:r>
          </w:p>
        </w:tc>
        <w:tc>
          <w:tcPr>
            <w:tcW w:w="3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1E1D" w:rsidRPr="00DB1E1D" w:rsidRDefault="00DB1E1D" w:rsidP="00DB1E1D">
            <w:pPr>
              <w:wordWrap/>
              <w:spacing w:after="0" w:line="36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B1E1D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A/HRC/54/32 (2023년 7월 12일)</w:t>
            </w:r>
          </w:p>
        </w:tc>
      </w:tr>
      <w:bookmarkEnd w:id="0"/>
      <w:tr w:rsidR="00DB1E1D" w:rsidRPr="00DB1E1D" w:rsidTr="00DB1E1D">
        <w:trPr>
          <w:trHeight w:val="909"/>
        </w:trPr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1E1D" w:rsidRPr="00DB1E1D" w:rsidRDefault="00DB1E1D" w:rsidP="00DB1E1D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B1E1D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제목</w:t>
            </w:r>
          </w:p>
        </w:tc>
        <w:tc>
          <w:tcPr>
            <w:tcW w:w="80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1E1D" w:rsidRPr="00DB1E1D" w:rsidRDefault="00DB1E1D" w:rsidP="00DB1E1D">
            <w:pPr>
              <w:wordWrap/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B1E1D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빈곤에 처한 사람의 인권 실현과 건강한 수생생태계 복원: 두 개를 아우르는 과제</w:t>
            </w:r>
          </w:p>
          <w:p w:rsidR="00DB1E1D" w:rsidRPr="00DB1E1D" w:rsidRDefault="00DB1E1D" w:rsidP="00DB1E1D">
            <w:pPr>
              <w:wordWrap/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B1E1D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(Fulfilling the human rights of those living in poverty and restoring the health of aquatic ecosystems: two converging challenges)</w:t>
            </w:r>
          </w:p>
        </w:tc>
      </w:tr>
      <w:tr w:rsidR="00DB1E1D" w:rsidRPr="00DB1E1D" w:rsidTr="00DB1E1D">
        <w:trPr>
          <w:trHeight w:val="409"/>
        </w:trPr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1E1D" w:rsidRPr="00DB1E1D" w:rsidRDefault="00DB1E1D" w:rsidP="00DB1E1D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B1E1D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제출자</w:t>
            </w:r>
          </w:p>
        </w:tc>
        <w:tc>
          <w:tcPr>
            <w:tcW w:w="80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1E1D" w:rsidRPr="00DB1E1D" w:rsidRDefault="00DB1E1D" w:rsidP="00DB1E1D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B1E1D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안전한 식수 및 위생에 대한 인권 특별보고관</w:t>
            </w:r>
          </w:p>
        </w:tc>
      </w:tr>
      <w:tr w:rsidR="00DB1E1D" w:rsidRPr="00DB1E1D" w:rsidTr="00DB1E1D">
        <w:trPr>
          <w:trHeight w:val="2430"/>
        </w:trPr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1E1D" w:rsidRPr="00DB1E1D" w:rsidRDefault="00DB1E1D" w:rsidP="00DB1E1D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B1E1D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배경</w:t>
            </w:r>
          </w:p>
        </w:tc>
        <w:tc>
          <w:tcPr>
            <w:tcW w:w="80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1E1D" w:rsidRPr="00DB1E1D" w:rsidRDefault="00DB1E1D" w:rsidP="00DB1E1D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B1E1D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특별보고관은 인권이사회에 제출한 첫 번째 보고서(A/HRC/48/50)를 통해 푸른 행성에서 20억 명의 인구가 안전한 식수를 보장받지 못하는 역설적인 위기를 설명함. 특별보고관은 이러한 물 위기는 자연 지배 패러다임에 기반한 개발 모델의 지속 </w:t>
            </w:r>
            <w:r w:rsidRPr="00DB1E1D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Cs w:val="20"/>
              </w:rPr>
              <w:t>불가능성과 부자들의 탐욕과 무책임에 있다는 인식에 기초해, 인권에 기반한 접근에</w:t>
            </w:r>
            <w:r w:rsidRPr="00DB1E1D">
              <w:rPr>
                <w:rFonts w:ascii="함초롬바탕" w:eastAsia="휴먼명조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DB1E1D">
              <w:rPr>
                <w:rFonts w:ascii="휴먼명조" w:eastAsia="휴먼명조" w:hAnsi="굴림" w:cs="굴림" w:hint="eastAsia"/>
                <w:color w:val="000000"/>
                <w:spacing w:val="-14"/>
                <w:kern w:val="0"/>
                <w:szCs w:val="20"/>
              </w:rPr>
              <w:t>따른 민주적 물 거버넌스를 촉진하고, 지속가능성에 기반한 새로운 환경 재생 모델로</w:t>
            </w:r>
            <w:r w:rsidRPr="00DB1E1D">
              <w:rPr>
                <w:rFonts w:ascii="함초롬바탕" w:eastAsia="휴먼명조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DB1E1D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나아갈 필요를 제시하고자 함. 이 보고서는 안전하고, 깨끗하고, 건강하며 지속가능한 환경의 향유와 관련된 인권 의무 문제 특별보고관의 2021년 인권이사회 보고서(A/HRC/46/28)를 지지하며, 이를 보완하는 것으로 간주함</w:t>
            </w:r>
          </w:p>
        </w:tc>
      </w:tr>
      <w:tr w:rsidR="00DB1E1D" w:rsidRPr="00DB1E1D" w:rsidTr="00DB1E1D">
        <w:trPr>
          <w:trHeight w:val="3584"/>
        </w:trPr>
        <w:tc>
          <w:tcPr>
            <w:tcW w:w="1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1E1D" w:rsidRPr="00DB1E1D" w:rsidRDefault="00DB1E1D" w:rsidP="00DB1E1D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B1E1D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내용</w:t>
            </w:r>
          </w:p>
        </w:tc>
        <w:tc>
          <w:tcPr>
            <w:tcW w:w="80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B1E1D" w:rsidRPr="00DB1E1D" w:rsidRDefault="00DB1E1D" w:rsidP="00DB1E1D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B1E1D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수생생태계가 파괴된 주요 원인으로는 채굴 및 기타 광업 활동 등으로 인한 독성 </w:t>
            </w:r>
            <w:r w:rsidRPr="00DB1E1D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 xml:space="preserve">오염, 병원균에 의한 생물학적 오염과 유기물질 오염, 지질학적 비소 수질 오염, </w:t>
            </w:r>
            <w:r w:rsidRPr="00DB1E1D">
              <w:rPr>
                <w:rFonts w:ascii="휴먼명조" w:eastAsia="휴먼명조" w:hAnsi="굴림" w:cs="굴림" w:hint="eastAsia"/>
                <w:color w:val="000000"/>
                <w:spacing w:val="-2"/>
                <w:kern w:val="0"/>
                <w:szCs w:val="20"/>
              </w:rPr>
              <w:t>관개시설의 지속 불가능한 개발, 인구 증가와 도시화, 물의 상품화, 토지 점유, 습</w:t>
            </w:r>
            <w:r w:rsidRPr="00DB1E1D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지의 배수, 강변 생태계 악화, 기후변화의 영향 등이 있음. 물 부족 문제는 특정 지역의 거주 가능성을 위기에 빠뜨리며, 접근성과 경제적인 어려움을 가중시키고, </w:t>
            </w:r>
            <w:r w:rsidRPr="00DB1E1D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Cs w:val="20"/>
              </w:rPr>
              <w:t>품질 관리를 어렵게 함. 안전한 식수와 위생에 대한 인권 보장은 국가가 수생생태계를</w:t>
            </w:r>
            <w:r w:rsidRPr="00DB1E1D">
              <w:rPr>
                <w:rFonts w:ascii="함초롬바탕" w:eastAsia="휴먼명조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DB1E1D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관리하고 양호한 생태 상태를 보장할 의무를 수반함. 수생생태계 오염행위가 가한 피해의 규모와 가해자에게 책임을 물을 필요를 인식하며, 생태학살로 간주하는 등 </w:t>
            </w:r>
            <w:r w:rsidRPr="00DB1E1D">
              <w:rPr>
                <w:rFonts w:ascii="휴먼명조" w:eastAsia="휴먼명조" w:hAnsi="굴림" w:cs="굴림" w:hint="eastAsia"/>
                <w:color w:val="000000"/>
                <w:spacing w:val="-2"/>
                <w:kern w:val="0"/>
                <w:szCs w:val="20"/>
              </w:rPr>
              <w:t xml:space="preserve">로마규정의 반인도범죄로 정의된 특정 범죄에 이러한 행위를 포함하는 방안을 </w:t>
            </w:r>
            <w:r w:rsidRPr="00DB1E1D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모색하는 국제적 논의를 시작하는 것도 중요함. 20억 명의 빈곤층에게 식수를 보장하기 위한 재원 조달 문제는 지속가능발전목표의 목표6을 달성하기 위해 반드시 해결해야 하는 실현 가능하고 민주적인 과제임</w:t>
            </w:r>
          </w:p>
        </w:tc>
      </w:tr>
    </w:tbl>
    <w:p w:rsidR="00B51BCB" w:rsidRPr="00DB1E1D" w:rsidRDefault="00B51BCB"/>
    <w:sectPr w:rsidR="00B51BCB" w:rsidRPr="00DB1E1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04D"/>
    <w:rsid w:val="00194727"/>
    <w:rsid w:val="0021139E"/>
    <w:rsid w:val="00241149"/>
    <w:rsid w:val="002E6F91"/>
    <w:rsid w:val="007C3B6F"/>
    <w:rsid w:val="008C140F"/>
    <w:rsid w:val="00B51BCB"/>
    <w:rsid w:val="00C36183"/>
    <w:rsid w:val="00DB1E1D"/>
    <w:rsid w:val="00DD1881"/>
    <w:rsid w:val="00E1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A9FB7F"/>
  <w15:chartTrackingRefBased/>
  <w15:docId w15:val="{0DE9997F-6BA4-40B9-B6C2-5F9DC934A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1104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1104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97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2023-12-27T01:39:00Z</dcterms:created>
  <dcterms:modified xsi:type="dcterms:W3CDTF">2023-12-27T01:39:00Z</dcterms:modified>
</cp:coreProperties>
</file>