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04D" w:rsidRDefault="00E1104D" w:rsidP="00E1104D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>
        <w:rPr>
          <w:rFonts w:ascii="휴먼명조" w:eastAsia="휴먼명조" w:hAnsi="바탕체"/>
          <w:b/>
        </w:rPr>
        <w:t>4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</w:t>
      </w:r>
      <w:r>
        <w:rPr>
          <w:rFonts w:ascii="휴먼명조" w:eastAsia="휴먼명조" w:hAnsi="바탕체"/>
          <w:b/>
        </w:rPr>
        <w:t>. 9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11</w:t>
      </w:r>
      <w:r w:rsidRPr="009372C4">
        <w:rPr>
          <w:rFonts w:ascii="휴먼명조" w:eastAsia="휴먼명조" w:hAnsi="바탕체"/>
          <w:b/>
        </w:rPr>
        <w:t xml:space="preserve">. ~ </w:t>
      </w:r>
      <w:r>
        <w:rPr>
          <w:rFonts w:ascii="휴먼명조" w:eastAsia="휴먼명조" w:hAnsi="바탕체"/>
          <w:b/>
        </w:rPr>
        <w:t>10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13</w:t>
      </w:r>
      <w:r w:rsidRPr="009372C4">
        <w:rPr>
          <w:rFonts w:ascii="휴먼명조" w:eastAsia="휴먼명조" w:hAnsi="바탕체"/>
          <w:b/>
        </w:rPr>
        <w:t>.)</w:t>
      </w:r>
      <w:r>
        <w:rPr>
          <w:rFonts w:ascii="휴먼명조" w:eastAsia="휴먼명조" w:hAnsi="바탕체"/>
          <w:b/>
        </w:rPr>
        <w:t>&gt;</w:t>
      </w:r>
    </w:p>
    <w:tbl>
      <w:tblPr>
        <w:tblOverlap w:val="never"/>
        <w:tblW w:w="9337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3"/>
        <w:gridCol w:w="3168"/>
        <w:gridCol w:w="1316"/>
        <w:gridCol w:w="3670"/>
      </w:tblGrid>
      <w:tr w:rsidR="00C36183" w:rsidRPr="00C36183" w:rsidTr="00C36183">
        <w:trPr>
          <w:trHeight w:val="422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 w:colFirst="3" w:colLast="3"/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분류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보고서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문서번호</w:t>
            </w: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A/HRC/54/29 (2023년 7월 12일)</w:t>
            </w:r>
          </w:p>
        </w:tc>
      </w:tr>
      <w:bookmarkEnd w:id="0"/>
      <w:tr w:rsidR="00C36183" w:rsidRPr="00C36183" w:rsidTr="00C36183">
        <w:trPr>
          <w:trHeight w:val="939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제목</w:t>
            </w:r>
          </w:p>
        </w:tc>
        <w:tc>
          <w:tcPr>
            <w:tcW w:w="81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용병과 관련 행위자의 약탈적 충원을 포함한 모집</w:t>
            </w:r>
          </w:p>
          <w:p w:rsidR="00C36183" w:rsidRPr="00C36183" w:rsidRDefault="00C36183" w:rsidP="00C36183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(Recruitment, including predatory recruitment, of mercenaries and mercenary-related actors)</w:t>
            </w:r>
          </w:p>
        </w:tc>
      </w:tr>
      <w:tr w:rsidR="00C36183" w:rsidRPr="00C36183" w:rsidTr="00C36183">
        <w:trPr>
          <w:trHeight w:val="422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제출자</w:t>
            </w:r>
          </w:p>
        </w:tc>
        <w:tc>
          <w:tcPr>
            <w:tcW w:w="81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인권을 침해하고 주민의 자결권을 저해하는 수단으로 사용되는 용병 실무그룹</w:t>
            </w:r>
          </w:p>
        </w:tc>
      </w:tr>
      <w:tr w:rsidR="00C36183" w:rsidRPr="00C36183" w:rsidTr="00C36183">
        <w:trPr>
          <w:trHeight w:val="1616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배경</w:t>
            </w:r>
          </w:p>
        </w:tc>
        <w:tc>
          <w:tcPr>
            <w:tcW w:w="81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인권위원회(인권이사회 전신) 결의 20005/2에 따라 설립된 인권을 침해하고 주민의 </w:t>
            </w:r>
            <w:r w:rsidRPr="00C36183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>자결권 행사를 저해하는 수단으로서 용병 사용에 관한 실무그룹의 임무를 인권</w:t>
            </w: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이사회가 연장했고, 인권이사회 결의 51/13에 따라 제출된 보고서임. 이 보고서는 인권이사회에 대한 이전 보고 이후 실무그룹의 활동을 다루며, 실무그룹이 용병 및 관련 행위자의 약탈적 충원을 포함한 모집 현상을 검토함</w:t>
            </w:r>
          </w:p>
        </w:tc>
      </w:tr>
      <w:tr w:rsidR="00C36183" w:rsidRPr="00C36183" w:rsidTr="00C36183">
        <w:trPr>
          <w:trHeight w:val="4001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내용</w:t>
            </w:r>
          </w:p>
        </w:tc>
        <w:tc>
          <w:tcPr>
            <w:tcW w:w="81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6183" w:rsidRPr="00C36183" w:rsidRDefault="00C36183" w:rsidP="00C36183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국제법 체계는 용병 모집을 다루며, 경우에 따라 용병 모집 금지 및 이와 관련한 </w:t>
            </w:r>
            <w:r w:rsidRPr="00C36183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>국가의 의무를 명시함. 민간 군사 및 보안 업체가 수행하는 많은 활동은 기존 국제법</w:t>
            </w:r>
            <w:r w:rsidRPr="00C36183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C3618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체계에서 용병 활동으로 간주될 수 없으나, 무력 분쟁 지역에서 군사 서비스 제공을</w:t>
            </w:r>
            <w:r w:rsidRPr="00C36183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C3618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위해 국가와 계약을 맺는 맥락에서 해당 회사가 모집한 계약자는 용병 범주에 속할</w:t>
            </w:r>
            <w:r w:rsidRPr="00C36183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C36183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수 있음. 최근에는 무력 분쟁에 대한 제3국의 개입이 증가하면서, 개인의 사회경제적</w:t>
            </w:r>
            <w:r w:rsidRPr="00C36183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지위 또는 기타 취약성을 이용하고, 인신매매, 부채 속박 등 다양한 형태의 착취를 수반할 수 있는 약탈적 용병 모집 현상이 나타나고 있음. 극심한 빈곤, 차별, 취업 기회, 교육과 의료서비스에 대한 접근성 부족 등으로 국가 전반에 영향을 미치는 </w:t>
            </w:r>
            <w:r w:rsidRPr="00C36183">
              <w:rPr>
                <w:rFonts w:ascii="휴먼명조" w:eastAsia="휴먼명조" w:hAnsi="굴림" w:cs="굴림" w:hint="eastAsia"/>
                <w:color w:val="000000"/>
                <w:spacing w:val="2"/>
                <w:kern w:val="0"/>
                <w:szCs w:val="20"/>
              </w:rPr>
              <w:t xml:space="preserve">기존의 불평등이 근본 원인 중 하나임. 이에 국제협약에 따라 용병과 용병의 </w:t>
            </w:r>
            <w:proofErr w:type="spellStart"/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모집·훈련·자금</w:t>
            </w:r>
            <w:proofErr w:type="spellEnd"/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조달 및 사용을 </w:t>
            </w:r>
            <w:proofErr w:type="spellStart"/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범죄화하는</w:t>
            </w:r>
            <w:proofErr w:type="spellEnd"/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법 제정 및 관련된 거버넌스 공백 해결, 적절한 감독 메커니즘 수립, 민간 군사 및 보안업체와 그 직원이 </w:t>
            </w:r>
            <w:proofErr w:type="spellStart"/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민·형사상</w:t>
            </w:r>
            <w:proofErr w:type="spellEnd"/>
            <w:r w:rsidRPr="00C3618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책임을 지도록 하고, 해외에서 발생한 피해의 사법 및 구제 접근성 보장, 각국의 상호협력 등을 권고함</w:t>
            </w:r>
          </w:p>
        </w:tc>
      </w:tr>
    </w:tbl>
    <w:p w:rsidR="00B51BCB" w:rsidRPr="00C36183" w:rsidRDefault="00B51BCB"/>
    <w:sectPr w:rsidR="00B51BCB" w:rsidRPr="00C3618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04D"/>
    <w:rsid w:val="00241149"/>
    <w:rsid w:val="002E6F91"/>
    <w:rsid w:val="007C3B6F"/>
    <w:rsid w:val="008C140F"/>
    <w:rsid w:val="00B51BCB"/>
    <w:rsid w:val="00C36183"/>
    <w:rsid w:val="00E1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E9997F-6BA4-40B9-B6C2-5F9DC934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04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104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2023-12-27T01:14:00Z</dcterms:created>
  <dcterms:modified xsi:type="dcterms:W3CDTF">2023-12-27T01:14:00Z</dcterms:modified>
</cp:coreProperties>
</file>