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B36" w:rsidRPr="00A03B36" w:rsidRDefault="00A03B36" w:rsidP="00A03B36">
      <w:pPr>
        <w:wordWrap/>
        <w:spacing w:before="200" w:after="0" w:line="360" w:lineRule="auto"/>
        <w:ind w:left="572" w:hanging="572"/>
        <w:jc w:val="right"/>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w w:val="97"/>
          <w:kern w:val="0"/>
          <w:szCs w:val="20"/>
        </w:rPr>
        <w:t>A/HRC/54/24</w:t>
      </w:r>
    </w:p>
    <w:p w:rsidR="00A03B36" w:rsidRPr="00A03B36" w:rsidRDefault="00A03B36" w:rsidP="00A03B36">
      <w:pPr>
        <w:wordWrap/>
        <w:spacing w:before="200" w:after="0" w:line="360" w:lineRule="auto"/>
        <w:ind w:left="572" w:hanging="572"/>
        <w:jc w:val="right"/>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w w:val="97"/>
          <w:kern w:val="0"/>
          <w:szCs w:val="20"/>
        </w:rPr>
        <w:t>2023년 4월 20일</w:t>
      </w:r>
    </w:p>
    <w:p w:rsidR="00A03B36" w:rsidRPr="00A03B36" w:rsidRDefault="00A03B36" w:rsidP="00A03B36">
      <w:pPr>
        <w:wordWrap/>
        <w:spacing w:before="200" w:after="0" w:line="360" w:lineRule="auto"/>
        <w:ind w:left="572" w:hanging="572"/>
        <w:jc w:val="right"/>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w w:val="97"/>
          <w:kern w:val="0"/>
          <w:szCs w:val="20"/>
        </w:rPr>
        <w:t>원문: 영어</w:t>
      </w:r>
    </w:p>
    <w:p w:rsidR="00A03B36" w:rsidRPr="00A03B36" w:rsidRDefault="00A03B36" w:rsidP="00A03B36">
      <w:pPr>
        <w:spacing w:before="200" w:after="0" w:line="360" w:lineRule="auto"/>
        <w:ind w:left="572" w:hanging="572"/>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spacing w:val="-8"/>
          <w:w w:val="97"/>
          <w:kern w:val="0"/>
          <w:szCs w:val="20"/>
        </w:rPr>
        <w:t>유엔 인권이사회</w:t>
      </w:r>
    </w:p>
    <w:p w:rsidR="00A03B36" w:rsidRPr="00A03B36" w:rsidRDefault="00A03B36" w:rsidP="00A03B36">
      <w:pPr>
        <w:spacing w:before="200" w:after="0" w:line="360" w:lineRule="auto"/>
        <w:ind w:left="572" w:hanging="572"/>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spacing w:val="-8"/>
          <w:w w:val="97"/>
          <w:kern w:val="0"/>
          <w:szCs w:val="20"/>
        </w:rPr>
        <w:t>제54차 회기</w:t>
      </w:r>
    </w:p>
    <w:p w:rsidR="00A03B36" w:rsidRPr="00A03B36" w:rsidRDefault="00A03B36" w:rsidP="00A03B36">
      <w:pPr>
        <w:spacing w:before="200" w:after="0" w:line="360" w:lineRule="auto"/>
        <w:ind w:left="572" w:hanging="572"/>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w w:val="97"/>
          <w:kern w:val="0"/>
          <w:szCs w:val="20"/>
        </w:rPr>
        <w:t>2023년 9월 11일-10월 6일</w:t>
      </w:r>
    </w:p>
    <w:p w:rsidR="00A03B36" w:rsidRPr="00A03B36" w:rsidRDefault="00A03B36" w:rsidP="00A03B36">
      <w:pPr>
        <w:spacing w:before="200" w:after="0" w:line="360" w:lineRule="auto"/>
        <w:ind w:left="572" w:hanging="572"/>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w w:val="97"/>
          <w:kern w:val="0"/>
          <w:szCs w:val="20"/>
        </w:rPr>
        <w:t>의제 안건 3</w:t>
      </w:r>
    </w:p>
    <w:p w:rsidR="00A03B36" w:rsidRPr="00A03B36" w:rsidRDefault="00A03B36" w:rsidP="00A03B36">
      <w:pPr>
        <w:spacing w:before="200" w:after="0" w:line="360" w:lineRule="auto"/>
        <w:ind w:left="572" w:hanging="572"/>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spacing w:val="-8"/>
          <w:w w:val="97"/>
          <w:kern w:val="0"/>
          <w:szCs w:val="20"/>
        </w:rPr>
        <w:t>발전권을 포함하여 모든 인권과 시민적, 정치적, 경제적, 사회적 및 문화적 권리의 증진 및 보호</w:t>
      </w:r>
    </w:p>
    <w:p w:rsidR="00A03B36" w:rsidRPr="00A03B36" w:rsidRDefault="00A03B36" w:rsidP="00A03B36">
      <w:pPr>
        <w:spacing w:before="200" w:after="0" w:line="360" w:lineRule="auto"/>
        <w:ind w:left="572" w:hanging="572"/>
        <w:jc w:val="center"/>
        <w:textAlignment w:val="baseline"/>
        <w:rPr>
          <w:rFonts w:ascii="함초롬바탕" w:eastAsia="굴림" w:hAnsi="굴림" w:cs="굴림"/>
          <w:color w:val="000000"/>
          <w:spacing w:val="-8"/>
          <w:w w:val="97"/>
          <w:kern w:val="0"/>
          <w:szCs w:val="20"/>
        </w:rPr>
      </w:pPr>
    </w:p>
    <w:p w:rsidR="00A03B36" w:rsidRPr="00A03B36" w:rsidRDefault="00A03B36" w:rsidP="00A03B36">
      <w:pPr>
        <w:spacing w:before="200" w:after="0" w:line="360" w:lineRule="auto"/>
        <w:ind w:left="572" w:hanging="572"/>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이행기 정의의 기둥을 뒷받침하는 국제법적 기준</w:t>
      </w:r>
    </w:p>
    <w:p w:rsidR="00A03B36" w:rsidRPr="00A03B36" w:rsidRDefault="00A03B36" w:rsidP="00A03B36">
      <w:pPr>
        <w:wordWrap/>
        <w:spacing w:after="0" w:line="312" w:lineRule="auto"/>
        <w:jc w:val="left"/>
        <w:textAlignment w:val="baseline"/>
        <w:rPr>
          <w:rFonts w:ascii="함초롬바탕" w:eastAsia="굴림" w:hAnsi="굴림" w:cs="굴림"/>
          <w:color w:val="000000"/>
          <w:spacing w:val="-8"/>
          <w:kern w:val="0"/>
          <w:szCs w:val="20"/>
        </w:rPr>
      </w:pPr>
    </w:p>
    <w:p w:rsidR="00A03B36" w:rsidRPr="00A03B36" w:rsidRDefault="00A03B36" w:rsidP="00A03B36">
      <w:pPr>
        <w:wordWrap/>
        <w:spacing w:after="0" w:line="240" w:lineRule="auto"/>
        <w:jc w:val="left"/>
        <w:textAlignment w:val="baseline"/>
        <w:rPr>
          <w:rFonts w:ascii="함초롬바탕" w:eastAsia="굴림" w:hAnsi="굴림" w:cs="굴림"/>
          <w:color w:val="000000"/>
          <w:kern w:val="0"/>
          <w:sz w:val="24"/>
          <w:szCs w:val="24"/>
        </w:rPr>
      </w:pPr>
    </w:p>
    <w:p w:rsidR="00A03B36" w:rsidRPr="00A03B36" w:rsidRDefault="00A03B36" w:rsidP="00A03B36">
      <w:pPr>
        <w:wordWrap/>
        <w:spacing w:after="0" w:line="240"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굴림" w:cs="굴림" w:hint="eastAsia"/>
          <w:color w:val="000000"/>
          <w:kern w:val="0"/>
          <w:szCs w:val="20"/>
        </w:rPr>
        <w:t>파비안</w:t>
      </w:r>
      <w:proofErr w:type="spellEnd"/>
      <w:r w:rsidRPr="00A03B36">
        <w:rPr>
          <w:rFonts w:ascii="휴먼명조" w:eastAsia="휴먼명조" w:hAnsi="굴림" w:cs="굴림" w:hint="eastAsia"/>
          <w:color w:val="000000"/>
          <w:kern w:val="0"/>
          <w:szCs w:val="20"/>
        </w:rPr>
        <w:t xml:space="preserve"> </w:t>
      </w:r>
      <w:proofErr w:type="spellStart"/>
      <w:r w:rsidRPr="00A03B36">
        <w:rPr>
          <w:rFonts w:ascii="휴먼명조" w:eastAsia="휴먼명조" w:hAnsi="굴림" w:cs="굴림" w:hint="eastAsia"/>
          <w:color w:val="000000"/>
          <w:kern w:val="0"/>
          <w:szCs w:val="20"/>
        </w:rPr>
        <w:t>살비올리</w:t>
      </w:r>
      <w:proofErr w:type="spellEnd"/>
      <w:r w:rsidRPr="00A03B36">
        <w:rPr>
          <w:rFonts w:ascii="휴먼명조" w:eastAsia="휴먼명조" w:hAnsi="굴림" w:cs="굴림" w:hint="eastAsia"/>
          <w:color w:val="000000"/>
          <w:kern w:val="0"/>
          <w:szCs w:val="20"/>
        </w:rPr>
        <w:t>(Fabi</w:t>
      </w:r>
      <w:r w:rsidRPr="00A03B36">
        <w:rPr>
          <w:rFonts w:ascii="휴먼명조" w:eastAsia="휴먼명조" w:hAnsi="굴림" w:cs="굴림" w:hint="eastAsia"/>
          <w:color w:val="000000"/>
          <w:kern w:val="0"/>
          <w:szCs w:val="20"/>
        </w:rPr>
        <w:t>á</w:t>
      </w:r>
      <w:r w:rsidRPr="00A03B36">
        <w:rPr>
          <w:rFonts w:ascii="휴먼명조" w:eastAsia="휴먼명조" w:hAnsi="굴림" w:cs="굴림" w:hint="eastAsia"/>
          <w:color w:val="000000"/>
          <w:kern w:val="0"/>
          <w:szCs w:val="20"/>
        </w:rPr>
        <w:t xml:space="preserve">n </w:t>
      </w:r>
      <w:proofErr w:type="spellStart"/>
      <w:r w:rsidRPr="00A03B36">
        <w:rPr>
          <w:rFonts w:ascii="휴먼명조" w:eastAsia="휴먼명조" w:hAnsi="굴림" w:cs="굴림" w:hint="eastAsia"/>
          <w:color w:val="000000"/>
          <w:kern w:val="0"/>
          <w:szCs w:val="20"/>
        </w:rPr>
        <w:t>Salvioli</w:t>
      </w:r>
      <w:proofErr w:type="spellEnd"/>
      <w:r w:rsidRPr="00A03B36">
        <w:rPr>
          <w:rFonts w:ascii="휴먼명조" w:eastAsia="휴먼명조" w:hAnsi="굴림" w:cs="굴림" w:hint="eastAsia"/>
          <w:color w:val="000000"/>
          <w:kern w:val="0"/>
          <w:szCs w:val="20"/>
        </w:rPr>
        <w:t>) 진실, 정의, 배상 및 재발 방지 증진 특별보고관 보고서</w:t>
      </w:r>
    </w:p>
    <w:p w:rsidR="00A03B36" w:rsidRPr="00A03B36" w:rsidRDefault="00A03B36" w:rsidP="00A03B36">
      <w:pPr>
        <w:spacing w:after="0" w:line="384" w:lineRule="auto"/>
        <w:textAlignment w:val="baseline"/>
        <w:rPr>
          <w:rFonts w:ascii="함초롬바탕" w:eastAsia="굴림" w:hAnsi="굴림" w:cs="굴림"/>
          <w:color w:val="000000"/>
          <w:kern w:val="0"/>
          <w:szCs w:val="20"/>
        </w:rPr>
      </w:pPr>
    </w:p>
    <w:p w:rsidR="00A03B36" w:rsidRDefault="00A03B36" w:rsidP="00A03B36">
      <w:pPr>
        <w:spacing w:after="0" w:line="384" w:lineRule="auto"/>
        <w:jc w:val="cente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요약</w:t>
      </w:r>
    </w:p>
    <w:p w:rsidR="00A03B36" w:rsidRPr="00A03B36" w:rsidRDefault="00A03B36" w:rsidP="00A03B36">
      <w:pPr>
        <w:spacing w:after="0" w:line="384" w:lineRule="auto"/>
        <w:textAlignment w:val="baseline"/>
        <w:rPr>
          <w:rFonts w:ascii="함초롬바탕" w:eastAsia="굴림" w:hAnsi="굴림" w:cs="굴림"/>
          <w:color w:val="000000"/>
          <w:kern w:val="0"/>
          <w:szCs w:val="20"/>
        </w:rPr>
      </w:pPr>
      <w:r w:rsidRPr="00A03B36">
        <w:rPr>
          <w:rFonts w:ascii="함초롬바탕" w:eastAsia="굴림" w:hAnsi="굴림" w:cs="굴림" w:hint="eastAsia"/>
          <w:color w:val="000000"/>
          <w:kern w:val="0"/>
          <w:szCs w:val="20"/>
        </w:rPr>
        <w:t>이</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보고서에서</w:t>
      </w:r>
      <w:r w:rsidRPr="00A03B36">
        <w:rPr>
          <w:rFonts w:ascii="함초롬바탕" w:eastAsia="굴림" w:hAnsi="굴림" w:cs="굴림"/>
          <w:color w:val="000000"/>
          <w:kern w:val="0"/>
          <w:szCs w:val="20"/>
        </w:rPr>
        <w:t xml:space="preserve"> </w:t>
      </w:r>
      <w:proofErr w:type="spellStart"/>
      <w:r w:rsidRPr="00A03B36">
        <w:rPr>
          <w:rFonts w:ascii="함초롬바탕" w:eastAsia="굴림" w:hAnsi="굴림" w:cs="굴림"/>
          <w:color w:val="000000"/>
          <w:kern w:val="0"/>
          <w:szCs w:val="20"/>
        </w:rPr>
        <w:t>파비안</w:t>
      </w:r>
      <w:proofErr w:type="spellEnd"/>
      <w:r w:rsidRPr="00A03B36">
        <w:rPr>
          <w:rFonts w:ascii="함초롬바탕" w:eastAsia="굴림" w:hAnsi="굴림" w:cs="굴림"/>
          <w:color w:val="000000"/>
          <w:kern w:val="0"/>
          <w:szCs w:val="20"/>
        </w:rPr>
        <w:t xml:space="preserve"> </w:t>
      </w:r>
      <w:proofErr w:type="spellStart"/>
      <w:r w:rsidRPr="00A03B36">
        <w:rPr>
          <w:rFonts w:ascii="함초롬바탕" w:eastAsia="굴림" w:hAnsi="굴림" w:cs="굴림"/>
          <w:color w:val="000000"/>
          <w:kern w:val="0"/>
          <w:szCs w:val="20"/>
        </w:rPr>
        <w:t>살비올리</w:t>
      </w:r>
      <w:proofErr w:type="spellEnd"/>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진실</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정의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배상</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및</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재발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방지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증진</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특별보고관은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진실</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정의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배상</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추모</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재발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방지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보장이라는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이행기</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정의의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다섯</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가지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기둥을</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뒷받침하는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국제법적</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기준에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대한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분석을</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제공한다</w:t>
      </w:r>
      <w:r w:rsidRPr="00A03B36">
        <w:rPr>
          <w:rFonts w:ascii="함초롬바탕" w:eastAsia="굴림" w:hAnsi="굴림" w:cs="굴림"/>
          <w:color w:val="000000"/>
          <w:kern w:val="0"/>
          <w:szCs w:val="20"/>
        </w:rPr>
        <w:t>.</w:t>
      </w:r>
      <w:r>
        <w:rPr>
          <w:rFonts w:ascii="함초롬바탕" w:eastAsia="굴림" w:hAnsi="굴림" w:cs="굴림" w:hint="eastAsia"/>
          <w:color w:val="000000"/>
          <w:kern w:val="0"/>
          <w:szCs w:val="20"/>
        </w:rPr>
        <w:t xml:space="preserve"> </w:t>
      </w:r>
      <w:r w:rsidRPr="00A03B36">
        <w:rPr>
          <w:rFonts w:ascii="함초롬바탕" w:eastAsia="굴림" w:hAnsi="굴림" w:cs="굴림" w:hint="eastAsia"/>
          <w:color w:val="000000"/>
          <w:kern w:val="0"/>
          <w:szCs w:val="20"/>
        </w:rPr>
        <w:t>특별보고관은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국제법의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모든</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출처를</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분석하고</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그</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안에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포함된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기준에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대한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철저한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체계화를</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제시한다</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이를</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통해</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국제조약에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명시적으로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언급되지는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않았지만</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조약에서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파생된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개념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국제</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및</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지역</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재판소의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법리</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널리</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인정받는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연성법의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출처</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국가</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관행을</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포함해</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각</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기둥을</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뒷받침하는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주요</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개념</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규칙</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및</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의무를</w:t>
      </w:r>
      <w:r w:rsidRPr="00A03B36">
        <w:rPr>
          <w:rFonts w:ascii="함초롬바탕" w:eastAsia="굴림" w:hAnsi="굴림" w:cs="굴림"/>
          <w:color w:val="000000"/>
          <w:kern w:val="0"/>
          <w:szCs w:val="20"/>
        </w:rPr>
        <w:t xml:space="preserve"> </w:t>
      </w:r>
      <w:r w:rsidRPr="00A03B36">
        <w:rPr>
          <w:rFonts w:ascii="함초롬바탕" w:eastAsia="굴림" w:hAnsi="굴림" w:cs="굴림"/>
          <w:color w:val="000000"/>
          <w:kern w:val="0"/>
          <w:szCs w:val="20"/>
        </w:rPr>
        <w:t>통합한다</w:t>
      </w:r>
      <w:r w:rsidRPr="00A03B36">
        <w:rPr>
          <w:rFonts w:ascii="함초롬바탕" w:eastAsia="굴림" w:hAnsi="굴림" w:cs="굴림"/>
          <w:color w:val="000000"/>
          <w:kern w:val="0"/>
          <w:szCs w:val="20"/>
        </w:rPr>
        <w:t>.</w:t>
      </w:r>
    </w:p>
    <w:p w:rsidR="00A03B36" w:rsidRDefault="00A03B36" w:rsidP="00A03B36">
      <w:pPr>
        <w:spacing w:after="0" w:line="384" w:lineRule="auto"/>
        <w:textAlignment w:val="baseline"/>
        <w:rPr>
          <w:rFonts w:ascii="휴먼명조" w:eastAsia="휴먼명조" w:hAnsi="굴림" w:cs="굴림"/>
          <w:b/>
          <w:bCs/>
          <w:color w:val="000000"/>
          <w:kern w:val="0"/>
          <w:sz w:val="26"/>
          <w:szCs w:val="26"/>
        </w:rPr>
      </w:pPr>
    </w:p>
    <w:p w:rsidR="00A03B36" w:rsidRDefault="00A03B36" w:rsidP="00A03B36">
      <w:pPr>
        <w:spacing w:after="0" w:line="384" w:lineRule="auto"/>
        <w:textAlignment w:val="baseline"/>
        <w:rPr>
          <w:rFonts w:ascii="휴먼명조" w:eastAsia="휴먼명조" w:hAnsi="굴림" w:cs="굴림"/>
          <w:b/>
          <w:bCs/>
          <w:color w:val="000000"/>
          <w:kern w:val="0"/>
          <w:sz w:val="26"/>
          <w:szCs w:val="26"/>
        </w:rPr>
      </w:pPr>
    </w:p>
    <w:p w:rsidR="00A03B36" w:rsidRDefault="00A03B36" w:rsidP="00A03B36">
      <w:pPr>
        <w:spacing w:after="0" w:line="384" w:lineRule="auto"/>
        <w:textAlignment w:val="baseline"/>
        <w:rPr>
          <w:rFonts w:ascii="휴먼명조" w:eastAsia="휴먼명조" w:hAnsi="굴림" w:cs="굴림"/>
          <w:b/>
          <w:bCs/>
          <w:color w:val="000000"/>
          <w:kern w:val="0"/>
          <w:sz w:val="26"/>
          <w:szCs w:val="26"/>
        </w:rPr>
      </w:pPr>
    </w:p>
    <w:p w:rsidR="00A03B36" w:rsidRDefault="00A03B36" w:rsidP="00A03B36">
      <w:pPr>
        <w:spacing w:after="0" w:line="384" w:lineRule="auto"/>
        <w:textAlignment w:val="baseline"/>
        <w:rPr>
          <w:rFonts w:ascii="휴먼명조" w:eastAsia="휴먼명조"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6"/>
          <w:szCs w:val="26"/>
        </w:rPr>
        <w:lastRenderedPageBreak/>
        <w:t>목차</w:t>
      </w:r>
    </w:p>
    <w:p w:rsidR="00A03B36" w:rsidRPr="00A03B36" w:rsidRDefault="00A03B36" w:rsidP="00A03B36">
      <w:pPr>
        <w:spacing w:after="0" w:line="384" w:lineRule="auto"/>
        <w:textAlignment w:val="baseline"/>
        <w:rPr>
          <w:rFonts w:ascii="함초롬바탕" w:eastAsia="굴림" w:hAnsi="굴림" w:cs="굴림"/>
          <w:b/>
          <w:bCs/>
          <w:color w:val="000000"/>
          <w:kern w:val="0"/>
          <w:sz w:val="26"/>
          <w:szCs w:val="26"/>
        </w:rPr>
      </w:pP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I. 소개</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3</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II. 특별보고관의 활동 </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3</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III. 배경</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4</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IV. 진실 규명</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4</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A. 일반적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4</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B. 구체적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5</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V. 정의</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9</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A. 일반적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9</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B. 구체적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9</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VI. 배상</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12</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A. 일반적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12</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B. 구체적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13</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VII. 추모</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14</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A. 일반적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14</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B. 구체적 고려</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15</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VIII. 재발 방지 보장</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18</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A. 일반적 고려 </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18</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B. 구체적 고려 </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18</w:t>
      </w:r>
    </w:p>
    <w:p w:rsidR="00A03B36" w:rsidRDefault="00A03B36" w:rsidP="00A03B36">
      <w:pPr>
        <w:tabs>
          <w:tab w:val="right" w:leader="hyphen" w:pos="8500"/>
        </w:tabs>
        <w:spacing w:after="0" w:line="384" w:lineRule="auto"/>
        <w:ind w:left="282" w:right="588"/>
        <w:textAlignment w:val="baseline"/>
        <w:rPr>
          <w:rFonts w:ascii="휴먼명조" w:eastAsia="휴먼명조" w:hAnsi="굴림" w:cs="굴림"/>
          <w:color w:val="000000"/>
          <w:kern w:val="0"/>
          <w:szCs w:val="20"/>
        </w:rPr>
      </w:pPr>
      <w:r w:rsidRPr="00A03B36">
        <w:rPr>
          <w:rFonts w:ascii="휴먼명조" w:eastAsia="휴먼명조" w:hAnsi="굴림" w:cs="굴림" w:hint="eastAsia"/>
          <w:color w:val="000000"/>
          <w:kern w:val="0"/>
          <w:szCs w:val="20"/>
        </w:rPr>
        <w:t>IX. 결론 및 권고</w:t>
      </w:r>
      <w:r w:rsidRPr="00A03B36">
        <w:rPr>
          <w:rFonts w:ascii="함초롬바탕" w:eastAsia="굴림" w:hAnsi="굴림" w:cs="굴림"/>
          <w:color w:val="000000"/>
          <w:kern w:val="0"/>
          <w:szCs w:val="20"/>
        </w:rPr>
        <w:tab/>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21</w:t>
      </w:r>
    </w:p>
    <w:p w:rsidR="00A03B36" w:rsidRDefault="00A03B36">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264" w:lineRule="auto"/>
        <w:ind w:left="524" w:hanging="262"/>
        <w:jc w:val="center"/>
        <w:textAlignment w:val="baseline"/>
        <w:rPr>
          <w:rFonts w:ascii="함초롬바탕" w:eastAsia="굴림" w:hAnsi="굴림" w:cs="굴림"/>
          <w:color w:val="000000"/>
          <w:kern w:val="0"/>
          <w:sz w:val="18"/>
          <w:szCs w:val="18"/>
        </w:rPr>
      </w:pPr>
      <w:r w:rsidRPr="00A03B36">
        <w:rPr>
          <w:rFonts w:ascii="휴먼명조" w:eastAsia="휴먼명조" w:hAnsi="굴림" w:cs="굴림" w:hint="eastAsia"/>
          <w:b/>
          <w:bCs/>
          <w:color w:val="000000"/>
          <w:kern w:val="0"/>
          <w:sz w:val="26"/>
          <w:szCs w:val="26"/>
        </w:rPr>
        <w:t>I. 소개</w:t>
      </w:r>
    </w:p>
    <w:p w:rsidR="00A03B36" w:rsidRPr="00A03B36" w:rsidRDefault="00A03B36" w:rsidP="00A03B36">
      <w:pPr>
        <w:spacing w:after="0" w:line="384" w:lineRule="auto"/>
        <w:textAlignment w:val="baseline"/>
        <w:rPr>
          <w:rFonts w:ascii="함초롬바탕" w:eastAsia="굴림" w:hAnsi="굴림" w:cs="굴림"/>
          <w:color w:val="000000"/>
          <w:kern w:val="0"/>
          <w:szCs w:val="20"/>
        </w:rPr>
      </w:pPr>
    </w:p>
    <w:p w:rsidR="00A03B36" w:rsidRPr="00A03B36" w:rsidRDefault="00A03B36" w:rsidP="00A03B36">
      <w:pPr>
        <w:spacing w:after="0" w:line="384" w:lineRule="auto"/>
        <w:ind w:right="588"/>
        <w:textAlignment w:val="baseline"/>
        <w:rPr>
          <w:rFonts w:ascii="함초롬바탕" w:eastAsia="굴림" w:hAnsi="굴림" w:cs="굴림"/>
          <w:color w:val="000000"/>
          <w:kern w:val="0"/>
          <w:szCs w:val="20"/>
        </w:rPr>
      </w:pPr>
      <w:r>
        <w:rPr>
          <w:rFonts w:ascii="휴먼명조" w:eastAsia="휴먼명조" w:hAnsi="굴림" w:cs="굴림" w:hint="eastAsia"/>
          <w:color w:val="000000"/>
          <w:spacing w:val="6"/>
          <w:kern w:val="0"/>
          <w:szCs w:val="20"/>
        </w:rPr>
        <w:t>1</w:t>
      </w:r>
      <w:r>
        <w:rPr>
          <w:rFonts w:ascii="휴먼명조" w:eastAsia="휴먼명조" w:hAnsi="굴림" w:cs="굴림"/>
          <w:color w:val="000000"/>
          <w:spacing w:val="6"/>
          <w:kern w:val="0"/>
          <w:szCs w:val="20"/>
        </w:rPr>
        <w:t xml:space="preserve">. </w:t>
      </w:r>
      <w:r w:rsidRPr="00A03B36">
        <w:rPr>
          <w:rFonts w:ascii="휴먼명조" w:eastAsia="휴먼명조" w:hAnsi="굴림" w:cs="굴림" w:hint="eastAsia"/>
          <w:color w:val="000000"/>
          <w:spacing w:val="6"/>
          <w:kern w:val="0"/>
          <w:szCs w:val="20"/>
        </w:rPr>
        <w:t xml:space="preserve">이 보고서는 진실, 정의, 배상 및 재발방지 특별보고관이 결의 45/10에 따라 유엔 </w:t>
      </w:r>
      <w:r w:rsidRPr="00A03B36">
        <w:rPr>
          <w:rFonts w:ascii="휴먼명조" w:eastAsia="휴먼명조" w:hAnsi="굴림" w:cs="굴림" w:hint="eastAsia"/>
          <w:color w:val="000000"/>
          <w:spacing w:val="-2"/>
          <w:kern w:val="0"/>
          <w:szCs w:val="20"/>
        </w:rPr>
        <w:t>인권이사회에 제출한 것이다. 이 보고서에서 특별보고관은 2022년 8월부터 2023년 6월</w:t>
      </w:r>
      <w:r w:rsidRPr="00A03B36">
        <w:rPr>
          <w:rFonts w:ascii="휴먼명조" w:eastAsia="휴먼명조" w:hAnsi="굴림" w:cs="굴림" w:hint="eastAsia"/>
          <w:color w:val="000000"/>
          <w:spacing w:val="-4"/>
          <w:kern w:val="0"/>
          <w:szCs w:val="20"/>
        </w:rPr>
        <w:t>까지 수행한 주요 활동을 제시하고, 이행기 정의의 기둥을 뒷받침하는 국제법적 기준을</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검토한다.</w:t>
      </w:r>
      <w:r w:rsidR="006B1519">
        <w:rPr>
          <w:rStyle w:val="a6"/>
          <w:rFonts w:ascii="휴먼명조" w:eastAsia="휴먼명조" w:hAnsi="굴림" w:cs="굴림"/>
          <w:color w:val="000000"/>
          <w:kern w:val="0"/>
          <w:szCs w:val="20"/>
        </w:rPr>
        <w:footnoteReference w:id="1"/>
      </w:r>
    </w:p>
    <w:p w:rsidR="00A03B36" w:rsidRPr="00A03B36" w:rsidRDefault="00A03B36" w:rsidP="00A03B36">
      <w:pPr>
        <w:numPr>
          <w:ilvl w:val="0"/>
          <w:numId w:val="1"/>
        </w:numPr>
        <w:spacing w:after="0" w:line="384" w:lineRule="auto"/>
        <w:ind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특별보고관은 2022년 11월부터 2023년 1월까지 국가, 국가인권기구, 시민사회와 공개 협의를 진행했으며, 이는 보고서 작성에 귀중한 기여를 했다.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Ⅱ</w:t>
      </w:r>
      <w:proofErr w:type="spellEnd"/>
      <w:r w:rsidRPr="00A03B36">
        <w:rPr>
          <w:rFonts w:ascii="휴먼명조" w:eastAsia="휴먼명조" w:hAnsi="굴림" w:cs="굴림" w:hint="eastAsia"/>
          <w:b/>
          <w:bCs/>
          <w:color w:val="000000"/>
          <w:kern w:val="0"/>
          <w:sz w:val="26"/>
          <w:szCs w:val="26"/>
        </w:rPr>
        <w:t>. 특별보고관의 활동</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2022년 9월 15일, 특별보고관은 유엔 인권최고대표사무소와 시민사회단체가 주최한 “</w:t>
      </w:r>
      <w:proofErr w:type="spellStart"/>
      <w:r w:rsidRPr="00A03B36">
        <w:rPr>
          <w:rFonts w:ascii="휴먼명조" w:eastAsia="휴먼명조" w:hAnsi="굴림" w:cs="굴림" w:hint="eastAsia"/>
          <w:color w:val="000000"/>
          <w:kern w:val="0"/>
          <w:szCs w:val="20"/>
        </w:rPr>
        <w:t>롬인과</w:t>
      </w:r>
      <w:proofErr w:type="spellEnd"/>
      <w:r w:rsidRPr="00A03B36">
        <w:rPr>
          <w:rFonts w:ascii="휴먼명조" w:eastAsia="휴먼명조" w:hAnsi="굴림" w:cs="굴림" w:hint="eastAsia"/>
          <w:color w:val="000000"/>
          <w:kern w:val="0"/>
          <w:szCs w:val="20"/>
        </w:rPr>
        <w:t xml:space="preserve"> 추모: </w:t>
      </w:r>
      <w:proofErr w:type="spellStart"/>
      <w:r w:rsidRPr="00A03B36">
        <w:rPr>
          <w:rFonts w:ascii="휴먼명조" w:eastAsia="휴먼명조" w:hAnsi="굴림" w:cs="굴림" w:hint="eastAsia"/>
          <w:color w:val="000000"/>
          <w:kern w:val="0"/>
          <w:szCs w:val="20"/>
        </w:rPr>
        <w:t>로마족</w:t>
      </w:r>
      <w:proofErr w:type="spellEnd"/>
      <w:r w:rsidRPr="00A03B36">
        <w:rPr>
          <w:rFonts w:ascii="휴먼명조" w:eastAsia="휴먼명조" w:hAnsi="굴림" w:cs="굴림" w:hint="eastAsia"/>
          <w:color w:val="000000"/>
          <w:kern w:val="0"/>
          <w:szCs w:val="20"/>
        </w:rPr>
        <w:t xml:space="preserve"> 과거의 어두운 한 장과 그것이 현재에 미친 영향에 대한 인식 및 구제 증진(Roma and memorialization: advancing recognition and remedy for the dark chapters of the Romani past and their impact on the present)”이라는 주제의 원탁회의에 참석했다.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t>9월 16일에는 제51차 유엔 인권이사회에 참석하여 일주일 동안 각국 대표 및 시민사회</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대표들과 회의를 가졌다.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9월 19일에는 오스트리아, 벨기에, 보스니아 헤르체고비나, 독일 대표부가 주최한 “이야기 나누기, 상처 치유: 보스니아 헤르체고비나의 이행기 정의(Sharing stories, healing wounds: transitional justice in Bosnia and Herzegovina)”라는 주제의 제51차 이사회 부대행사에 참석했다.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10월 4일에는 5.18 기념재단이 방콕에서 개최한 이행기 정의 워크숍에 영상 편지(video message)로 참여했다.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특별보고관은 10월 18일부터 20일까지 집단 학살 방지 특별자문관(Special Adviser to </w:t>
      </w:r>
      <w:r w:rsidRPr="00A03B36">
        <w:rPr>
          <w:rFonts w:ascii="휴먼명조" w:eastAsia="휴먼명조" w:hAnsi="굴림" w:cs="굴림" w:hint="eastAsia"/>
          <w:color w:val="000000"/>
          <w:spacing w:val="-2"/>
          <w:kern w:val="0"/>
          <w:szCs w:val="20"/>
        </w:rPr>
        <w:t>the Secretary-General on the Prevention of Genocide), 평화 구축 지원 사무소 부국장</w:t>
      </w:r>
      <w:r w:rsidRPr="00A03B36">
        <w:rPr>
          <w:rFonts w:ascii="휴먼명조" w:eastAsia="휴먼명조" w:hAnsi="굴림" w:cs="굴림" w:hint="eastAsia"/>
          <w:color w:val="000000"/>
          <w:kern w:val="0"/>
          <w:szCs w:val="20"/>
        </w:rPr>
        <w:t xml:space="preserve">(Deputy Head of Office of the Peacebuilding Support Office), 사무총장 사무실 관계자, </w:t>
      </w:r>
      <w:r w:rsidRPr="00A03B36">
        <w:rPr>
          <w:rFonts w:ascii="휴먼명조" w:eastAsia="휴먼명조" w:hAnsi="굴림" w:cs="굴림" w:hint="eastAsia"/>
          <w:color w:val="000000"/>
          <w:kern w:val="0"/>
          <w:szCs w:val="20"/>
        </w:rPr>
        <w:lastRenderedPageBreak/>
        <w:t>기타 특별절차 권한 보유자, 국가, 학계 및 시민사회 대표와 회의를 가졌다.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10월 21일에는 제77차 총회에 참석했다.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11월 22일부터 12월 2일까지 세르비아와 코소보를 공식 방문했다.</w:t>
      </w:r>
      <w:r w:rsidR="006B1519">
        <w:rPr>
          <w:rStyle w:val="a6"/>
          <w:rFonts w:ascii="휴먼명조" w:eastAsia="휴먼명조" w:hAnsi="굴림" w:cs="굴림"/>
          <w:color w:val="000000"/>
          <w:kern w:val="0"/>
          <w:szCs w:val="20"/>
        </w:rPr>
        <w:footnoteReference w:id="2"/>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12월 12일과 13일에는 아르메니아 외무부가 </w:t>
      </w:r>
      <w:proofErr w:type="spellStart"/>
      <w:r w:rsidRPr="00A03B36">
        <w:rPr>
          <w:rFonts w:ascii="휴먼명조" w:eastAsia="휴먼명조" w:hAnsi="굴림" w:cs="굴림" w:hint="eastAsia"/>
          <w:color w:val="000000"/>
          <w:kern w:val="0"/>
          <w:szCs w:val="20"/>
        </w:rPr>
        <w:t>제노사이드방지</w:t>
      </w:r>
      <w:proofErr w:type="spellEnd"/>
      <w:r w:rsidRPr="00A03B36">
        <w:rPr>
          <w:rFonts w:ascii="휴먼명조" w:eastAsia="휴먼명조" w:hAnsi="굴림" w:cs="굴림" w:hint="eastAsia"/>
          <w:color w:val="000000"/>
          <w:kern w:val="0"/>
          <w:szCs w:val="20"/>
        </w:rPr>
        <w:t xml:space="preserve"> 및 보호책임 사무소(the </w:t>
      </w:r>
      <w:r w:rsidRPr="00A03B36">
        <w:rPr>
          <w:rFonts w:ascii="휴먼명조" w:eastAsia="휴먼명조" w:hAnsi="굴림" w:cs="굴림" w:hint="eastAsia"/>
          <w:color w:val="000000"/>
          <w:spacing w:val="4"/>
          <w:kern w:val="0"/>
          <w:szCs w:val="20"/>
        </w:rPr>
        <w:t xml:space="preserve">Office on Genocide Prevention and the Responsibility to Protect)의 지원을 받아 </w:t>
      </w:r>
      <w:r w:rsidRPr="00A03B36">
        <w:rPr>
          <w:rFonts w:ascii="휴먼명조" w:eastAsia="휴먼명조" w:hAnsi="굴림" w:cs="굴림" w:hint="eastAsia"/>
          <w:color w:val="000000"/>
          <w:kern w:val="0"/>
          <w:szCs w:val="20"/>
        </w:rPr>
        <w:t xml:space="preserve">주최한 제4차 </w:t>
      </w:r>
      <w:proofErr w:type="spellStart"/>
      <w:r w:rsidRPr="00A03B36">
        <w:rPr>
          <w:rFonts w:ascii="휴먼명조" w:eastAsia="휴먼명조" w:hAnsi="굴림" w:cs="굴림" w:hint="eastAsia"/>
          <w:color w:val="000000"/>
          <w:kern w:val="0"/>
          <w:szCs w:val="20"/>
        </w:rPr>
        <w:t>제노사이드</w:t>
      </w:r>
      <w:proofErr w:type="spellEnd"/>
      <w:r w:rsidRPr="00A03B36">
        <w:rPr>
          <w:rFonts w:ascii="휴먼명조" w:eastAsia="휴먼명조" w:hAnsi="굴림" w:cs="굴림" w:hint="eastAsia"/>
          <w:color w:val="000000"/>
          <w:kern w:val="0"/>
          <w:szCs w:val="20"/>
        </w:rPr>
        <w:t xml:space="preserve"> 범죄에 반대하는 글로벌 포럼에 참석했다.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t xml:space="preserve">특별보고관은 2022년 2월 13일부터 2023년 3월 17일까지 심각한 인권 및 </w:t>
      </w:r>
      <w:proofErr w:type="spellStart"/>
      <w:r w:rsidRPr="00A03B36">
        <w:rPr>
          <w:rFonts w:ascii="휴먼명조" w:eastAsia="휴먼명조" w:hAnsi="굴림" w:cs="굴림" w:hint="eastAsia"/>
          <w:color w:val="000000"/>
          <w:spacing w:val="-2"/>
          <w:kern w:val="0"/>
          <w:szCs w:val="20"/>
        </w:rPr>
        <w:t>인도법</w:t>
      </w:r>
      <w:proofErr w:type="spellEnd"/>
      <w:r w:rsidRPr="00A03B36">
        <w:rPr>
          <w:rFonts w:ascii="휴먼명조" w:eastAsia="휴먼명조" w:hAnsi="굴림" w:cs="굴림" w:hint="eastAsia"/>
          <w:color w:val="000000"/>
          <w:spacing w:val="-2"/>
          <w:kern w:val="0"/>
          <w:szCs w:val="20"/>
        </w:rPr>
        <w:t xml:space="preserve"> 위반</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피해자들에게 지급해야 할 배상금에 대한 온라인 회담을 진행했다.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6"/>
          <w:kern w:val="0"/>
          <w:szCs w:val="20"/>
        </w:rPr>
        <w:t xml:space="preserve">3월 29일, 특별보고관은 심각한 인권 및 </w:t>
      </w:r>
      <w:proofErr w:type="spellStart"/>
      <w:r w:rsidRPr="00A03B36">
        <w:rPr>
          <w:rFonts w:ascii="휴먼명조" w:eastAsia="휴먼명조" w:hAnsi="굴림" w:cs="굴림" w:hint="eastAsia"/>
          <w:color w:val="000000"/>
          <w:spacing w:val="6"/>
          <w:kern w:val="0"/>
          <w:szCs w:val="20"/>
        </w:rPr>
        <w:t>인도법</w:t>
      </w:r>
      <w:proofErr w:type="spellEnd"/>
      <w:r w:rsidRPr="00A03B36">
        <w:rPr>
          <w:rFonts w:ascii="휴먼명조" w:eastAsia="휴먼명조" w:hAnsi="굴림" w:cs="굴림" w:hint="eastAsia"/>
          <w:color w:val="000000"/>
          <w:spacing w:val="6"/>
          <w:kern w:val="0"/>
          <w:szCs w:val="20"/>
        </w:rPr>
        <w:t xml:space="preserve"> 위반 피해자들에게 지급해야 할 </w:t>
      </w:r>
      <w:r w:rsidRPr="00A03B36">
        <w:rPr>
          <w:rFonts w:ascii="휴먼명조" w:eastAsia="휴먼명조" w:hAnsi="굴림" w:cs="굴림" w:hint="eastAsia"/>
          <w:color w:val="000000"/>
          <w:kern w:val="0"/>
          <w:szCs w:val="20"/>
        </w:rPr>
        <w:t>배상금 재원 마련에 관한 전문가 회의를 소집했다.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 xml:space="preserve">5월 11일에는 </w:t>
      </w:r>
      <w:proofErr w:type="spellStart"/>
      <w:r w:rsidRPr="00A03B36">
        <w:rPr>
          <w:rFonts w:ascii="휴먼명조" w:eastAsia="휴먼명조" w:hAnsi="굴림" w:cs="굴림" w:hint="eastAsia"/>
          <w:color w:val="000000"/>
          <w:spacing w:val="-4"/>
          <w:kern w:val="0"/>
          <w:szCs w:val="20"/>
        </w:rPr>
        <w:t>위트레흐트</w:t>
      </w:r>
      <w:proofErr w:type="spellEnd"/>
      <w:r w:rsidRPr="00A03B36">
        <w:rPr>
          <w:rFonts w:ascii="휴먼명조" w:eastAsia="휴먼명조" w:hAnsi="굴림" w:cs="굴림" w:hint="eastAsia"/>
          <w:color w:val="000000"/>
          <w:spacing w:val="-4"/>
          <w:kern w:val="0"/>
          <w:szCs w:val="20"/>
        </w:rPr>
        <w:t xml:space="preserve"> 대학(Utrecht University)과 피해자를 위한 신탁기금이 주최한 </w:t>
      </w:r>
      <w:r w:rsidRPr="00A03B36">
        <w:rPr>
          <w:rFonts w:ascii="휴먼명조" w:eastAsia="휴먼명조" w:hAnsi="굴림" w:cs="굴림" w:hint="eastAsia"/>
          <w:color w:val="000000"/>
          <w:kern w:val="0"/>
          <w:szCs w:val="20"/>
        </w:rPr>
        <w:t>'배상: 과거의 교훈, 미래를 위한 과제'라는 주제의 국제 워크숍에 참석했다.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특별보고관은 6월 12일부터 16일까지 제29차 특별보고관, 독립 전문가, 유엔 인권</w:t>
      </w:r>
      <w:r w:rsidRPr="00A03B36">
        <w:rPr>
          <w:rFonts w:ascii="휴먼명조" w:eastAsia="휴먼명조" w:hAnsi="굴림" w:cs="굴림" w:hint="eastAsia"/>
          <w:color w:val="000000"/>
          <w:kern w:val="0"/>
          <w:szCs w:val="20"/>
        </w:rPr>
        <w:t>이사회 특별절차 실무그룹 의장 연례회의에 참석했다.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Ⅲ</w:t>
      </w:r>
      <w:proofErr w:type="spellEnd"/>
      <w:r w:rsidRPr="00A03B36">
        <w:rPr>
          <w:rFonts w:ascii="휴먼명조" w:eastAsia="휴먼명조" w:hAnsi="굴림" w:cs="굴림" w:hint="eastAsia"/>
          <w:b/>
          <w:bCs/>
          <w:color w:val="000000"/>
          <w:kern w:val="0"/>
          <w:sz w:val="26"/>
          <w:szCs w:val="26"/>
        </w:rPr>
        <w:t>. 배경</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특별보고관은 자신의 임무에 따라 이행기 정의에 관한 규칙의 적용 범위를 명확히 설정하는 것이 중요하다는 점을 염두에 두고 이 보고서에서 진실, 정의, 배상, 추모, 재발 방지 보장이라는 이행기 정의의 다섯 가지 기둥을 뒷받침하는 국제법적 기준 분석을 결정했다.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이 분석은 이행기 정의의 다섯 가지 기둥이 </w:t>
      </w:r>
      <w:proofErr w:type="spellStart"/>
      <w:r w:rsidRPr="00A03B36">
        <w:rPr>
          <w:rFonts w:ascii="휴먼명조" w:eastAsia="휴먼명조" w:hAnsi="굴림" w:cs="굴림" w:hint="eastAsia"/>
          <w:color w:val="000000"/>
          <w:kern w:val="0"/>
          <w:szCs w:val="20"/>
        </w:rPr>
        <w:t>상호보완적이고</w:t>
      </w:r>
      <w:proofErr w:type="spellEnd"/>
      <w:r w:rsidRPr="00A03B36">
        <w:rPr>
          <w:rFonts w:ascii="휴먼명조" w:eastAsia="휴먼명조" w:hAnsi="굴림" w:cs="굴림" w:hint="eastAsia"/>
          <w:color w:val="000000"/>
          <w:kern w:val="0"/>
          <w:szCs w:val="20"/>
        </w:rPr>
        <w:t xml:space="preserve"> </w:t>
      </w:r>
      <w:proofErr w:type="spellStart"/>
      <w:r w:rsidRPr="00A03B36">
        <w:rPr>
          <w:rFonts w:ascii="휴먼명조" w:eastAsia="휴먼명조" w:hAnsi="굴림" w:cs="굴림" w:hint="eastAsia"/>
          <w:color w:val="000000"/>
          <w:kern w:val="0"/>
          <w:szCs w:val="20"/>
        </w:rPr>
        <w:t>상호의존적이기</w:t>
      </w:r>
      <w:proofErr w:type="spellEnd"/>
      <w:r w:rsidRPr="00A03B36">
        <w:rPr>
          <w:rFonts w:ascii="휴먼명조" w:eastAsia="휴먼명조" w:hAnsi="굴림" w:cs="굴림" w:hint="eastAsia"/>
          <w:color w:val="000000"/>
          <w:kern w:val="0"/>
          <w:szCs w:val="20"/>
        </w:rPr>
        <w:t xml:space="preserve"> 때문에 서로 교차하는 경우가 많다는 점을 고려한다. 이전 특별보고관이 강조했듯이, 이행기 </w:t>
      </w:r>
      <w:r w:rsidRPr="00A03B36">
        <w:rPr>
          <w:rFonts w:ascii="휴먼명조" w:eastAsia="휴먼명조" w:hAnsi="굴림" w:cs="굴림" w:hint="eastAsia"/>
          <w:color w:val="000000"/>
          <w:spacing w:val="-2"/>
          <w:kern w:val="0"/>
          <w:szCs w:val="20"/>
        </w:rPr>
        <w:t>조치의 성공적인 이행을 위해서는 관련 프로그램을 설계할 때 각 요소 간의 긴밀하고</w:t>
      </w:r>
      <w:r w:rsidRPr="00A03B36">
        <w:rPr>
          <w:rFonts w:ascii="함초롬바탕" w:eastAsia="휴먼명조" w:hAnsi="굴림" w:cs="굴림"/>
          <w:color w:val="000000"/>
          <w:kern w:val="0"/>
          <w:szCs w:val="20"/>
        </w:rPr>
        <w:t xml:space="preserve"> </w:t>
      </w:r>
      <w:proofErr w:type="spellStart"/>
      <w:r w:rsidRPr="00A03B36">
        <w:rPr>
          <w:rFonts w:ascii="휴먼명조" w:eastAsia="휴먼명조" w:hAnsi="굴림" w:cs="굴림" w:hint="eastAsia"/>
          <w:color w:val="000000"/>
          <w:spacing w:val="6"/>
          <w:kern w:val="0"/>
          <w:szCs w:val="20"/>
        </w:rPr>
        <w:t>양방향적인</w:t>
      </w:r>
      <w:proofErr w:type="spellEnd"/>
      <w:r w:rsidRPr="00A03B36">
        <w:rPr>
          <w:rFonts w:ascii="휴먼명조" w:eastAsia="휴먼명조" w:hAnsi="굴림" w:cs="굴림" w:hint="eastAsia"/>
          <w:color w:val="000000"/>
          <w:spacing w:val="6"/>
          <w:kern w:val="0"/>
          <w:szCs w:val="20"/>
        </w:rPr>
        <w:t xml:space="preserve"> 관계를 고려해야 한다. 따라서 국가는 각 기둥의 요소를 보완적이고 </w:t>
      </w:r>
      <w:r w:rsidRPr="00A03B36">
        <w:rPr>
          <w:rFonts w:ascii="휴먼명조" w:eastAsia="휴먼명조" w:hAnsi="굴림" w:cs="굴림" w:hint="eastAsia"/>
          <w:color w:val="000000"/>
          <w:spacing w:val="-2"/>
          <w:kern w:val="0"/>
          <w:szCs w:val="20"/>
        </w:rPr>
        <w:t xml:space="preserve">상호 </w:t>
      </w:r>
      <w:r w:rsidRPr="00A03B36">
        <w:rPr>
          <w:rFonts w:ascii="휴먼명조" w:eastAsia="휴먼명조" w:hAnsi="굴림" w:cs="굴림" w:hint="eastAsia"/>
          <w:color w:val="000000"/>
          <w:spacing w:val="-2"/>
          <w:kern w:val="0"/>
          <w:szCs w:val="20"/>
        </w:rPr>
        <w:lastRenderedPageBreak/>
        <w:t>강화하는 방식으로 결합하는 포괄적인 접근방식에 따라 이러한 의무를 이행해야</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spacing w:val="-6"/>
          <w:kern w:val="0"/>
          <w:szCs w:val="20"/>
        </w:rPr>
        <w:t>한다.</w:t>
      </w:r>
      <w:r w:rsidR="006B1519">
        <w:rPr>
          <w:rStyle w:val="a6"/>
          <w:rFonts w:ascii="휴먼명조" w:eastAsia="휴먼명조" w:hAnsi="굴림" w:cs="굴림"/>
          <w:color w:val="000000"/>
          <w:spacing w:val="-6"/>
          <w:kern w:val="0"/>
          <w:szCs w:val="20"/>
        </w:rPr>
        <w:footnoteReference w:id="3"/>
      </w:r>
      <w:r w:rsidRPr="00A03B36">
        <w:rPr>
          <w:rFonts w:ascii="휴먼명조" w:eastAsia="휴먼명조" w:hAnsi="굴림" w:cs="굴림" w:hint="eastAsia"/>
          <w:color w:val="000000"/>
          <w:spacing w:val="-6"/>
          <w:kern w:val="0"/>
          <w:szCs w:val="20"/>
        </w:rPr>
        <w:t xml:space="preserve"> 현재의 관점은 이행기 정의 절차가 국가의 인권 의무를 효과적으로 이행하는 데</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spacing w:val="2"/>
          <w:kern w:val="0"/>
          <w:szCs w:val="20"/>
        </w:rPr>
        <w:t>초점을 맞추고 이행되어야 한다는 것이다.</w:t>
      </w:r>
      <w:r w:rsidR="006B1519">
        <w:rPr>
          <w:rStyle w:val="a6"/>
          <w:rFonts w:ascii="휴먼명조" w:eastAsia="휴먼명조" w:hAnsi="굴림" w:cs="굴림"/>
          <w:color w:val="000000"/>
          <w:spacing w:val="2"/>
          <w:kern w:val="0"/>
          <w:szCs w:val="20"/>
        </w:rPr>
        <w:footnoteReference w:id="4"/>
      </w:r>
      <w:r w:rsidRPr="00A03B36">
        <w:rPr>
          <w:rFonts w:ascii="휴먼명조" w:eastAsia="휴먼명조" w:hAnsi="굴림" w:cs="굴림" w:hint="eastAsia"/>
          <w:color w:val="000000"/>
          <w:spacing w:val="2"/>
          <w:kern w:val="0"/>
          <w:szCs w:val="20"/>
        </w:rPr>
        <w:t xml:space="preserve"> 또한, 이행기 정의의 기둥은 차별금지 </w:t>
      </w:r>
      <w:r w:rsidRPr="00A03B36">
        <w:rPr>
          <w:rFonts w:ascii="휴먼명조" w:eastAsia="휴먼명조" w:hAnsi="굴림" w:cs="굴림" w:hint="eastAsia"/>
          <w:color w:val="000000"/>
          <w:kern w:val="0"/>
          <w:szCs w:val="20"/>
        </w:rPr>
        <w:t>원칙을 충분히 고려하여 개발되어야 하며, 젠더 관점과 피해자 중심 접근법을 통합해야 하고, 심각한 인권침해의 근본 원인을 해결하는 것을 목표로 해야 한다.</w:t>
      </w:r>
      <w:r w:rsidR="006B1519">
        <w:rPr>
          <w:rStyle w:val="a6"/>
          <w:rFonts w:ascii="휴먼명조" w:eastAsia="휴먼명조" w:hAnsi="굴림" w:cs="굴림"/>
          <w:color w:val="000000"/>
          <w:kern w:val="0"/>
          <w:szCs w:val="20"/>
        </w:rPr>
        <w:footnoteReference w:id="5"/>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Ⅳ</w:t>
      </w:r>
      <w:proofErr w:type="spellEnd"/>
      <w:r w:rsidRPr="00A03B36">
        <w:rPr>
          <w:rFonts w:ascii="휴먼명조" w:eastAsia="휴먼명조" w:hAnsi="굴림" w:cs="굴림" w:hint="eastAsia"/>
          <w:b/>
          <w:bCs/>
          <w:color w:val="000000"/>
          <w:kern w:val="0"/>
          <w:sz w:val="26"/>
          <w:szCs w:val="26"/>
        </w:rPr>
        <w:t>. 진실 규명</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A. 일반적 고려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proofErr w:type="spellStart"/>
      <w:r w:rsidRPr="00A03B36">
        <w:rPr>
          <w:rFonts w:ascii="휴먼명조" w:eastAsia="휴먼명조" w:hAnsi="굴림" w:cs="굴림" w:hint="eastAsia"/>
          <w:color w:val="000000"/>
          <w:kern w:val="0"/>
          <w:szCs w:val="20"/>
        </w:rPr>
        <w:t>불처벌</w:t>
      </w:r>
      <w:proofErr w:type="spellEnd"/>
      <w:r w:rsidRPr="00A03B36">
        <w:rPr>
          <w:rFonts w:ascii="휴먼명조" w:eastAsia="휴먼명조" w:hAnsi="굴림" w:cs="굴림" w:hint="eastAsia"/>
          <w:color w:val="000000"/>
          <w:kern w:val="0"/>
          <w:szCs w:val="20"/>
        </w:rPr>
        <w:t xml:space="preserve"> 근절 조치를 통한 인권보호 및 증진을 위한 일련의 원칙 </w:t>
      </w:r>
      <w:proofErr w:type="spellStart"/>
      <w:r w:rsidRPr="00A03B36">
        <w:rPr>
          <w:rFonts w:ascii="휴먼명조" w:eastAsia="휴먼명조" w:hAnsi="굴림" w:cs="굴림" w:hint="eastAsia"/>
          <w:color w:val="000000"/>
          <w:kern w:val="0"/>
          <w:szCs w:val="20"/>
        </w:rPr>
        <w:t>현행본</w:t>
      </w:r>
      <w:proofErr w:type="spellEnd"/>
      <w:r w:rsidRPr="00A03B36">
        <w:rPr>
          <w:rFonts w:ascii="휴먼명조" w:eastAsia="휴먼명조" w:hAnsi="굴림" w:cs="굴림" w:hint="eastAsia"/>
          <w:color w:val="000000"/>
          <w:kern w:val="0"/>
          <w:szCs w:val="20"/>
        </w:rPr>
        <w:t xml:space="preserve">(Updated Set of principles for the protection and promotion of human rights through action to combat impunity)에 따르면, 진실은 극악무도한 범죄의 가해와 관련된 과거 사건과 대규모 또는 조직적인 위반을 통해 그러한 범죄를 저지르게 된 상황과 이유에 대해 </w:t>
      </w:r>
      <w:r w:rsidRPr="00A03B36">
        <w:rPr>
          <w:rFonts w:ascii="휴먼명조" w:eastAsia="휴먼명조" w:hAnsi="굴림" w:cs="굴림" w:hint="eastAsia"/>
          <w:color w:val="000000"/>
          <w:spacing w:val="-4"/>
          <w:kern w:val="0"/>
          <w:szCs w:val="20"/>
        </w:rPr>
        <w:t>피해자와 그 가족이 진실을 알 수 있는 양도할 수 없는 권리로 구성된다. 이는 위반의</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재발을 방지하는 중요한 안전장치로 간주된다.</w:t>
      </w:r>
      <w:r w:rsidR="006B1519">
        <w:rPr>
          <w:rStyle w:val="a6"/>
          <w:rFonts w:ascii="휴먼명조" w:eastAsia="휴먼명조" w:hAnsi="굴림" w:cs="굴림"/>
          <w:color w:val="000000"/>
          <w:kern w:val="0"/>
          <w:szCs w:val="20"/>
        </w:rPr>
        <w:footnoteReference w:id="6"/>
      </w:r>
      <w:r w:rsidRPr="00A03B36">
        <w:rPr>
          <w:rFonts w:ascii="휴먼명조" w:eastAsia="휴먼명조" w:hAnsi="굴림" w:cs="굴림" w:hint="eastAsia"/>
          <w:color w:val="000000"/>
          <w:kern w:val="0"/>
          <w:szCs w:val="20"/>
        </w:rPr>
        <w:t xml:space="preserve"> 이러한 위반을 조사하지 않는 것은 그 자체로 별도의 관련 국제법규의 위반이 될 수 있다.</w:t>
      </w:r>
      <w:r w:rsidR="006B1519">
        <w:rPr>
          <w:rStyle w:val="a6"/>
          <w:rFonts w:ascii="휴먼명조" w:eastAsia="휴먼명조" w:hAnsi="굴림" w:cs="굴림"/>
          <w:color w:val="000000"/>
          <w:kern w:val="0"/>
          <w:szCs w:val="20"/>
        </w:rPr>
        <w:footnoteReference w:id="7"/>
      </w:r>
      <w:r w:rsidRPr="00A03B36">
        <w:rPr>
          <w:rFonts w:ascii="휴먼명조" w:eastAsia="휴먼명조" w:hAnsi="굴림" w:cs="굴림" w:hint="eastAsia"/>
          <w:color w:val="000000"/>
          <w:kern w:val="0"/>
          <w:szCs w:val="20"/>
        </w:rPr>
        <w:t xml:space="preserve"> 또한 진실은 보다 완전한 추모 과정을 달성하기 위해서도 필요하다.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이 권리는 여러 보편적 및 지역적 조약에 포함된 중대한 인권침해와 심각한 국제</w:t>
      </w:r>
      <w:r w:rsidRPr="00A03B36">
        <w:rPr>
          <w:rFonts w:ascii="휴먼명조" w:eastAsia="휴먼명조" w:hAnsi="굴림" w:cs="굴림" w:hint="eastAsia"/>
          <w:color w:val="000000"/>
          <w:kern w:val="0"/>
          <w:szCs w:val="20"/>
        </w:rPr>
        <w:t xml:space="preserve">인도법 위반을 조사해야 하는 국가의 의무에서 비롯된다. 조사 의무는 세계인권선언, </w:t>
      </w:r>
      <w:r w:rsidRPr="00A03B36">
        <w:rPr>
          <w:rFonts w:ascii="휴먼명조" w:eastAsia="휴먼명조" w:hAnsi="굴림" w:cs="굴림" w:hint="eastAsia"/>
          <w:color w:val="000000"/>
          <w:spacing w:val="-4"/>
          <w:kern w:val="0"/>
          <w:szCs w:val="20"/>
        </w:rPr>
        <w:t>시민적 및 정치적 권리에 관한 국제규약, 기타 여러 국제 및 지역 인권 조약에 명시된</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인권을 존중하고 보장해야 하는 국가의 의무와 이러한 권리 침해에 대한 효과적인 구제를 받을 모든 사람의 권리에서 비롯된다.</w:t>
      </w:r>
      <w:r w:rsidR="006B1519">
        <w:rPr>
          <w:rStyle w:val="a6"/>
          <w:rFonts w:ascii="휴먼명조" w:eastAsia="휴먼명조" w:hAnsi="굴림" w:cs="굴림"/>
          <w:color w:val="000000"/>
          <w:kern w:val="0"/>
          <w:szCs w:val="20"/>
        </w:rPr>
        <w:footnoteReference w:id="8"/>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lastRenderedPageBreak/>
        <w:t>친족의 운명에 대한 진실을 알 수 있는 가족의 권리는 1949년 8월 12일자 제네바</w:t>
      </w:r>
      <w:r w:rsidRPr="00A03B36">
        <w:rPr>
          <w:rFonts w:ascii="휴먼명조" w:eastAsia="휴먼명조" w:hAnsi="굴림" w:cs="굴림" w:hint="eastAsia"/>
          <w:color w:val="000000"/>
          <w:spacing w:val="2"/>
          <w:kern w:val="0"/>
          <w:szCs w:val="20"/>
        </w:rPr>
        <w:t>협약에 대한 추가 및 국제적 무력충돌의 희생자 보호에 관한 의정서(제1의정서),</w:t>
      </w:r>
      <w:r w:rsidR="006B1519">
        <w:rPr>
          <w:rStyle w:val="a6"/>
          <w:rFonts w:ascii="휴먼명조" w:eastAsia="휴먼명조" w:hAnsi="굴림" w:cs="굴림"/>
          <w:color w:val="000000"/>
          <w:spacing w:val="2"/>
          <w:kern w:val="0"/>
          <w:szCs w:val="20"/>
        </w:rPr>
        <w:footnoteReference w:id="9"/>
      </w:r>
      <w:r w:rsidRPr="00A03B36">
        <w:rPr>
          <w:rFonts w:ascii="휴먼명조" w:eastAsia="휴먼명조" w:hAnsi="굴림" w:cs="굴림" w:hint="eastAsia"/>
          <w:color w:val="000000"/>
          <w:spacing w:val="2"/>
          <w:kern w:val="0"/>
          <w:szCs w:val="20"/>
        </w:rPr>
        <w:t xml:space="preserve"> </w:t>
      </w:r>
      <w:r w:rsidRPr="00A03B36">
        <w:rPr>
          <w:rFonts w:ascii="휴먼명조" w:eastAsia="휴먼명조" w:hAnsi="굴림" w:cs="굴림" w:hint="eastAsia"/>
          <w:color w:val="000000"/>
          <w:kern w:val="0"/>
          <w:szCs w:val="20"/>
        </w:rPr>
        <w:t>강제 실종으로부터 모든 사람을 보호하기 위한 국제 협약에 명시되어 있다.</w:t>
      </w:r>
      <w:r w:rsidR="006B1519">
        <w:rPr>
          <w:rStyle w:val="a6"/>
          <w:rFonts w:ascii="휴먼명조" w:eastAsia="휴먼명조" w:hAnsi="굴림" w:cs="굴림"/>
          <w:color w:val="000000"/>
          <w:kern w:val="0"/>
          <w:szCs w:val="20"/>
        </w:rPr>
        <w:footnoteReference w:id="10"/>
      </w:r>
      <w:r w:rsidRPr="00A03B36">
        <w:rPr>
          <w:rFonts w:ascii="휴먼명조" w:eastAsia="휴먼명조" w:hAnsi="굴림" w:cs="굴림" w:hint="eastAsia"/>
          <w:color w:val="000000"/>
          <w:kern w:val="0"/>
          <w:szCs w:val="20"/>
        </w:rPr>
        <w:t xml:space="preserve"> 또한, 유엔 총회,</w:t>
      </w:r>
      <w:r w:rsidR="006B1519">
        <w:rPr>
          <w:rStyle w:val="a6"/>
          <w:rFonts w:ascii="휴먼명조" w:eastAsia="휴먼명조" w:hAnsi="굴림" w:cs="굴림"/>
          <w:color w:val="000000"/>
          <w:kern w:val="0"/>
          <w:szCs w:val="20"/>
        </w:rPr>
        <w:footnoteReference w:id="11"/>
      </w:r>
      <w:r w:rsidRPr="00A03B36">
        <w:rPr>
          <w:rFonts w:ascii="휴먼명조" w:eastAsia="휴먼명조" w:hAnsi="굴림" w:cs="굴림" w:hint="eastAsia"/>
          <w:color w:val="000000"/>
          <w:kern w:val="0"/>
          <w:szCs w:val="20"/>
        </w:rPr>
        <w:t xml:space="preserve"> 인권 이사회</w:t>
      </w:r>
      <w:r w:rsidR="006B1519">
        <w:rPr>
          <w:rStyle w:val="a6"/>
          <w:rFonts w:ascii="휴먼명조" w:eastAsia="휴먼명조" w:hAnsi="굴림" w:cs="굴림"/>
          <w:color w:val="000000"/>
          <w:kern w:val="0"/>
          <w:szCs w:val="20"/>
        </w:rPr>
        <w:footnoteReference w:id="12"/>
      </w:r>
      <w:r w:rsidRPr="00A03B36">
        <w:rPr>
          <w:rFonts w:ascii="함초롬바탕" w:eastAsia="휴먼명조" w:hAnsi="굴림" w:cs="굴림"/>
          <w:color w:val="000000"/>
          <w:kern w:val="0"/>
          <w:szCs w:val="20"/>
        </w:rPr>
        <w:t xml:space="preserve"> </w:t>
      </w:r>
      <w:r w:rsidRPr="00A03B36">
        <w:rPr>
          <w:rFonts w:ascii="함초롬바탕" w:eastAsia="휴먼명조" w:hAnsi="굴림" w:cs="굴림"/>
          <w:color w:val="000000"/>
          <w:kern w:val="0"/>
          <w:szCs w:val="20"/>
        </w:rPr>
        <w:t>및</w:t>
      </w:r>
      <w:r w:rsidRPr="00A03B36">
        <w:rPr>
          <w:rFonts w:ascii="함초롬바탕" w:eastAsia="휴먼명조" w:hAnsi="굴림" w:cs="굴림"/>
          <w:color w:val="000000"/>
          <w:kern w:val="0"/>
          <w:szCs w:val="20"/>
        </w:rPr>
        <w:t xml:space="preserve"> </w:t>
      </w:r>
      <w:r w:rsidRPr="00A03B36">
        <w:rPr>
          <w:rFonts w:ascii="함초롬바탕" w:eastAsia="휴먼명조" w:hAnsi="굴림" w:cs="굴림"/>
          <w:color w:val="000000"/>
          <w:kern w:val="0"/>
          <w:szCs w:val="20"/>
        </w:rPr>
        <w:t>미주국가기구</w:t>
      </w:r>
      <w:r w:rsidR="006B1519">
        <w:rPr>
          <w:rStyle w:val="a6"/>
          <w:rFonts w:ascii="함초롬바탕" w:eastAsia="휴먼명조" w:hAnsi="굴림" w:cs="굴림"/>
          <w:color w:val="000000"/>
          <w:kern w:val="0"/>
          <w:szCs w:val="20"/>
        </w:rPr>
        <w:footnoteReference w:id="13"/>
      </w:r>
      <w:r w:rsidRPr="00A03B36">
        <w:rPr>
          <w:rFonts w:ascii="휴먼명조" w:eastAsia="휴먼명조" w:hAnsi="굴림" w:cs="굴림" w:hint="eastAsia"/>
          <w:color w:val="000000"/>
          <w:kern w:val="0"/>
          <w:szCs w:val="20"/>
        </w:rPr>
        <w:t>에서도 인정하고 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진실에 대한 권리는 </w:t>
      </w:r>
      <w:proofErr w:type="spellStart"/>
      <w:r w:rsidRPr="00A03B36">
        <w:rPr>
          <w:rFonts w:ascii="휴먼명조" w:eastAsia="휴먼명조" w:hAnsi="굴림" w:cs="굴림" w:hint="eastAsia"/>
          <w:color w:val="000000"/>
          <w:kern w:val="0"/>
          <w:szCs w:val="20"/>
        </w:rPr>
        <w:t>불처벌</w:t>
      </w:r>
      <w:proofErr w:type="spellEnd"/>
      <w:r w:rsidRPr="00A03B36">
        <w:rPr>
          <w:rFonts w:ascii="휴먼명조" w:eastAsia="휴먼명조" w:hAnsi="굴림" w:cs="굴림" w:hint="eastAsia"/>
          <w:color w:val="000000"/>
          <w:kern w:val="0"/>
          <w:szCs w:val="20"/>
        </w:rPr>
        <w:t xml:space="preserve"> 저지 조치를 통한 인권보호 및 증진을 위한 일련의 원칙 수정본과 국제인권법의 중대한 위반행위 및 국제인도법의 심각한 위반행위 피해자를 위한 구제 및 배상에 대한 권리에 관한 기본 원칙과 지침 같은 다른 국제법 자료에</w:t>
      </w:r>
      <w:r w:rsidRPr="00A03B36">
        <w:rPr>
          <w:rFonts w:ascii="휴먼명조" w:eastAsia="휴먼명조" w:hAnsi="굴림" w:cs="굴림" w:hint="eastAsia"/>
          <w:color w:val="000000"/>
          <w:spacing w:val="6"/>
          <w:kern w:val="0"/>
          <w:szCs w:val="20"/>
        </w:rPr>
        <w:t>서도 명확히 언급된다. 일부 국가는 진실에 대한 권리를 국내법에 포함하였고,</w:t>
      </w:r>
      <w:r w:rsidR="006B1519">
        <w:rPr>
          <w:rStyle w:val="a6"/>
          <w:rFonts w:ascii="휴먼명조" w:eastAsia="휴먼명조" w:hAnsi="굴림" w:cs="굴림"/>
          <w:color w:val="000000"/>
          <w:spacing w:val="6"/>
          <w:kern w:val="0"/>
          <w:szCs w:val="20"/>
        </w:rPr>
        <w:footnoteReference w:id="14"/>
      </w:r>
      <w:r w:rsidRPr="00A03B36">
        <w:rPr>
          <w:rFonts w:ascii="휴먼명조" w:eastAsia="휴먼명조" w:hAnsi="굴림" w:cs="굴림" w:hint="eastAsia"/>
          <w:color w:val="000000"/>
          <w:spacing w:val="6"/>
          <w:kern w:val="0"/>
          <w:szCs w:val="20"/>
        </w:rPr>
        <w:t xml:space="preserve"> </w:t>
      </w:r>
      <w:r w:rsidRPr="00A03B36">
        <w:rPr>
          <w:rFonts w:ascii="휴먼명조" w:eastAsia="휴먼명조" w:hAnsi="굴림" w:cs="굴림" w:hint="eastAsia"/>
          <w:color w:val="000000"/>
          <w:spacing w:val="-8"/>
          <w:kern w:val="0"/>
          <w:szCs w:val="20"/>
        </w:rPr>
        <w:t>일부 사례에서는 국내 법원이 진실에 대한 접근을 제공하는 데 중요한 역할을 해왔다.</w:t>
      </w:r>
      <w:r w:rsidR="003F29FC">
        <w:rPr>
          <w:rStyle w:val="a6"/>
          <w:rFonts w:ascii="휴먼명조" w:eastAsia="휴먼명조" w:hAnsi="굴림" w:cs="굴림"/>
          <w:color w:val="000000"/>
          <w:spacing w:val="-8"/>
          <w:kern w:val="0"/>
          <w:szCs w:val="20"/>
        </w:rPr>
        <w:footnoteReference w:id="15"/>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spacing w:val="-20"/>
          <w:kern w:val="0"/>
          <w:szCs w:val="20"/>
        </w:rPr>
      </w:pPr>
      <w:r w:rsidRPr="00A03B36">
        <w:rPr>
          <w:rFonts w:ascii="휴먼명조" w:eastAsia="휴먼명조" w:hAnsi="굴림" w:cs="굴림" w:hint="eastAsia"/>
          <w:color w:val="000000"/>
          <w:spacing w:val="-20"/>
          <w:kern w:val="0"/>
          <w:szCs w:val="20"/>
        </w:rPr>
        <w:t>인권침해 혐의에 대한 국가의 조사 의무와 피해자가 인권침해에 대한 진실을 알 권리는</w:t>
      </w:r>
      <w:r w:rsidRPr="00A03B36">
        <w:rPr>
          <w:rFonts w:ascii="함초롬바탕" w:eastAsia="휴먼명조" w:hAnsi="굴림" w:cs="굴림"/>
          <w:color w:val="000000"/>
          <w:spacing w:val="-20"/>
          <w:kern w:val="0"/>
          <w:szCs w:val="20"/>
        </w:rPr>
        <w:t xml:space="preserve"> </w:t>
      </w:r>
      <w:proofErr w:type="spellStart"/>
      <w:r w:rsidRPr="00A03B36">
        <w:rPr>
          <w:rFonts w:ascii="휴먼명조" w:eastAsia="휴먼명조" w:hAnsi="굴림" w:cs="굴림" w:hint="eastAsia"/>
          <w:color w:val="000000"/>
          <w:spacing w:val="-20"/>
          <w:kern w:val="0"/>
          <w:szCs w:val="20"/>
        </w:rPr>
        <w:t>시민적·정치적</w:t>
      </w:r>
      <w:proofErr w:type="spellEnd"/>
      <w:r w:rsidRPr="00A03B36">
        <w:rPr>
          <w:rFonts w:ascii="휴먼명조" w:eastAsia="휴먼명조" w:hAnsi="굴림" w:cs="굴림" w:hint="eastAsia"/>
          <w:color w:val="000000"/>
          <w:spacing w:val="-20"/>
          <w:kern w:val="0"/>
          <w:szCs w:val="20"/>
        </w:rPr>
        <w:t xml:space="preserve"> 권리 위원회,</w:t>
      </w:r>
      <w:r w:rsidR="003F29FC">
        <w:rPr>
          <w:rStyle w:val="a6"/>
          <w:rFonts w:ascii="휴먼명조" w:eastAsia="휴먼명조" w:hAnsi="굴림" w:cs="굴림"/>
          <w:color w:val="000000"/>
          <w:spacing w:val="-20"/>
          <w:kern w:val="0"/>
          <w:szCs w:val="20"/>
        </w:rPr>
        <w:footnoteReference w:id="16"/>
      </w:r>
      <w:r w:rsidRPr="00A03B36">
        <w:rPr>
          <w:rFonts w:ascii="휴먼명조" w:eastAsia="휴먼명조" w:hAnsi="굴림" w:cs="굴림" w:hint="eastAsia"/>
          <w:color w:val="000000"/>
          <w:spacing w:val="-20"/>
          <w:kern w:val="0"/>
          <w:szCs w:val="20"/>
        </w:rPr>
        <w:t xml:space="preserve"> 유럽 인권 재판소,</w:t>
      </w:r>
      <w:r w:rsidR="003F29FC">
        <w:rPr>
          <w:rStyle w:val="a6"/>
          <w:rFonts w:ascii="휴먼명조" w:eastAsia="휴먼명조" w:hAnsi="굴림" w:cs="굴림"/>
          <w:color w:val="000000"/>
          <w:spacing w:val="-20"/>
          <w:kern w:val="0"/>
          <w:szCs w:val="20"/>
        </w:rPr>
        <w:footnoteReference w:id="17"/>
      </w:r>
      <w:r w:rsidRPr="00A03B36">
        <w:rPr>
          <w:rFonts w:ascii="휴먼명조" w:eastAsia="휴먼명조" w:hAnsi="굴림" w:cs="굴림" w:hint="eastAsia"/>
          <w:color w:val="000000"/>
          <w:spacing w:val="-20"/>
          <w:kern w:val="0"/>
          <w:szCs w:val="20"/>
        </w:rPr>
        <w:t xml:space="preserve"> 아프리카 인권과 인민의 권리위원회</w:t>
      </w:r>
      <w:r w:rsidRPr="00A03B36">
        <w:rPr>
          <w:rFonts w:ascii="함초롬바탕" w:eastAsia="휴먼명조" w:hAnsi="굴림" w:cs="굴림"/>
          <w:color w:val="000000"/>
          <w:spacing w:val="-20"/>
          <w:kern w:val="0"/>
          <w:szCs w:val="20"/>
        </w:rPr>
        <w:t xml:space="preserve"> </w:t>
      </w:r>
      <w:r w:rsidR="003F29FC">
        <w:rPr>
          <w:rStyle w:val="a6"/>
          <w:rFonts w:ascii="함초롬바탕" w:eastAsia="휴먼명조" w:hAnsi="굴림" w:cs="굴림"/>
          <w:color w:val="000000"/>
          <w:spacing w:val="-20"/>
          <w:kern w:val="0"/>
          <w:szCs w:val="20"/>
        </w:rPr>
        <w:footnoteReference w:id="18"/>
      </w:r>
      <w:r w:rsidRPr="00A03B36">
        <w:rPr>
          <w:rFonts w:ascii="함초롬바탕" w:eastAsia="휴먼명조" w:hAnsi="굴림" w:cs="굴림"/>
          <w:color w:val="000000"/>
          <w:spacing w:val="-20"/>
          <w:kern w:val="0"/>
          <w:szCs w:val="20"/>
        </w:rPr>
        <w:t>및</w:t>
      </w:r>
      <w:r w:rsidRPr="00A03B36">
        <w:rPr>
          <w:rFonts w:ascii="함초롬바탕" w:eastAsia="휴먼명조" w:hAnsi="굴림" w:cs="굴림"/>
          <w:color w:val="000000"/>
          <w:spacing w:val="-20"/>
          <w:kern w:val="0"/>
          <w:szCs w:val="20"/>
        </w:rPr>
        <w:t xml:space="preserve"> </w:t>
      </w:r>
      <w:r w:rsidRPr="00A03B36">
        <w:rPr>
          <w:rFonts w:ascii="함초롬바탕" w:eastAsia="휴먼명조" w:hAnsi="굴림" w:cs="굴림"/>
          <w:color w:val="000000"/>
          <w:spacing w:val="-20"/>
          <w:kern w:val="0"/>
          <w:szCs w:val="20"/>
        </w:rPr>
        <w:t>미주인권재판소</w:t>
      </w:r>
      <w:r w:rsidR="003F29FC">
        <w:rPr>
          <w:rStyle w:val="a6"/>
          <w:rFonts w:ascii="함초롬바탕" w:eastAsia="휴먼명조" w:hAnsi="굴림" w:cs="굴림"/>
          <w:color w:val="000000"/>
          <w:spacing w:val="-20"/>
          <w:kern w:val="0"/>
          <w:szCs w:val="20"/>
        </w:rPr>
        <w:footnoteReference w:id="19"/>
      </w:r>
      <w:r w:rsidRPr="00A03B36">
        <w:rPr>
          <w:rFonts w:ascii="휴먼명조" w:eastAsia="휴먼명조" w:hAnsi="굴림" w:cs="굴림" w:hint="eastAsia"/>
          <w:color w:val="000000"/>
          <w:spacing w:val="-20"/>
          <w:kern w:val="0"/>
          <w:szCs w:val="20"/>
        </w:rPr>
        <w:t xml:space="preserve">와 같은 여러 지역 및 </w:t>
      </w:r>
      <w:r w:rsidRPr="00A03B36">
        <w:rPr>
          <w:rFonts w:ascii="휴먼명조" w:eastAsia="휴먼명조" w:hAnsi="굴림" w:cs="굴림" w:hint="eastAsia"/>
          <w:color w:val="000000"/>
          <w:spacing w:val="-20"/>
          <w:kern w:val="0"/>
          <w:szCs w:val="20"/>
        </w:rPr>
        <w:lastRenderedPageBreak/>
        <w:t>국제 법원, 인권 보호 메커니즘에서도 인정되었다.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6"/>
          <w:szCs w:val="26"/>
        </w:rPr>
        <w:t>B</w:t>
      </w:r>
      <w:r w:rsidRPr="00A03B36">
        <w:rPr>
          <w:rFonts w:ascii="휴먼명조" w:eastAsia="휴먼명조" w:hAnsi="굴림" w:cs="굴림" w:hint="eastAsia"/>
          <w:b/>
          <w:bCs/>
          <w:color w:val="000000"/>
          <w:kern w:val="0"/>
          <w:sz w:val="24"/>
          <w:szCs w:val="24"/>
        </w:rPr>
        <w:t>. 구체적 고려</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1. 효과적이고 독립적이며 공정한 조사</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kern w:val="0"/>
          <w:szCs w:val="20"/>
        </w:rPr>
        <w:t xml:space="preserve">국가는 공동 행동의 패턴을 조사하고, 식별하며, 다양한 방식으로 인권침해에 가담한 </w:t>
      </w:r>
      <w:r w:rsidRPr="00A03B36">
        <w:rPr>
          <w:rFonts w:ascii="휴먼명조" w:eastAsia="휴먼명조" w:hAnsi="굴림" w:cs="굴림" w:hint="eastAsia"/>
          <w:color w:val="000000"/>
          <w:spacing w:val="-4"/>
          <w:kern w:val="0"/>
          <w:szCs w:val="20"/>
        </w:rPr>
        <w:t>모든 사람을 파악할 적극적 의무가 있다.</w:t>
      </w:r>
      <w:r w:rsidR="003F29FC">
        <w:rPr>
          <w:rStyle w:val="a6"/>
          <w:rFonts w:ascii="휴먼명조" w:eastAsia="휴먼명조" w:hAnsi="굴림" w:cs="굴림"/>
          <w:color w:val="000000"/>
          <w:spacing w:val="-4"/>
          <w:kern w:val="0"/>
          <w:szCs w:val="20"/>
        </w:rPr>
        <w:footnoteReference w:id="20"/>
      </w:r>
      <w:r w:rsidRPr="00A03B36">
        <w:rPr>
          <w:rFonts w:ascii="휴먼명조" w:eastAsia="휴먼명조" w:hAnsi="굴림" w:cs="굴림" w:hint="eastAsia"/>
          <w:color w:val="000000"/>
          <w:spacing w:val="-4"/>
          <w:kern w:val="0"/>
          <w:szCs w:val="20"/>
        </w:rPr>
        <w:t xml:space="preserve"> 이는 피해자의 적절한 절차 참여와 폭넓은</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의견 진술 기회를 통해 이루어져야 한다.</w:t>
      </w:r>
      <w:r w:rsidR="003F29FC">
        <w:rPr>
          <w:rStyle w:val="a6"/>
          <w:rFonts w:ascii="휴먼명조" w:eastAsia="휴먼명조" w:hAnsi="굴림" w:cs="굴림"/>
          <w:color w:val="000000"/>
          <w:kern w:val="0"/>
          <w:szCs w:val="20"/>
        </w:rPr>
        <w:footnoteReference w:id="21"/>
      </w:r>
      <w:r w:rsidRPr="00A03B36">
        <w:rPr>
          <w:rFonts w:ascii="휴먼명조" w:eastAsia="휴먼명조" w:hAnsi="굴림" w:cs="굴림" w:hint="eastAsia"/>
          <w:color w:val="000000"/>
          <w:kern w:val="0"/>
          <w:szCs w:val="20"/>
        </w:rPr>
        <w:t xml:space="preserve"> 조사는 인권침해를 지시했거나 실제로 범했는지, 가해자 또는 공범으로 행동했는지, 공무원 혹은 국가와 </w:t>
      </w:r>
      <w:proofErr w:type="spellStart"/>
      <w:r w:rsidRPr="00A03B36">
        <w:rPr>
          <w:rFonts w:ascii="휴먼명조" w:eastAsia="휴먼명조" w:hAnsi="굴림" w:cs="굴림" w:hint="eastAsia"/>
          <w:color w:val="000000"/>
          <w:kern w:val="0"/>
          <w:szCs w:val="20"/>
        </w:rPr>
        <w:t>어떻게든</w:t>
      </w:r>
      <w:proofErr w:type="spellEnd"/>
      <w:r w:rsidRPr="00A03B36">
        <w:rPr>
          <w:rFonts w:ascii="휴먼명조" w:eastAsia="휴먼명조" w:hAnsi="굴림" w:cs="굴림" w:hint="eastAsia"/>
          <w:color w:val="000000"/>
          <w:kern w:val="0"/>
          <w:szCs w:val="20"/>
        </w:rPr>
        <w:t xml:space="preserve"> 연관된 </w:t>
      </w:r>
      <w:proofErr w:type="spellStart"/>
      <w:r w:rsidRPr="00A03B36">
        <w:rPr>
          <w:rFonts w:ascii="휴먼명조" w:eastAsia="휴먼명조" w:hAnsi="굴림" w:cs="굴림" w:hint="eastAsia"/>
          <w:color w:val="000000"/>
          <w:kern w:val="0"/>
          <w:szCs w:val="20"/>
        </w:rPr>
        <w:t>준정부</w:t>
      </w:r>
      <w:proofErr w:type="spellEnd"/>
      <w:r w:rsidRPr="00A03B36">
        <w:rPr>
          <w:rFonts w:ascii="휴먼명조" w:eastAsia="휴먼명조" w:hAnsi="굴림" w:cs="굴림" w:hint="eastAsia"/>
          <w:color w:val="000000"/>
          <w:kern w:val="0"/>
          <w:szCs w:val="20"/>
        </w:rPr>
        <w:t xml:space="preserve"> 또는 민간 무장 단체나 비정부 무장 단체의 구성원 등 모든 사람과 관련될 </w:t>
      </w:r>
      <w:r w:rsidRPr="00A03B36">
        <w:rPr>
          <w:rFonts w:ascii="휴먼명조" w:eastAsia="휴먼명조" w:hAnsi="굴림" w:cs="굴림" w:hint="eastAsia"/>
          <w:color w:val="000000"/>
          <w:spacing w:val="-4"/>
          <w:kern w:val="0"/>
          <w:szCs w:val="20"/>
        </w:rPr>
        <w:t>수 있다. 진실에 대한 권리 보장에 있어 국가는 사법부의 독립적이고 효과적인 운영과</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 xml:space="preserve">사법부의 역할을 보완하는 비사법적 절차를 보장할 수 있도록 필요한 조치를 취해야 </w:t>
      </w:r>
      <w:r w:rsidRPr="00A03B36">
        <w:rPr>
          <w:rFonts w:ascii="휴먼명조" w:eastAsia="휴먼명조" w:hAnsi="굴림" w:cs="굴림" w:hint="eastAsia"/>
          <w:color w:val="000000"/>
          <w:spacing w:val="-2"/>
          <w:kern w:val="0"/>
          <w:szCs w:val="20"/>
        </w:rPr>
        <w:t>한다.</w:t>
      </w:r>
      <w:r w:rsidR="003F29FC">
        <w:rPr>
          <w:rStyle w:val="a6"/>
          <w:rFonts w:ascii="휴먼명조" w:eastAsia="휴먼명조" w:hAnsi="굴림" w:cs="굴림"/>
          <w:color w:val="000000"/>
          <w:spacing w:val="-2"/>
          <w:kern w:val="0"/>
          <w:szCs w:val="20"/>
        </w:rPr>
        <w:footnoteReference w:id="22"/>
      </w:r>
      <w:r w:rsidRPr="00A03B36">
        <w:rPr>
          <w:rFonts w:ascii="휴먼명조" w:eastAsia="휴먼명조" w:hAnsi="굴림" w:cs="굴림" w:hint="eastAsia"/>
          <w:color w:val="000000"/>
          <w:spacing w:val="-2"/>
          <w:kern w:val="0"/>
          <w:szCs w:val="20"/>
        </w:rPr>
        <w:t xml:space="preserve"> 또한, 조사는 비효율적일 수밖에 없는 단순한 형식적 절차가 아니라 진지하게</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수행되어야 한다.</w:t>
      </w:r>
      <w:r w:rsidR="003F29FC">
        <w:rPr>
          <w:rStyle w:val="a6"/>
          <w:rFonts w:ascii="휴먼명조" w:eastAsia="휴먼명조" w:hAnsi="굴림" w:cs="굴림"/>
          <w:color w:val="000000"/>
          <w:kern w:val="0"/>
          <w:szCs w:val="20"/>
        </w:rPr>
        <w:footnoteReference w:id="23"/>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조사는 직권으로 시작되어야 하고,</w:t>
      </w:r>
      <w:r w:rsidR="003F29FC">
        <w:rPr>
          <w:rStyle w:val="a6"/>
          <w:rFonts w:ascii="휴먼명조" w:eastAsia="휴먼명조" w:hAnsi="굴림" w:cs="굴림"/>
          <w:color w:val="000000"/>
          <w:spacing w:val="-4"/>
          <w:kern w:val="0"/>
          <w:szCs w:val="20"/>
        </w:rPr>
        <w:footnoteReference w:id="24"/>
      </w:r>
      <w:r w:rsidRPr="00A03B36">
        <w:rPr>
          <w:rFonts w:ascii="휴먼명조" w:eastAsia="휴먼명조" w:hAnsi="굴림" w:cs="굴림" w:hint="eastAsia"/>
          <w:color w:val="000000"/>
          <w:spacing w:val="-4"/>
          <w:kern w:val="0"/>
          <w:szCs w:val="20"/>
        </w:rPr>
        <w:t xml:space="preserve"> 즉, 피해자나 </w:t>
      </w:r>
      <w:proofErr w:type="spellStart"/>
      <w:r w:rsidRPr="00A03B36">
        <w:rPr>
          <w:rFonts w:ascii="휴먼명조" w:eastAsia="휴먼명조" w:hAnsi="굴림" w:cs="굴림" w:hint="eastAsia"/>
          <w:color w:val="000000"/>
          <w:spacing w:val="-4"/>
          <w:kern w:val="0"/>
          <w:szCs w:val="20"/>
        </w:rPr>
        <w:t>최근친의</w:t>
      </w:r>
      <w:proofErr w:type="spellEnd"/>
      <w:r w:rsidRPr="00A03B36">
        <w:rPr>
          <w:rFonts w:ascii="휴먼명조" w:eastAsia="휴먼명조" w:hAnsi="굴림" w:cs="굴림" w:hint="eastAsia"/>
          <w:color w:val="000000"/>
          <w:spacing w:val="-4"/>
          <w:kern w:val="0"/>
          <w:szCs w:val="20"/>
        </w:rPr>
        <w:t xml:space="preserve"> 절차적 주도권이나 그들이</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spacing w:val="-6"/>
          <w:kern w:val="0"/>
          <w:szCs w:val="20"/>
        </w:rPr>
        <w:t>제공하는 증거에 의존해서는 안 되며,</w:t>
      </w:r>
      <w:r w:rsidR="003F29FC">
        <w:rPr>
          <w:rStyle w:val="a6"/>
          <w:rFonts w:ascii="휴먼명조" w:eastAsia="휴먼명조" w:hAnsi="굴림" w:cs="굴림"/>
          <w:color w:val="000000"/>
          <w:spacing w:val="-6"/>
          <w:kern w:val="0"/>
          <w:szCs w:val="20"/>
        </w:rPr>
        <w:footnoteReference w:id="25"/>
      </w:r>
      <w:r w:rsidRPr="00A03B36">
        <w:rPr>
          <w:rFonts w:ascii="휴먼명조" w:eastAsia="휴먼명조" w:hAnsi="굴림" w:cs="굴림" w:hint="eastAsia"/>
          <w:color w:val="000000"/>
          <w:spacing w:val="-6"/>
          <w:kern w:val="0"/>
          <w:szCs w:val="20"/>
        </w:rPr>
        <w:t xml:space="preserve"> 신속하고 철저하며 효과적이고 신뢰할 수 있고</w:t>
      </w:r>
      <w:r w:rsidRPr="00A03B36">
        <w:rPr>
          <w:rFonts w:ascii="함초롬바탕" w:eastAsia="휴먼명조" w:hAnsi="굴림" w:cs="굴림"/>
          <w:color w:val="000000"/>
          <w:kern w:val="0"/>
          <w:szCs w:val="20"/>
        </w:rPr>
        <w:t xml:space="preserve"> </w:t>
      </w:r>
      <w:r w:rsidRPr="00A03B36">
        <w:rPr>
          <w:rFonts w:ascii="휴먼명조" w:eastAsia="휴먼명조" w:hAnsi="굴림" w:cs="굴림" w:hint="eastAsia"/>
          <w:color w:val="000000"/>
          <w:kern w:val="0"/>
          <w:szCs w:val="20"/>
        </w:rPr>
        <w:t>투명해</w:t>
      </w:r>
      <w:r w:rsidRPr="00A03B36">
        <w:rPr>
          <w:rFonts w:ascii="휴먼명조" w:eastAsia="휴먼명조" w:hAnsi="굴림" w:cs="굴림" w:hint="eastAsia"/>
          <w:color w:val="000000"/>
          <w:kern w:val="0"/>
          <w:szCs w:val="20"/>
        </w:rPr>
        <w:lastRenderedPageBreak/>
        <w:t>야 한다.</w:t>
      </w:r>
      <w:r w:rsidR="003F29FC">
        <w:rPr>
          <w:rStyle w:val="a6"/>
          <w:rFonts w:ascii="휴먼명조" w:eastAsia="휴먼명조" w:hAnsi="굴림" w:cs="굴림"/>
          <w:color w:val="000000"/>
          <w:kern w:val="0"/>
          <w:szCs w:val="20"/>
        </w:rPr>
        <w:footnoteReference w:id="26"/>
      </w:r>
      <w:r w:rsidRPr="00A03B36">
        <w:rPr>
          <w:rFonts w:ascii="휴먼명조" w:eastAsia="휴먼명조" w:hAnsi="굴림" w:cs="굴림" w:hint="eastAsia"/>
          <w:color w:val="000000"/>
          <w:kern w:val="0"/>
          <w:szCs w:val="20"/>
        </w:rPr>
        <w:t xml:space="preserve"> 유엔 </w:t>
      </w:r>
      <w:proofErr w:type="spellStart"/>
      <w:r w:rsidRPr="00A03B36">
        <w:rPr>
          <w:rFonts w:ascii="휴먼명조" w:eastAsia="휴먼명조" w:hAnsi="굴림" w:cs="굴림" w:hint="eastAsia"/>
          <w:color w:val="000000"/>
          <w:kern w:val="0"/>
          <w:szCs w:val="20"/>
        </w:rPr>
        <w:t>시민적·정치적</w:t>
      </w:r>
      <w:proofErr w:type="spellEnd"/>
      <w:r w:rsidRPr="00A03B36">
        <w:rPr>
          <w:rFonts w:ascii="휴먼명조" w:eastAsia="휴먼명조" w:hAnsi="굴림" w:cs="굴림" w:hint="eastAsia"/>
          <w:color w:val="000000"/>
          <w:kern w:val="0"/>
          <w:szCs w:val="20"/>
        </w:rPr>
        <w:t xml:space="preserve"> 권리 위원회와 미주인권재판소는 잠재적으로 불법적인 사망의 조사에 관한 미네소타 의정서</w:t>
      </w:r>
      <w:r w:rsidRPr="00A03B36">
        <w:rPr>
          <w:rFonts w:ascii="휴먼명조" w:eastAsia="휴먼명조" w:hAnsi="굴림" w:cs="굴림" w:hint="eastAsia"/>
          <w:color w:val="000000"/>
          <w:spacing w:val="-8"/>
          <w:kern w:val="0"/>
          <w:szCs w:val="20"/>
        </w:rPr>
        <w:t xml:space="preserve">(Minnesota Protocol on the Investigation </w:t>
      </w:r>
      <w:r w:rsidRPr="00A03B36">
        <w:rPr>
          <w:rFonts w:ascii="휴먼명조" w:eastAsia="휴먼명조" w:hAnsi="굴림" w:cs="굴림" w:hint="eastAsia"/>
          <w:color w:val="000000"/>
          <w:spacing w:val="-12"/>
          <w:kern w:val="0"/>
          <w:szCs w:val="20"/>
        </w:rPr>
        <w:t>of Potentially Unlawful Death), 그 전신(유엔 비사법적, 즉결 또는 자의적 처형의 효과적인</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4"/>
          <w:kern w:val="0"/>
          <w:szCs w:val="20"/>
        </w:rPr>
        <w:t>예방 및 조사에 관한 매뉴얼) 및 모범 부검 프로토콜과 같은 기술 표준에 따라 잠재적으로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불법적인 생명의 박탈을 조사할 필요를 지적해 왔다.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실종자의 사실과 소재에 대해 확립할 수 있는 모든 정보를 효과적으로 밝히기 위해서는, </w:t>
      </w:r>
      <w:r w:rsidRPr="00A03B36">
        <w:rPr>
          <w:rFonts w:ascii="휴먼명조" w:eastAsia="휴먼명조" w:hAnsi="굴림" w:cs="굴림" w:hint="eastAsia"/>
          <w:color w:val="000000"/>
          <w:spacing w:val="-4"/>
          <w:kern w:val="0"/>
          <w:szCs w:val="20"/>
        </w:rPr>
        <w:t>희생자의 유해를 찾고 신원을 확인하는 것이 조사의 목표에 포함되어야 한다.</w:t>
      </w:r>
      <w:r w:rsidR="003F29FC">
        <w:rPr>
          <w:rStyle w:val="a6"/>
          <w:rFonts w:ascii="휴먼명조" w:eastAsia="휴먼명조" w:hAnsi="굴림" w:cs="굴림"/>
          <w:color w:val="000000"/>
          <w:spacing w:val="-4"/>
          <w:kern w:val="0"/>
          <w:szCs w:val="20"/>
        </w:rPr>
        <w:footnoteReference w:id="27"/>
      </w:r>
      <w:r w:rsidRPr="00A03B36">
        <w:rPr>
          <w:rFonts w:ascii="휴먼명조" w:eastAsia="휴먼명조" w:hAnsi="굴림" w:cs="굴림" w:hint="eastAsia"/>
          <w:color w:val="000000"/>
          <w:spacing w:val="-4"/>
          <w:kern w:val="0"/>
          <w:szCs w:val="20"/>
        </w:rPr>
        <w:t xml:space="preserve"> 라틴</w:t>
      </w:r>
      <w:r w:rsidRPr="00A03B36">
        <w:rPr>
          <w:rFonts w:ascii="휴먼명조" w:eastAsia="휴먼명조" w:hAnsi="굴림" w:cs="굴림" w:hint="eastAsia"/>
          <w:color w:val="000000"/>
          <w:spacing w:val="-8"/>
          <w:kern w:val="0"/>
          <w:szCs w:val="20"/>
        </w:rPr>
        <w:t xml:space="preserve">아메리카의 </w:t>
      </w:r>
      <w:proofErr w:type="spellStart"/>
      <w:r w:rsidRPr="00A03B36">
        <w:rPr>
          <w:rFonts w:ascii="휴먼명조" w:eastAsia="휴먼명조" w:hAnsi="굴림" w:cs="굴림" w:hint="eastAsia"/>
          <w:color w:val="000000"/>
          <w:spacing w:val="-8"/>
          <w:kern w:val="0"/>
          <w:szCs w:val="20"/>
        </w:rPr>
        <w:t>강제실종</w:t>
      </w:r>
      <w:proofErr w:type="spellEnd"/>
      <w:r w:rsidRPr="00A03B36">
        <w:rPr>
          <w:rFonts w:ascii="휴먼명조" w:eastAsia="휴먼명조" w:hAnsi="굴림" w:cs="굴림" w:hint="eastAsia"/>
          <w:color w:val="000000"/>
          <w:spacing w:val="-8"/>
          <w:kern w:val="0"/>
          <w:szCs w:val="20"/>
        </w:rPr>
        <w:t xml:space="preserve"> 문제를 심도 있게 분석한 미주인권재판소는 국가가 "국가의 인적, 과학적, 기술적 자원의 최대 활용"을 고려해 희생자의 수색, 발굴 및 신원 확인을 위한 세심한 계획을 마련해야 한다고 밝혔다.</w:t>
      </w:r>
      <w:r w:rsidR="003F29FC">
        <w:rPr>
          <w:rStyle w:val="a6"/>
          <w:rFonts w:ascii="휴먼명조" w:eastAsia="휴먼명조" w:hAnsi="굴림" w:cs="굴림"/>
          <w:color w:val="000000"/>
          <w:spacing w:val="-8"/>
          <w:kern w:val="0"/>
          <w:szCs w:val="20"/>
        </w:rPr>
        <w:footnoteReference w:id="28"/>
      </w:r>
      <w:r w:rsidRPr="00A03B36">
        <w:rPr>
          <w:rFonts w:ascii="휴먼명조" w:eastAsia="휴먼명조" w:hAnsi="굴림" w:cs="굴림" w:hint="eastAsia"/>
          <w:color w:val="000000"/>
          <w:spacing w:val="-8"/>
          <w:kern w:val="0"/>
          <w:szCs w:val="20"/>
        </w:rPr>
        <w:t xml:space="preserve"> 시신이 발견되면 신원이 확인되는 즉시 가족에게 돌려보내야 한다.</w:t>
      </w:r>
      <w:r w:rsidR="003F29FC">
        <w:rPr>
          <w:rStyle w:val="a6"/>
          <w:rFonts w:ascii="휴먼명조" w:eastAsia="휴먼명조" w:hAnsi="굴림" w:cs="굴림"/>
          <w:color w:val="000000"/>
          <w:spacing w:val="-8"/>
          <w:kern w:val="0"/>
          <w:szCs w:val="20"/>
        </w:rPr>
        <w:footnoteReference w:id="29"/>
      </w:r>
      <w:r w:rsidRPr="00A03B36">
        <w:rPr>
          <w:rFonts w:ascii="휴먼명조" w:eastAsia="휴먼명조" w:hAnsi="굴림" w:cs="굴림" w:hint="eastAsia"/>
          <w:color w:val="000000"/>
          <w:spacing w:val="-8"/>
          <w:kern w:val="0"/>
          <w:szCs w:val="20"/>
        </w:rPr>
        <w:t xml:space="preserve"> 이는 가족들이 불확실성으로 인한 괴로움과 고통에서 벗어날 수 있도록 해주고,</w:t>
      </w:r>
      <w:r w:rsidR="003F29FC">
        <w:rPr>
          <w:rStyle w:val="a6"/>
          <w:rFonts w:ascii="휴먼명조" w:eastAsia="휴먼명조" w:hAnsi="굴림" w:cs="굴림"/>
          <w:color w:val="000000"/>
          <w:spacing w:val="-8"/>
          <w:kern w:val="0"/>
          <w:szCs w:val="20"/>
        </w:rPr>
        <w:footnoteReference w:id="30"/>
      </w:r>
      <w:r w:rsidRPr="00A03B36">
        <w:rPr>
          <w:rFonts w:ascii="휴먼명조" w:eastAsia="휴먼명조" w:hAnsi="굴림" w:cs="굴림" w:hint="eastAsia"/>
          <w:color w:val="000000"/>
          <w:spacing w:val="-8"/>
          <w:kern w:val="0"/>
          <w:szCs w:val="20"/>
        </w:rPr>
        <w:t xml:space="preserve"> 그들이 신념에 따라 애도 절차를 마무리하고 희생자를 매장할 수 있도록 해준다는 점에서 가장 중요한 사항이다.</w:t>
      </w:r>
      <w:r w:rsidR="003F29FC">
        <w:rPr>
          <w:rStyle w:val="a6"/>
          <w:rFonts w:ascii="휴먼명조" w:eastAsia="휴먼명조" w:hAnsi="굴림" w:cs="굴림"/>
          <w:color w:val="000000"/>
          <w:spacing w:val="-8"/>
          <w:kern w:val="0"/>
          <w:szCs w:val="20"/>
        </w:rPr>
        <w:footnoteReference w:id="31"/>
      </w:r>
      <w:r w:rsidRPr="00A03B36">
        <w:rPr>
          <w:rFonts w:ascii="휴먼명조" w:eastAsia="휴먼명조" w:hAnsi="굴림" w:cs="굴림" w:hint="eastAsia"/>
          <w:color w:val="000000"/>
          <w:spacing w:val="-8"/>
          <w:kern w:val="0"/>
          <w:szCs w:val="20"/>
        </w:rPr>
        <w:t xml:space="preserve"> 이러한 의무를 준수하기 위한 몇 가지 조치로는 유전자 정보 시스템 활용</w:t>
      </w:r>
      <w:r w:rsidR="003F29FC">
        <w:rPr>
          <w:rStyle w:val="a6"/>
          <w:rFonts w:ascii="휴먼명조" w:eastAsia="휴먼명조" w:hAnsi="굴림" w:cs="굴림"/>
          <w:color w:val="000000"/>
          <w:spacing w:val="-8"/>
          <w:kern w:val="0"/>
          <w:szCs w:val="20"/>
        </w:rPr>
        <w:footnoteReference w:id="32"/>
      </w:r>
      <w:r w:rsidRPr="00A03B36">
        <w:rPr>
          <w:rFonts w:ascii="휴먼명조" w:eastAsia="휴먼명조" w:hAnsi="굴림" w:cs="굴림" w:hint="eastAsia"/>
          <w:color w:val="000000"/>
          <w:spacing w:val="-8"/>
          <w:kern w:val="0"/>
          <w:szCs w:val="20"/>
        </w:rPr>
        <w:t xml:space="preserve">, 실종자 추적을 위한 웹페이지 구축, 관련 정부 및 </w:t>
      </w:r>
      <w:r w:rsidRPr="00A03B36">
        <w:rPr>
          <w:rFonts w:ascii="휴먼명조" w:eastAsia="휴먼명조" w:hAnsi="굴림" w:cs="굴림" w:hint="eastAsia"/>
          <w:color w:val="000000"/>
          <w:spacing w:val="-2"/>
          <w:kern w:val="0"/>
          <w:szCs w:val="20"/>
        </w:rPr>
        <w:t>비정부 당국과 기관 간의 협력</w:t>
      </w:r>
      <w:r w:rsidR="003F29FC">
        <w:rPr>
          <w:rStyle w:val="a6"/>
          <w:rFonts w:ascii="휴먼명조" w:eastAsia="휴먼명조" w:hAnsi="굴림" w:cs="굴림"/>
          <w:color w:val="000000"/>
          <w:spacing w:val="-2"/>
          <w:kern w:val="0"/>
          <w:szCs w:val="20"/>
        </w:rPr>
        <w:footnoteReference w:id="33"/>
      </w:r>
      <w:r w:rsidRPr="00A03B36">
        <w:rPr>
          <w:rFonts w:ascii="휴먼명조" w:eastAsia="휴먼명조" w:hAnsi="굴림" w:cs="굴림" w:hint="eastAsia"/>
          <w:color w:val="000000"/>
          <w:spacing w:val="-2"/>
          <w:kern w:val="0"/>
          <w:szCs w:val="20"/>
        </w:rPr>
        <w:t xml:space="preserve">, </w:t>
      </w:r>
      <w:proofErr w:type="spellStart"/>
      <w:r w:rsidRPr="00A03B36">
        <w:rPr>
          <w:rFonts w:ascii="휴먼명조" w:eastAsia="휴먼명조" w:hAnsi="굴림" w:cs="굴림" w:hint="eastAsia"/>
          <w:color w:val="000000"/>
          <w:spacing w:val="-2"/>
          <w:kern w:val="0"/>
          <w:szCs w:val="20"/>
        </w:rPr>
        <w:t>강제실종</w:t>
      </w:r>
      <w:proofErr w:type="spellEnd"/>
      <w:r w:rsidRPr="00A03B36">
        <w:rPr>
          <w:rFonts w:ascii="휴먼명조" w:eastAsia="휴먼명조" w:hAnsi="굴림" w:cs="굴림" w:hint="eastAsia"/>
          <w:color w:val="000000"/>
          <w:spacing w:val="-2"/>
          <w:kern w:val="0"/>
          <w:szCs w:val="20"/>
        </w:rPr>
        <w:t xml:space="preserve"> 사건 조사를 위한 전담 부서 신설, 유해 </w:t>
      </w:r>
      <w:r w:rsidRPr="00A03B36">
        <w:rPr>
          <w:rFonts w:ascii="휴먼명조" w:eastAsia="휴먼명조" w:hAnsi="굴림" w:cs="굴림" w:hint="eastAsia"/>
          <w:color w:val="000000"/>
          <w:spacing w:val="-10"/>
          <w:kern w:val="0"/>
          <w:szCs w:val="20"/>
        </w:rPr>
        <w:t>수습 및 신원 확인을 위한 프로토콜 정교화, 유해 발견자와 친족을 위한 심리사회적 지원</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프로그램 마련 등이 있다.</w:t>
      </w:r>
      <w:r w:rsidR="003F29FC">
        <w:rPr>
          <w:rStyle w:val="a6"/>
          <w:rFonts w:ascii="휴먼명조" w:eastAsia="휴먼명조" w:hAnsi="굴림" w:cs="굴림"/>
          <w:color w:val="000000"/>
          <w:spacing w:val="-8"/>
          <w:kern w:val="0"/>
          <w:szCs w:val="20"/>
        </w:rPr>
        <w:footnoteReference w:id="34"/>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6"/>
          <w:kern w:val="0"/>
          <w:szCs w:val="20"/>
        </w:rPr>
        <w:lastRenderedPageBreak/>
        <w:t>실제로 분쟁이나 기타 상황에서 실종자를 찾기 위한 특별 위원회가 상당수 설립되었으며,</w:t>
      </w:r>
      <w:r w:rsidR="003F29FC">
        <w:rPr>
          <w:rStyle w:val="a6"/>
          <w:rFonts w:ascii="휴먼명조" w:eastAsia="휴먼명조" w:hAnsi="굴림" w:cs="굴림"/>
          <w:color w:val="000000"/>
          <w:spacing w:val="-16"/>
          <w:kern w:val="0"/>
          <w:szCs w:val="20"/>
        </w:rPr>
        <w:footnoteReference w:id="35"/>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국제협력을 통해 실종자를 찾기 위해 노력하고 있다. 그럼에도 불구하고 전 세계적으로 더 효과적인 노력이 필요하다: </w:t>
      </w:r>
      <w:proofErr w:type="spellStart"/>
      <w:r w:rsidRPr="00A03B36">
        <w:rPr>
          <w:rFonts w:ascii="휴먼명조" w:eastAsia="휴먼명조" w:hAnsi="굴림" w:cs="굴림" w:hint="eastAsia"/>
          <w:color w:val="000000"/>
          <w:spacing w:val="-8"/>
          <w:kern w:val="0"/>
          <w:szCs w:val="20"/>
        </w:rPr>
        <w:t>강제·비자발적</w:t>
      </w:r>
      <w:proofErr w:type="spellEnd"/>
      <w:r w:rsidRPr="00A03B36">
        <w:rPr>
          <w:rFonts w:ascii="휴먼명조" w:eastAsia="휴먼명조" w:hAnsi="굴림" w:cs="굴림" w:hint="eastAsia"/>
          <w:color w:val="000000"/>
          <w:spacing w:val="-8"/>
          <w:kern w:val="0"/>
          <w:szCs w:val="20"/>
        </w:rPr>
        <w:t xml:space="preserve"> 실종 실무그룹은 110개 이상의 국가에 59,600건 이상의 사례를 전달했다.</w:t>
      </w:r>
      <w:r w:rsidR="003F29FC">
        <w:rPr>
          <w:rStyle w:val="a6"/>
          <w:rFonts w:ascii="휴먼명조" w:eastAsia="휴먼명조" w:hAnsi="굴림" w:cs="굴림"/>
          <w:color w:val="000000"/>
          <w:spacing w:val="-8"/>
          <w:kern w:val="0"/>
          <w:szCs w:val="20"/>
        </w:rPr>
        <w:footnoteReference w:id="36"/>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2. 진실위원회 및 조사위원회</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proofErr w:type="spellStart"/>
      <w:r w:rsidRPr="00A03B36">
        <w:rPr>
          <w:rFonts w:ascii="휴먼명조" w:eastAsia="휴먼명조" w:hAnsi="굴림" w:cs="굴림" w:hint="eastAsia"/>
          <w:color w:val="000000"/>
          <w:kern w:val="0"/>
          <w:szCs w:val="20"/>
        </w:rPr>
        <w:t>불처벌</w:t>
      </w:r>
      <w:proofErr w:type="spellEnd"/>
      <w:r w:rsidRPr="00A03B36">
        <w:rPr>
          <w:rFonts w:ascii="휴먼명조" w:eastAsia="휴먼명조" w:hAnsi="굴림" w:cs="굴림" w:hint="eastAsia"/>
          <w:color w:val="000000"/>
          <w:kern w:val="0"/>
          <w:szCs w:val="20"/>
        </w:rPr>
        <w:t xml:space="preserve"> 근절 조치를 통한 인권보호 및 증진을 위한 일련의 원칙 현행본은 </w:t>
      </w:r>
      <w:r w:rsidRPr="00A03B36">
        <w:rPr>
          <w:rFonts w:ascii="휴먼명조" w:eastAsia="휴먼명조" w:hAnsi="굴림" w:cs="굴림" w:hint="eastAsia"/>
          <w:color w:val="000000"/>
          <w:spacing w:val="-8"/>
          <w:kern w:val="0"/>
          <w:szCs w:val="20"/>
        </w:rPr>
        <w:t xml:space="preserve">진실위원회와 조사위원회의 구성과 운영을 안내하는 규칙이 가장 구체적이고 포괄적으로 체계화되어 있다. 진실위원회와 조사위원회는 사회를 대상으로 대규모 또는 조직적으로 자행된 </w:t>
      </w:r>
      <w:r w:rsidRPr="00A03B36">
        <w:rPr>
          <w:rFonts w:ascii="휴먼명조" w:eastAsia="휴먼명조" w:hAnsi="굴림" w:cs="굴림" w:hint="eastAsia"/>
          <w:color w:val="000000"/>
          <w:spacing w:val="-14"/>
          <w:kern w:val="0"/>
          <w:szCs w:val="20"/>
        </w:rPr>
        <w:t>극악무도한 범죄와 관련된 사실을 규명하기 위해 특별히 만들어진 메커니즘으로,</w:t>
      </w:r>
      <w:r w:rsidR="003F29FC">
        <w:rPr>
          <w:rStyle w:val="a6"/>
          <w:rFonts w:ascii="휴먼명조" w:eastAsia="휴먼명조" w:hAnsi="굴림" w:cs="굴림"/>
          <w:color w:val="000000"/>
          <w:spacing w:val="-14"/>
          <w:kern w:val="0"/>
          <w:szCs w:val="20"/>
        </w:rPr>
        <w:footnoteReference w:id="37"/>
      </w:r>
      <w:r w:rsidRPr="00A03B36">
        <w:rPr>
          <w:rFonts w:ascii="휴먼명조" w:eastAsia="휴먼명조" w:hAnsi="굴림" w:cs="굴림" w:hint="eastAsia"/>
          <w:color w:val="000000"/>
          <w:spacing w:val="-14"/>
          <w:kern w:val="0"/>
          <w:szCs w:val="20"/>
        </w:rPr>
        <w:t xml:space="preserve"> 이행기</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과정에서 흔히 볼 수 있는 국가 관행이다.</w:t>
      </w:r>
      <w:r w:rsidR="003F29FC">
        <w:rPr>
          <w:rStyle w:val="a6"/>
          <w:rFonts w:ascii="휴먼명조" w:eastAsia="휴먼명조" w:hAnsi="굴림" w:cs="굴림"/>
          <w:color w:val="000000"/>
          <w:spacing w:val="-8"/>
          <w:kern w:val="0"/>
          <w:szCs w:val="20"/>
        </w:rPr>
        <w:footnoteReference w:id="38"/>
      </w:r>
      <w:r w:rsidRPr="00A03B36">
        <w:rPr>
          <w:rFonts w:ascii="휴먼명조" w:eastAsia="휴먼명조" w:hAnsi="굴림" w:cs="굴림" w:hint="eastAsia"/>
          <w:color w:val="000000"/>
          <w:spacing w:val="-8"/>
          <w:kern w:val="0"/>
          <w:szCs w:val="20"/>
        </w:rPr>
        <w:t xml:space="preserve"> 그러나 진실규명위원회는 민사, 행정 또는 형사 법원을 대신할 수 있는 기관이 아니다.</w:t>
      </w:r>
      <w:r w:rsidR="003F29FC">
        <w:rPr>
          <w:rStyle w:val="a6"/>
          <w:rFonts w:ascii="휴먼명조" w:eastAsia="휴먼명조" w:hAnsi="굴림" w:cs="굴림"/>
          <w:color w:val="000000"/>
          <w:spacing w:val="-8"/>
          <w:kern w:val="0"/>
          <w:szCs w:val="20"/>
        </w:rPr>
        <w:footnoteReference w:id="39"/>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이러한 조사위원회의 설립 여부와 조사위원회의 활동 기간 및 구성을 결정할 때는 피해자와 생존자의 의견이 중심이 되어야 하며, 성평등과 시민사회의 대표성도 고려되어야 한다. 일반적으로 조사의 목적은 이전에 부인되었던 사실을 인정하고 국제법상 중대한 범죄를 구성하는 위반 사항에 우선적인 초점을 두는 것이어야 한다.</w:t>
      </w:r>
    </w:p>
    <w:p w:rsidR="00A03B36" w:rsidRPr="00A03B36" w:rsidRDefault="00A03B36" w:rsidP="00A03B36">
      <w:pPr>
        <w:spacing w:after="0" w:line="384" w:lineRule="auto"/>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3. 위원회의 독립성, 공정성, 권한 및 실효성</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t xml:space="preserve">국가는 비사법적 진실 규명 절차의 독립적이고 효과적인 운영을 보장하도록 필요한 </w:t>
      </w:r>
      <w:r w:rsidRPr="00A03B36">
        <w:rPr>
          <w:rFonts w:ascii="휴먼명조" w:eastAsia="휴먼명조" w:hAnsi="굴림" w:cs="굴림" w:hint="eastAsia"/>
          <w:color w:val="000000"/>
          <w:spacing w:val="-8"/>
          <w:kern w:val="0"/>
          <w:szCs w:val="20"/>
        </w:rPr>
        <w:t xml:space="preserve">조치를 취해야 한다. 독립성 보장의 한 가지 핵심은 충분한 물적, 인적 자원을 제공하는 </w:t>
      </w:r>
      <w:r w:rsidRPr="00A03B36">
        <w:rPr>
          <w:rFonts w:ascii="휴먼명조" w:eastAsia="휴먼명조" w:hAnsi="굴림" w:cs="굴림" w:hint="eastAsia"/>
          <w:color w:val="000000"/>
          <w:spacing w:val="-14"/>
          <w:kern w:val="0"/>
          <w:szCs w:val="20"/>
        </w:rPr>
        <w:t>투명한 자금 조달을 보장하는 것이다. 위원회의 효과적인 운영을 위해서는 법 집행 당국의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지원도 필요하다.</w:t>
      </w:r>
      <w:r w:rsidR="003F29FC">
        <w:rPr>
          <w:rStyle w:val="a6"/>
          <w:rFonts w:ascii="휴먼명조" w:eastAsia="휴먼명조" w:hAnsi="굴림" w:cs="굴림"/>
          <w:color w:val="000000"/>
          <w:spacing w:val="-10"/>
          <w:kern w:val="0"/>
          <w:szCs w:val="20"/>
        </w:rPr>
        <w:footnoteReference w:id="40"/>
      </w:r>
      <w:r w:rsidRPr="00A03B36">
        <w:rPr>
          <w:rFonts w:ascii="휴먼명조" w:eastAsia="휴먼명조" w:hAnsi="굴림" w:cs="굴림" w:hint="eastAsia"/>
          <w:color w:val="000000"/>
          <w:spacing w:val="-10"/>
          <w:kern w:val="0"/>
          <w:szCs w:val="20"/>
        </w:rPr>
        <w:t xml:space="preserve"> 조</w:t>
      </w:r>
      <w:r w:rsidRPr="00A03B36">
        <w:rPr>
          <w:rFonts w:ascii="휴먼명조" w:eastAsia="휴먼명조" w:hAnsi="굴림" w:cs="굴림" w:hint="eastAsia"/>
          <w:color w:val="000000"/>
          <w:spacing w:val="-10"/>
          <w:kern w:val="0"/>
          <w:szCs w:val="20"/>
        </w:rPr>
        <w:lastRenderedPageBreak/>
        <w:t>사위원회는 신속한 진실 규명을 위해 증언 요청, 조사 관련 장소의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조사 및/또는 관련 문서 제출 요청 시 법 집행 당국의 협조를 구해야 한다.</w:t>
      </w:r>
      <w:r w:rsidR="003F29FC">
        <w:rPr>
          <w:rStyle w:val="a6"/>
          <w:rFonts w:ascii="휴먼명조" w:eastAsia="휴먼명조" w:hAnsi="굴림" w:cs="굴림"/>
          <w:color w:val="000000"/>
          <w:spacing w:val="-10"/>
          <w:kern w:val="0"/>
          <w:szCs w:val="20"/>
        </w:rPr>
        <w:footnoteReference w:id="41"/>
      </w:r>
      <w:r w:rsidRPr="00A03B36">
        <w:rPr>
          <w:rFonts w:ascii="휴먼명조" w:eastAsia="휴먼명조" w:hAnsi="굴림" w:cs="굴림" w:hint="eastAsia"/>
          <w:color w:val="000000"/>
          <w:spacing w:val="-10"/>
          <w:kern w:val="0"/>
          <w:szCs w:val="20"/>
        </w:rPr>
        <w:t xml:space="preserve"> 조사위원회</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구성원은 명확하고 공개적인 기준에 따라 선정되어야 하며, 인권 및 </w:t>
      </w:r>
      <w:proofErr w:type="spellStart"/>
      <w:r w:rsidRPr="00A03B36">
        <w:rPr>
          <w:rFonts w:ascii="휴먼명조" w:eastAsia="휴먼명조" w:hAnsi="굴림" w:cs="굴림" w:hint="eastAsia"/>
          <w:color w:val="000000"/>
          <w:spacing w:val="-8"/>
          <w:kern w:val="0"/>
          <w:szCs w:val="20"/>
        </w:rPr>
        <w:t>인도법</w:t>
      </w:r>
      <w:proofErr w:type="spellEnd"/>
      <w:r w:rsidRPr="00A03B36">
        <w:rPr>
          <w:rFonts w:ascii="휴먼명조" w:eastAsia="휴먼명조" w:hAnsi="굴림" w:cs="굴림" w:hint="eastAsia"/>
          <w:color w:val="000000"/>
          <w:spacing w:val="-8"/>
          <w:kern w:val="0"/>
          <w:szCs w:val="20"/>
        </w:rPr>
        <w:t xml:space="preserve"> 분야의 전문</w:t>
      </w:r>
      <w:r w:rsidRPr="00A03B36">
        <w:rPr>
          <w:rFonts w:ascii="휴먼명조" w:eastAsia="휴먼명조" w:hAnsi="굴림" w:cs="굴림" w:hint="eastAsia"/>
          <w:color w:val="000000"/>
          <w:spacing w:val="-10"/>
          <w:kern w:val="0"/>
          <w:szCs w:val="20"/>
        </w:rPr>
        <w:t>성을 갖추고, 취약한 상황에 처한 집단을 적절히 대표할 수 있어야 한다.</w:t>
      </w:r>
      <w:r w:rsidR="003F29FC">
        <w:rPr>
          <w:rStyle w:val="a6"/>
          <w:rFonts w:ascii="휴먼명조" w:eastAsia="휴먼명조" w:hAnsi="굴림" w:cs="굴림"/>
          <w:color w:val="000000"/>
          <w:spacing w:val="-10"/>
          <w:kern w:val="0"/>
          <w:szCs w:val="20"/>
        </w:rPr>
        <w:footnoteReference w:id="42"/>
      </w:r>
      <w:r w:rsidRPr="00A03B36">
        <w:rPr>
          <w:rFonts w:ascii="휴먼명조" w:eastAsia="휴먼명조" w:hAnsi="굴림" w:cs="굴림" w:hint="eastAsia"/>
          <w:color w:val="000000"/>
          <w:spacing w:val="-10"/>
          <w:kern w:val="0"/>
          <w:szCs w:val="20"/>
        </w:rPr>
        <w:t xml:space="preserve"> 조사위원회의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위원들은 높은 도덕성, 중립성, 청렴성을 갖춘 사람이어야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위원회 위원은 직무 수행에 적합하지 않은 무능력 또는 행동을 사유로 하는 공정하고 독립적인 결정에 의한 경우를 제외하고 임기 중 해임되지 않도록 특별한 보장을 받아야 한다.</w:t>
      </w:r>
      <w:r w:rsidR="003F29FC">
        <w:rPr>
          <w:rStyle w:val="a6"/>
          <w:rFonts w:ascii="휴먼명조" w:eastAsia="휴먼명조" w:hAnsi="굴림" w:cs="굴림"/>
          <w:color w:val="000000"/>
          <w:spacing w:val="-8"/>
          <w:kern w:val="0"/>
          <w:szCs w:val="20"/>
        </w:rPr>
        <w:footnoteReference w:id="43"/>
      </w:r>
      <w:r w:rsidRPr="00A03B36">
        <w:rPr>
          <w:rFonts w:ascii="휴먼명조" w:eastAsia="휴먼명조" w:hAnsi="굴림" w:cs="굴림" w:hint="eastAsia"/>
          <w:color w:val="000000"/>
          <w:spacing w:val="-8"/>
          <w:kern w:val="0"/>
          <w:szCs w:val="20"/>
        </w:rPr>
        <w:t xml:space="preserve"> 위원과 직원은 특히 위원회 보고서에 포함된 사실이나 의견에 근거해 제기되는 </w:t>
      </w:r>
      <w:r w:rsidRPr="00A03B36">
        <w:rPr>
          <w:rFonts w:ascii="휴먼명조" w:eastAsia="휴먼명조" w:hAnsi="굴림" w:cs="굴림" w:hint="eastAsia"/>
          <w:color w:val="000000"/>
          <w:spacing w:val="-2"/>
          <w:kern w:val="0"/>
          <w:szCs w:val="20"/>
        </w:rPr>
        <w:t xml:space="preserve">명예훼손 소송이나 기타 </w:t>
      </w:r>
      <w:proofErr w:type="spellStart"/>
      <w:r w:rsidRPr="00A03B36">
        <w:rPr>
          <w:rFonts w:ascii="휴먼명조" w:eastAsia="휴먼명조" w:hAnsi="굴림" w:cs="굴림" w:hint="eastAsia"/>
          <w:color w:val="000000"/>
          <w:spacing w:val="-2"/>
          <w:kern w:val="0"/>
          <w:szCs w:val="20"/>
        </w:rPr>
        <w:t>민형사</w:t>
      </w:r>
      <w:proofErr w:type="spellEnd"/>
      <w:r w:rsidRPr="00A03B36">
        <w:rPr>
          <w:rFonts w:ascii="휴먼명조" w:eastAsia="휴먼명조" w:hAnsi="굴림" w:cs="굴림" w:hint="eastAsia"/>
          <w:color w:val="000000"/>
          <w:spacing w:val="-2"/>
          <w:kern w:val="0"/>
          <w:szCs w:val="20"/>
        </w:rPr>
        <w:t xml:space="preserve"> 소송,</w:t>
      </w:r>
      <w:r w:rsidR="003F29FC">
        <w:rPr>
          <w:rStyle w:val="a6"/>
          <w:rFonts w:ascii="휴먼명조" w:eastAsia="휴먼명조" w:hAnsi="굴림" w:cs="굴림"/>
          <w:color w:val="000000"/>
          <w:spacing w:val="-2"/>
          <w:kern w:val="0"/>
          <w:szCs w:val="20"/>
        </w:rPr>
        <w:footnoteReference w:id="44"/>
      </w:r>
      <w:r w:rsidRPr="00A03B36">
        <w:rPr>
          <w:rFonts w:ascii="휴먼명조" w:eastAsia="휴먼명조" w:hAnsi="굴림" w:cs="굴림" w:hint="eastAsia"/>
          <w:color w:val="000000"/>
          <w:spacing w:val="-2"/>
          <w:kern w:val="0"/>
          <w:szCs w:val="20"/>
        </w:rPr>
        <w:t xml:space="preserve"> 생명, 건강 또는 안전에 대한 </w:t>
      </w:r>
      <w:proofErr w:type="spellStart"/>
      <w:r w:rsidRPr="00A03B36">
        <w:rPr>
          <w:rFonts w:ascii="휴먼명조" w:eastAsia="휴먼명조" w:hAnsi="굴림" w:cs="굴림" w:hint="eastAsia"/>
          <w:color w:val="000000"/>
          <w:spacing w:val="-2"/>
          <w:kern w:val="0"/>
          <w:szCs w:val="20"/>
        </w:rPr>
        <w:t>위협으로부터</w:t>
      </w:r>
      <w:proofErr w:type="spellEnd"/>
      <w:r w:rsidRPr="00A03B36">
        <w:rPr>
          <w:rFonts w:ascii="휴먼명조" w:eastAsia="휴먼명조" w:hAnsi="굴림" w:cs="굴림" w:hint="eastAsia"/>
          <w:color w:val="000000"/>
          <w:spacing w:val="-2"/>
          <w:kern w:val="0"/>
          <w:szCs w:val="20"/>
        </w:rPr>
        <w:t xml:space="preserve"> </w:t>
      </w:r>
      <w:r w:rsidRPr="00A03B36">
        <w:rPr>
          <w:rFonts w:ascii="휴먼명조" w:eastAsia="휴먼명조" w:hAnsi="굴림" w:cs="굴림" w:hint="eastAsia"/>
          <w:color w:val="000000"/>
          <w:spacing w:val="-8"/>
          <w:kern w:val="0"/>
          <w:szCs w:val="20"/>
        </w:rPr>
        <w:t>자신을 보호할 수 있도록 필요한 특권과 면책특권을 누려야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 xml:space="preserve">위원회의 보고서와 권고사항은 불처벌을 방지하기 위한 입법 및 기타 조치를 포함해 </w:t>
      </w:r>
      <w:r w:rsidRPr="00A03B36">
        <w:rPr>
          <w:rFonts w:ascii="휴먼명조" w:eastAsia="휴먼명조" w:hAnsi="굴림" w:cs="굴림" w:hint="eastAsia"/>
          <w:color w:val="000000"/>
          <w:spacing w:val="-8"/>
          <w:kern w:val="0"/>
          <w:szCs w:val="20"/>
        </w:rPr>
        <w:t>효과적인 이행과 기대되는 결과를 보장할 수 있도록 충분히 검토되어야 한다.</w:t>
      </w:r>
      <w:r w:rsidR="003F29FC">
        <w:rPr>
          <w:rStyle w:val="a6"/>
          <w:rFonts w:ascii="휴먼명조" w:eastAsia="휴먼명조" w:hAnsi="굴림" w:cs="굴림"/>
          <w:color w:val="000000"/>
          <w:spacing w:val="-8"/>
          <w:kern w:val="0"/>
          <w:szCs w:val="20"/>
        </w:rPr>
        <w:footnoteReference w:id="45"/>
      </w:r>
      <w:r w:rsidRPr="00A03B36">
        <w:rPr>
          <w:rFonts w:ascii="휴먼명조" w:eastAsia="휴먼명조" w:hAnsi="굴림" w:cs="굴림" w:hint="eastAsia"/>
          <w:color w:val="000000"/>
          <w:spacing w:val="-8"/>
          <w:kern w:val="0"/>
          <w:szCs w:val="20"/>
        </w:rPr>
        <w:t xml:space="preserve"> 정치적 행위자들이 악용할 수 있는 과거 서사의 공백을 방지하기 위해, 사회는 그러한 권고에 대한 효과적인 주인의식(ownership)을 가져야 한다.</w:t>
      </w:r>
      <w:r w:rsidR="003F29FC">
        <w:rPr>
          <w:rStyle w:val="a6"/>
          <w:rFonts w:ascii="휴먼명조" w:eastAsia="휴먼명조" w:hAnsi="굴림" w:cs="굴림"/>
          <w:color w:val="000000"/>
          <w:spacing w:val="-8"/>
          <w:kern w:val="0"/>
          <w:szCs w:val="20"/>
        </w:rPr>
        <w:footnoteReference w:id="46"/>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4. 적법절차 및 개인 특별보호</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진실위원회의 조사 또는 개인의 권리에 영향을 미칠 수 있는 모든 절차는 적법절차의 기본 보장을 준수해야 한다.</w:t>
      </w:r>
      <w:r w:rsidR="003F29FC">
        <w:rPr>
          <w:rStyle w:val="a6"/>
          <w:rFonts w:ascii="휴먼명조" w:eastAsia="휴먼명조" w:hAnsi="굴림" w:cs="굴림"/>
          <w:color w:val="000000"/>
          <w:spacing w:val="-8"/>
          <w:kern w:val="0"/>
          <w:szCs w:val="20"/>
        </w:rPr>
        <w:footnoteReference w:id="47"/>
      </w:r>
      <w:r w:rsidRPr="00A03B36">
        <w:rPr>
          <w:rFonts w:ascii="휴먼명조" w:eastAsia="휴먼명조" w:hAnsi="굴림" w:cs="굴림" w:hint="eastAsia"/>
          <w:color w:val="000000"/>
          <w:spacing w:val="-8"/>
          <w:kern w:val="0"/>
          <w:szCs w:val="20"/>
        </w:rPr>
        <w:t xml:space="preserve"> 요청이 있는 경우, 증인의 신원이 공개되지 않도록 보호해야 한다. 위원회는 가해자를 특정하기 전에 정보를 확인해야 하며, 관련자에게 청문회 또는 답변권에 해당하는 </w:t>
      </w:r>
      <w:r w:rsidRPr="00A03B36">
        <w:rPr>
          <w:rFonts w:ascii="휴먼명조" w:eastAsia="휴먼명조" w:hAnsi="굴림" w:cs="굴림" w:hint="eastAsia"/>
          <w:color w:val="000000"/>
          <w:spacing w:val="-8"/>
          <w:kern w:val="0"/>
          <w:szCs w:val="20"/>
        </w:rPr>
        <w:lastRenderedPageBreak/>
        <w:t>문서 제출을 통해 사실에 관한 입장을 진술할 기회를 제공해야 한다.</w:t>
      </w:r>
      <w:r w:rsidR="003F29FC">
        <w:rPr>
          <w:rStyle w:val="a6"/>
          <w:rFonts w:ascii="휴먼명조" w:eastAsia="휴먼명조" w:hAnsi="굴림" w:cs="굴림"/>
          <w:color w:val="000000"/>
          <w:spacing w:val="-8"/>
          <w:kern w:val="0"/>
          <w:szCs w:val="20"/>
        </w:rPr>
        <w:footnoteReference w:id="48"/>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피해자와 증인은 안전과 </w:t>
      </w:r>
      <w:proofErr w:type="spellStart"/>
      <w:r w:rsidRPr="00A03B36">
        <w:rPr>
          <w:rFonts w:ascii="휴먼명조" w:eastAsia="휴먼명조" w:hAnsi="굴림" w:cs="굴림" w:hint="eastAsia"/>
          <w:color w:val="000000"/>
          <w:spacing w:val="-8"/>
          <w:kern w:val="0"/>
          <w:szCs w:val="20"/>
        </w:rPr>
        <w:t>신체적·심리적</w:t>
      </w:r>
      <w:proofErr w:type="spellEnd"/>
      <w:r w:rsidRPr="00A03B36">
        <w:rPr>
          <w:rFonts w:ascii="휴먼명조" w:eastAsia="휴먼명조" w:hAnsi="굴림" w:cs="굴림" w:hint="eastAsia"/>
          <w:color w:val="000000"/>
          <w:spacing w:val="-8"/>
          <w:kern w:val="0"/>
          <w:szCs w:val="20"/>
        </w:rPr>
        <w:t xml:space="preserve"> 안녕을 보장하는 효과적인 조치를 누려야 하며, 엄격하게 자발적인 경우에만 비용 없이 증언을 요청할 수 있고, 가능하면 자신의 언어로 지원을 받을 수 있어야 한다. 사회복지사 및/또는 정신건강 전문가는 피해자가 증언하는 동안과 증언 후에 피해자를 지원할 수 있는 권한을 </w:t>
      </w:r>
      <w:proofErr w:type="spellStart"/>
      <w:r w:rsidRPr="00A03B36">
        <w:rPr>
          <w:rFonts w:ascii="휴먼명조" w:eastAsia="휴먼명조" w:hAnsi="굴림" w:cs="굴림" w:hint="eastAsia"/>
          <w:color w:val="000000"/>
          <w:spacing w:val="-8"/>
          <w:kern w:val="0"/>
          <w:szCs w:val="20"/>
        </w:rPr>
        <w:t>부여받아야</w:t>
      </w:r>
      <w:proofErr w:type="spellEnd"/>
      <w:r w:rsidRPr="00A03B36">
        <w:rPr>
          <w:rFonts w:ascii="휴먼명조" w:eastAsia="휴먼명조" w:hAnsi="굴림" w:cs="굴림" w:hint="eastAsia"/>
          <w:color w:val="000000"/>
          <w:spacing w:val="-8"/>
          <w:kern w:val="0"/>
          <w:szCs w:val="20"/>
        </w:rPr>
        <w:t xml:space="preserve"> 한다. 조사위원회의 규칙</w:t>
      </w:r>
      <w:r w:rsidRPr="00A03B36">
        <w:rPr>
          <w:rFonts w:ascii="휴먼명조" w:eastAsia="휴먼명조" w:hAnsi="굴림" w:cs="굴림" w:hint="eastAsia"/>
          <w:color w:val="000000"/>
          <w:spacing w:val="-6"/>
          <w:kern w:val="0"/>
          <w:szCs w:val="20"/>
        </w:rPr>
        <w:t xml:space="preserve">에는 관련자의 생명, 건강 또는 안전에 대한 위협을 근절하기 위한 적절한 절차 또는 </w:t>
      </w:r>
      <w:r w:rsidRPr="00A03B36">
        <w:rPr>
          <w:rFonts w:ascii="휴먼명조" w:eastAsia="휴먼명조" w:hAnsi="굴림" w:cs="굴림" w:hint="eastAsia"/>
          <w:color w:val="000000"/>
          <w:spacing w:val="-8"/>
          <w:kern w:val="0"/>
          <w:szCs w:val="20"/>
        </w:rPr>
        <w:t>조치가 포함되어야 한다.</w:t>
      </w:r>
      <w:r w:rsidR="003F29FC">
        <w:rPr>
          <w:rStyle w:val="a6"/>
          <w:rFonts w:ascii="휴먼명조" w:eastAsia="휴먼명조" w:hAnsi="굴림" w:cs="굴림"/>
          <w:color w:val="000000"/>
          <w:spacing w:val="-8"/>
          <w:kern w:val="0"/>
          <w:szCs w:val="20"/>
        </w:rPr>
        <w:footnoteReference w:id="49"/>
      </w:r>
    </w:p>
    <w:p w:rsidR="00A03B36" w:rsidRPr="00A03B36" w:rsidRDefault="00A03B36" w:rsidP="00A03B36">
      <w:pPr>
        <w:spacing w:after="0" w:line="384" w:lineRule="auto"/>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5. 기록 아카이브 관련 조치: 보존 및 대중의 접근성</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사회 구성원의 지식에 대한 접근을 촉진할 수 있도록, 국가는 과거의 위반 행위에 관한 기록물 및 기타 증거를 보존할 의무가 있다.</w:t>
      </w:r>
      <w:r w:rsidR="003F29FC">
        <w:rPr>
          <w:rStyle w:val="a6"/>
          <w:rFonts w:ascii="휴먼명조" w:eastAsia="휴먼명조" w:hAnsi="굴림" w:cs="굴림"/>
          <w:color w:val="000000"/>
          <w:spacing w:val="-8"/>
          <w:kern w:val="0"/>
          <w:szCs w:val="20"/>
        </w:rPr>
        <w:footnoteReference w:id="50"/>
      </w:r>
      <w:r w:rsidRPr="00A03B36">
        <w:rPr>
          <w:rFonts w:ascii="휴먼명조" w:eastAsia="휴먼명조" w:hAnsi="굴림" w:cs="굴림" w:hint="eastAsia"/>
          <w:color w:val="000000"/>
          <w:spacing w:val="-8"/>
          <w:kern w:val="0"/>
          <w:szCs w:val="20"/>
        </w:rPr>
        <w:t xml:space="preserve"> 이는 사회가 진실을 배우고 역사에 대한 </w:t>
      </w:r>
      <w:r w:rsidRPr="00A03B36">
        <w:rPr>
          <w:rFonts w:ascii="휴먼명조" w:eastAsia="휴먼명조" w:hAnsi="굴림" w:cs="굴림" w:hint="eastAsia"/>
          <w:color w:val="000000"/>
          <w:spacing w:val="-10"/>
          <w:kern w:val="0"/>
          <w:szCs w:val="20"/>
        </w:rPr>
        <w:t>주인의식을 되찾는 데 필수적이다.</w:t>
      </w:r>
      <w:r w:rsidR="003F29FC">
        <w:rPr>
          <w:rStyle w:val="a6"/>
          <w:rFonts w:ascii="휴먼명조" w:eastAsia="휴먼명조" w:hAnsi="굴림" w:cs="굴림"/>
          <w:color w:val="000000"/>
          <w:spacing w:val="-10"/>
          <w:kern w:val="0"/>
          <w:szCs w:val="20"/>
        </w:rPr>
        <w:footnoteReference w:id="51"/>
      </w:r>
      <w:r w:rsidRPr="00A03B36">
        <w:rPr>
          <w:rFonts w:ascii="휴먼명조" w:eastAsia="휴먼명조" w:hAnsi="굴림" w:cs="굴림" w:hint="eastAsia"/>
          <w:color w:val="000000"/>
          <w:spacing w:val="-10"/>
          <w:kern w:val="0"/>
          <w:szCs w:val="20"/>
        </w:rPr>
        <w:t xml:space="preserve"> 따라서 국가는 증거 요소가 손실될 위험을 근절하기</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위해 적절한 조치를 취해야 한다.</w:t>
      </w:r>
      <w:r w:rsidR="003F29FC">
        <w:rPr>
          <w:rStyle w:val="a6"/>
          <w:rFonts w:ascii="휴먼명조" w:eastAsia="휴먼명조" w:hAnsi="굴림" w:cs="굴림"/>
          <w:color w:val="000000"/>
          <w:spacing w:val="-8"/>
          <w:kern w:val="0"/>
          <w:szCs w:val="20"/>
        </w:rPr>
        <w:footnoteReference w:id="52"/>
      </w:r>
      <w:r w:rsidRPr="00A03B36">
        <w:rPr>
          <w:rFonts w:ascii="휴먼명조" w:eastAsia="휴먼명조" w:hAnsi="굴림" w:cs="굴림" w:hint="eastAsia"/>
          <w:color w:val="000000"/>
          <w:spacing w:val="-8"/>
          <w:kern w:val="0"/>
          <w:szCs w:val="20"/>
        </w:rPr>
        <w:t xml:space="preserve"> 적절한 공공 정책의 설계와 실행을 통해 기록물을 보호해야 하며,</w:t>
      </w:r>
      <w:r w:rsidR="003F29FC">
        <w:rPr>
          <w:rStyle w:val="a6"/>
          <w:rFonts w:ascii="휴먼명조" w:eastAsia="휴먼명조" w:hAnsi="굴림" w:cs="굴림"/>
          <w:color w:val="000000"/>
          <w:spacing w:val="-8"/>
          <w:kern w:val="0"/>
          <w:szCs w:val="20"/>
        </w:rPr>
        <w:footnoteReference w:id="53"/>
      </w:r>
      <w:r w:rsidRPr="00A03B36">
        <w:rPr>
          <w:rFonts w:ascii="휴먼명조" w:eastAsia="휴먼명조" w:hAnsi="굴림" w:cs="굴림" w:hint="eastAsia"/>
          <w:color w:val="000000"/>
          <w:spacing w:val="-8"/>
          <w:kern w:val="0"/>
          <w:szCs w:val="20"/>
        </w:rPr>
        <w:t xml:space="preserve"> 적용해야 할 기술적 조치와 처벌을 포함해야 한다.</w:t>
      </w:r>
      <w:r w:rsidR="003F29FC">
        <w:rPr>
          <w:rStyle w:val="a6"/>
          <w:rFonts w:ascii="휴먼명조" w:eastAsia="휴먼명조" w:hAnsi="굴림" w:cs="굴림"/>
          <w:color w:val="000000"/>
          <w:spacing w:val="-8"/>
          <w:kern w:val="0"/>
          <w:szCs w:val="20"/>
        </w:rPr>
        <w:footnoteReference w:id="54"/>
      </w:r>
      <w:r w:rsidRPr="00A03B36">
        <w:rPr>
          <w:rFonts w:ascii="휴먼명조" w:eastAsia="휴먼명조" w:hAnsi="굴림" w:cs="굴림" w:hint="eastAsia"/>
          <w:color w:val="000000"/>
          <w:spacing w:val="-8"/>
          <w:kern w:val="0"/>
          <w:szCs w:val="20"/>
        </w:rPr>
        <w:t xml:space="preserve"> 진실은 “가능한 가장 완전한 역사적 </w:t>
      </w:r>
      <w:proofErr w:type="spellStart"/>
      <w:r w:rsidRPr="00A03B36">
        <w:rPr>
          <w:rFonts w:ascii="휴먼명조" w:eastAsia="휴먼명조" w:hAnsi="굴림" w:cs="굴림" w:hint="eastAsia"/>
          <w:color w:val="000000"/>
          <w:spacing w:val="-8"/>
          <w:kern w:val="0"/>
          <w:szCs w:val="20"/>
        </w:rPr>
        <w:t>기록”의</w:t>
      </w:r>
      <w:proofErr w:type="spellEnd"/>
      <w:r w:rsidRPr="00A03B36">
        <w:rPr>
          <w:rFonts w:ascii="휴먼명조" w:eastAsia="휴먼명조" w:hAnsi="굴림" w:cs="굴림" w:hint="eastAsia"/>
          <w:color w:val="000000"/>
          <w:spacing w:val="-8"/>
          <w:kern w:val="0"/>
          <w:szCs w:val="20"/>
        </w:rPr>
        <w:t xml:space="preserve"> 구축이 필요하다.</w:t>
      </w:r>
      <w:r w:rsidR="003F29FC">
        <w:rPr>
          <w:rStyle w:val="a6"/>
          <w:rFonts w:ascii="휴먼명조" w:eastAsia="휴먼명조" w:hAnsi="굴림" w:cs="굴림"/>
          <w:color w:val="000000"/>
          <w:spacing w:val="-8"/>
          <w:kern w:val="0"/>
          <w:szCs w:val="20"/>
        </w:rPr>
        <w:footnoteReference w:id="55"/>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기록과 사적지의 보존은 투명성과 정보를 찾고 받을 자유를 보장하는 관점에서 이루어</w:t>
      </w:r>
      <w:r w:rsidRPr="00A03B36">
        <w:rPr>
          <w:rFonts w:ascii="휴먼명조" w:eastAsia="휴먼명조" w:hAnsi="굴림" w:cs="굴림" w:hint="eastAsia"/>
          <w:color w:val="000000"/>
          <w:spacing w:val="-14"/>
          <w:kern w:val="0"/>
          <w:szCs w:val="20"/>
        </w:rPr>
        <w:t>져야 한다.</w:t>
      </w:r>
      <w:r w:rsidR="003F29FC">
        <w:rPr>
          <w:rStyle w:val="a6"/>
          <w:rFonts w:ascii="휴먼명조" w:eastAsia="휴먼명조" w:hAnsi="굴림" w:cs="굴림"/>
          <w:color w:val="000000"/>
          <w:spacing w:val="-14"/>
          <w:kern w:val="0"/>
          <w:szCs w:val="20"/>
        </w:rPr>
        <w:footnoteReference w:id="56"/>
      </w:r>
      <w:r w:rsidRPr="00A03B36">
        <w:rPr>
          <w:rFonts w:ascii="휴먼명조" w:eastAsia="휴먼명조" w:hAnsi="굴림" w:cs="굴림" w:hint="eastAsia"/>
          <w:color w:val="000000"/>
          <w:spacing w:val="-14"/>
          <w:kern w:val="0"/>
          <w:szCs w:val="20"/>
        </w:rPr>
        <w:t xml:space="preserve"> 따라서 기록물에 대한 접근은 항상 다른 피해자의 사생활이나 보안을 적절히</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 xml:space="preserve">존중하면서 피해자와 그 </w:t>
      </w:r>
      <w:proofErr w:type="spellStart"/>
      <w:r w:rsidRPr="00A03B36">
        <w:rPr>
          <w:rFonts w:ascii="휴먼명조" w:eastAsia="휴먼명조" w:hAnsi="굴림" w:cs="굴림" w:hint="eastAsia"/>
          <w:color w:val="000000"/>
          <w:spacing w:val="-10"/>
          <w:kern w:val="0"/>
          <w:szCs w:val="20"/>
        </w:rPr>
        <w:t>최근친에게</w:t>
      </w:r>
      <w:proofErr w:type="spellEnd"/>
      <w:r w:rsidRPr="00A03B36">
        <w:rPr>
          <w:rFonts w:ascii="휴먼명조" w:eastAsia="휴먼명조" w:hAnsi="굴림" w:cs="굴림" w:hint="eastAsia"/>
          <w:color w:val="000000"/>
          <w:spacing w:val="-10"/>
          <w:kern w:val="0"/>
          <w:szCs w:val="20"/>
        </w:rPr>
        <w:t xml:space="preserve"> 용이해야 하고, 이로 인해 제한이 필요할 수 있다.</w:t>
      </w:r>
      <w:r w:rsidR="003F29FC">
        <w:rPr>
          <w:rStyle w:val="a6"/>
          <w:rFonts w:ascii="휴먼명조" w:eastAsia="휴먼명조" w:hAnsi="굴림" w:cs="굴림"/>
          <w:color w:val="000000"/>
          <w:spacing w:val="-10"/>
          <w:kern w:val="0"/>
          <w:szCs w:val="20"/>
        </w:rPr>
        <w:footnoteReference w:id="57"/>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중대한 인권침해와 관련된 정보의 기밀 해제를 막는 조항은 폐지되어야 한다.</w:t>
      </w:r>
      <w:r w:rsidR="003F29FC">
        <w:rPr>
          <w:rStyle w:val="a6"/>
          <w:rFonts w:ascii="휴먼명조" w:eastAsia="휴먼명조" w:hAnsi="굴림" w:cs="굴림"/>
          <w:color w:val="000000"/>
          <w:spacing w:val="-8"/>
          <w:kern w:val="0"/>
          <w:szCs w:val="20"/>
        </w:rPr>
        <w:footnoteReference w:id="58"/>
      </w:r>
      <w:r w:rsidRPr="00A03B36">
        <w:rPr>
          <w:rFonts w:ascii="휴먼명조" w:eastAsia="휴먼명조" w:hAnsi="굴림" w:cs="굴림" w:hint="eastAsia"/>
          <w:color w:val="000000"/>
          <w:spacing w:val="-8"/>
          <w:kern w:val="0"/>
          <w:szCs w:val="20"/>
        </w:rPr>
        <w:t xml:space="preserve"> 국가와 </w:t>
      </w:r>
      <w:r w:rsidRPr="00A03B36">
        <w:rPr>
          <w:rFonts w:ascii="휴먼명조" w:eastAsia="휴먼명조" w:hAnsi="굴림" w:cs="굴림" w:hint="eastAsia"/>
          <w:color w:val="000000"/>
          <w:spacing w:val="-4"/>
          <w:kern w:val="0"/>
          <w:szCs w:val="20"/>
        </w:rPr>
        <w:t>유엔을 포함한 국제기구는 기록물</w:t>
      </w:r>
      <w:r w:rsidRPr="00A03B36">
        <w:rPr>
          <w:rFonts w:ascii="휴먼명조" w:eastAsia="휴먼명조" w:hAnsi="굴림" w:cs="굴림" w:hint="eastAsia"/>
          <w:color w:val="000000"/>
          <w:spacing w:val="-4"/>
          <w:kern w:val="0"/>
          <w:szCs w:val="20"/>
        </w:rPr>
        <w:lastRenderedPageBreak/>
        <w:t xml:space="preserve">에 대한 접근 권한을 부여하는 데 유용한 방법론을 </w:t>
      </w:r>
      <w:r w:rsidRPr="00A03B36">
        <w:rPr>
          <w:rFonts w:ascii="휴먼명조" w:eastAsia="휴먼명조" w:hAnsi="굴림" w:cs="굴림" w:hint="eastAsia"/>
          <w:color w:val="000000"/>
          <w:spacing w:val="-8"/>
          <w:kern w:val="0"/>
          <w:szCs w:val="20"/>
        </w:rPr>
        <w:t>수립해야 한다.</w:t>
      </w:r>
      <w:r w:rsidR="0053143E">
        <w:rPr>
          <w:rStyle w:val="a6"/>
          <w:rFonts w:ascii="휴먼명조" w:eastAsia="휴먼명조" w:hAnsi="굴림" w:cs="굴림"/>
          <w:color w:val="000000"/>
          <w:spacing w:val="-8"/>
          <w:kern w:val="0"/>
          <w:szCs w:val="20"/>
        </w:rPr>
        <w:footnoteReference w:id="59"/>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이 보고서 작성을 위해 실시한 온라인 회담에 대한 답변에서, 특별보고관은 예를 들어, </w:t>
      </w:r>
      <w:r w:rsidRPr="00A03B36">
        <w:rPr>
          <w:rFonts w:ascii="휴먼명조" w:eastAsia="휴먼명조" w:hAnsi="굴림" w:cs="굴림" w:hint="eastAsia"/>
          <w:color w:val="000000"/>
          <w:spacing w:val="-6"/>
          <w:kern w:val="0"/>
          <w:szCs w:val="20"/>
        </w:rPr>
        <w:t>국제기록관리협의회(International Council on Archives)의 안내서를 구한 국가들의 모범</w:t>
      </w:r>
      <w:r w:rsidRPr="00A03B36">
        <w:rPr>
          <w:rFonts w:ascii="휴먼명조" w:eastAsia="휴먼명조" w:hAnsi="굴림" w:cs="굴림" w:hint="eastAsia"/>
          <w:color w:val="000000"/>
          <w:spacing w:val="-8"/>
          <w:kern w:val="0"/>
          <w:szCs w:val="20"/>
        </w:rPr>
        <w:t>사례에 주목했다.</w:t>
      </w:r>
      <w:r w:rsidR="0053143E">
        <w:rPr>
          <w:rStyle w:val="a6"/>
          <w:rFonts w:ascii="휴먼명조" w:eastAsia="휴먼명조" w:hAnsi="굴림" w:cs="굴림"/>
          <w:color w:val="000000"/>
          <w:spacing w:val="-8"/>
          <w:kern w:val="0"/>
          <w:szCs w:val="20"/>
        </w:rPr>
        <w:footnoteReference w:id="60"/>
      </w:r>
      <w:r w:rsidRPr="00A03B36">
        <w:rPr>
          <w:rFonts w:ascii="휴먼명조" w:eastAsia="휴먼명조" w:hAnsi="굴림" w:cs="굴림" w:hint="eastAsia"/>
          <w:color w:val="000000"/>
          <w:spacing w:val="-8"/>
          <w:kern w:val="0"/>
          <w:szCs w:val="20"/>
        </w:rPr>
        <w:t xml:space="preserve"> 그럼에도 불구하고, 법적 체계가 앞서 언급한 기준을 준수하지 않고 국가 당국이 중요한 문서에 대한 적절한 접근을 제공하는 데 비협조적인 사례도 있다.</w:t>
      </w:r>
    </w:p>
    <w:p w:rsidR="00A03B36" w:rsidRPr="00A03B36" w:rsidRDefault="00A03B36" w:rsidP="00A03B36">
      <w:pPr>
        <w:spacing w:after="0" w:line="384" w:lineRule="auto"/>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6. 위원회 보고서의 보급</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위원회 보고서는 전체 내용을 공개하고 가능한 한 널리 배포해야 한다. 보안상의 이유로 조사의 일부는 기밀로 유지될 수 있다.</w:t>
      </w:r>
      <w:r w:rsidR="0053143E">
        <w:rPr>
          <w:rStyle w:val="a6"/>
          <w:rFonts w:ascii="휴먼명조" w:eastAsia="휴먼명조" w:hAnsi="굴림" w:cs="굴림"/>
          <w:color w:val="000000"/>
          <w:spacing w:val="-8"/>
          <w:kern w:val="0"/>
          <w:szCs w:val="20"/>
        </w:rPr>
        <w:footnoteReference w:id="61"/>
      </w:r>
      <w:r w:rsidRPr="00A03B36">
        <w:rPr>
          <w:rFonts w:ascii="휴먼명조" w:eastAsia="휴먼명조" w:hAnsi="굴림" w:cs="굴림" w:hint="eastAsia"/>
          <w:color w:val="000000"/>
          <w:spacing w:val="-8"/>
          <w:kern w:val="0"/>
          <w:szCs w:val="20"/>
        </w:rPr>
        <w:t xml:space="preserve"> 예를 들어, 공개가 피해자, 피해자의 친족 또는 </w:t>
      </w:r>
      <w:r w:rsidRPr="00A03B36">
        <w:rPr>
          <w:rFonts w:ascii="휴먼명조" w:eastAsia="휴먼명조" w:hAnsi="굴림" w:cs="굴림" w:hint="eastAsia"/>
          <w:color w:val="000000"/>
          <w:spacing w:val="-14"/>
          <w:kern w:val="0"/>
          <w:szCs w:val="20"/>
        </w:rPr>
        <w:t xml:space="preserve">피해자를 돕기 위해 개입한 사람의 안전과 이익에 추가적인 </w:t>
      </w:r>
      <w:proofErr w:type="spellStart"/>
      <w:r w:rsidRPr="00A03B36">
        <w:rPr>
          <w:rFonts w:ascii="휴먼명조" w:eastAsia="휴먼명조" w:hAnsi="굴림" w:cs="굴림" w:hint="eastAsia"/>
          <w:color w:val="000000"/>
          <w:spacing w:val="-14"/>
          <w:kern w:val="0"/>
          <w:szCs w:val="20"/>
        </w:rPr>
        <w:t>위해를</w:t>
      </w:r>
      <w:proofErr w:type="spellEnd"/>
      <w:r w:rsidRPr="00A03B36">
        <w:rPr>
          <w:rFonts w:ascii="휴먼명조" w:eastAsia="휴먼명조" w:hAnsi="굴림" w:cs="굴림" w:hint="eastAsia"/>
          <w:color w:val="000000"/>
          <w:spacing w:val="-14"/>
          <w:kern w:val="0"/>
          <w:szCs w:val="20"/>
        </w:rPr>
        <w:t xml:space="preserve"> 가하거나 위협이 될 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있는 경우가 그러하다.</w:t>
      </w:r>
      <w:r w:rsidR="0053143E">
        <w:rPr>
          <w:rStyle w:val="a6"/>
          <w:rFonts w:ascii="휴먼명조" w:eastAsia="휴먼명조" w:hAnsi="굴림" w:cs="굴림"/>
          <w:color w:val="000000"/>
          <w:spacing w:val="-8"/>
          <w:kern w:val="0"/>
          <w:szCs w:val="20"/>
        </w:rPr>
        <w:footnoteReference w:id="62"/>
      </w:r>
    </w:p>
    <w:p w:rsidR="00A03B36" w:rsidRPr="00A03B36" w:rsidRDefault="00A03B36" w:rsidP="00A03B36">
      <w:pPr>
        <w:spacing w:after="0" w:line="384" w:lineRule="auto"/>
        <w:ind w:left="282" w:right="588"/>
        <w:jc w:val="center"/>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Ⅴ</w:t>
      </w:r>
      <w:proofErr w:type="spellEnd"/>
      <w:r w:rsidRPr="00A03B36">
        <w:rPr>
          <w:rFonts w:ascii="휴먼명조" w:eastAsia="휴먼명조" w:hAnsi="굴림" w:cs="굴림" w:hint="eastAsia"/>
          <w:b/>
          <w:bCs/>
          <w:color w:val="000000"/>
          <w:kern w:val="0"/>
          <w:sz w:val="26"/>
          <w:szCs w:val="26"/>
        </w:rPr>
        <w:t>. 정의</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A. 일반적 고려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t>위반 행위를 기소하고 처벌하는 동시에 그 의무의 이행을 방해하는 장애물을 제거할 법적</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의무는 "책임 의무의 주요 표현"이며,</w:t>
      </w:r>
      <w:r w:rsidR="0053143E">
        <w:rPr>
          <w:rStyle w:val="a6"/>
          <w:rFonts w:ascii="휴먼명조" w:eastAsia="휴먼명조" w:hAnsi="굴림" w:cs="굴림"/>
          <w:color w:val="000000"/>
          <w:spacing w:val="-8"/>
          <w:kern w:val="0"/>
          <w:szCs w:val="20"/>
        </w:rPr>
        <w:footnoteReference w:id="63"/>
      </w:r>
      <w:r w:rsidRPr="00A03B36">
        <w:rPr>
          <w:rFonts w:ascii="휴먼명조" w:eastAsia="휴먼명조" w:hAnsi="굴림" w:cs="굴림" w:hint="eastAsia"/>
          <w:color w:val="000000"/>
          <w:spacing w:val="-8"/>
          <w:kern w:val="0"/>
          <w:szCs w:val="20"/>
        </w:rPr>
        <w:t xml:space="preserve"> 정의롭고 지속적인 화해를 달성하기 위해서는 </w:t>
      </w:r>
      <w:r w:rsidRPr="00A03B36">
        <w:rPr>
          <w:rFonts w:ascii="휴먼명조" w:eastAsia="휴먼명조" w:hAnsi="굴림" w:cs="굴림" w:hint="eastAsia"/>
          <w:color w:val="000000"/>
          <w:spacing w:val="-10"/>
          <w:kern w:val="0"/>
          <w:szCs w:val="20"/>
        </w:rPr>
        <w:t>이러한 정의의 필요가 효과적으로 충족되어야 한다.</w:t>
      </w:r>
      <w:r w:rsidR="0053143E">
        <w:rPr>
          <w:rStyle w:val="a6"/>
          <w:rFonts w:ascii="휴먼명조" w:eastAsia="휴먼명조" w:hAnsi="굴림" w:cs="굴림"/>
          <w:color w:val="000000"/>
          <w:spacing w:val="-10"/>
          <w:kern w:val="0"/>
          <w:szCs w:val="20"/>
        </w:rPr>
        <w:footnoteReference w:id="64"/>
      </w:r>
      <w:r w:rsidRPr="00A03B36">
        <w:rPr>
          <w:rFonts w:ascii="휴먼명조" w:eastAsia="휴먼명조" w:hAnsi="굴림" w:cs="굴림" w:hint="eastAsia"/>
          <w:color w:val="000000"/>
          <w:spacing w:val="-10"/>
          <w:kern w:val="0"/>
          <w:szCs w:val="20"/>
        </w:rPr>
        <w:t xml:space="preserve"> 국가는 인권 및 국제인도법 위반의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가해자가 기소, 재판, 정당</w:t>
      </w:r>
      <w:r w:rsidRPr="00A03B36">
        <w:rPr>
          <w:rFonts w:ascii="휴먼명조" w:eastAsia="휴먼명조" w:hAnsi="굴림" w:cs="굴림" w:hint="eastAsia"/>
          <w:color w:val="000000"/>
          <w:spacing w:val="-8"/>
          <w:kern w:val="0"/>
          <w:szCs w:val="20"/>
        </w:rPr>
        <w:lastRenderedPageBreak/>
        <w:t>한 처벌을 받도록 보장할 의무가 있다.</w:t>
      </w:r>
      <w:r w:rsidR="0053143E">
        <w:rPr>
          <w:rStyle w:val="a6"/>
          <w:rFonts w:ascii="휴먼명조" w:eastAsia="휴먼명조" w:hAnsi="굴림" w:cs="굴림"/>
          <w:color w:val="000000"/>
          <w:spacing w:val="-8"/>
          <w:kern w:val="0"/>
          <w:szCs w:val="20"/>
        </w:rPr>
        <w:footnoteReference w:id="65"/>
      </w:r>
      <w:r w:rsidRPr="00A03B36">
        <w:rPr>
          <w:rFonts w:ascii="휴먼명조" w:eastAsia="휴먼명조" w:hAnsi="굴림" w:cs="굴림" w:hint="eastAsia"/>
          <w:color w:val="000000"/>
          <w:spacing w:val="-8"/>
          <w:kern w:val="0"/>
          <w:szCs w:val="20"/>
        </w:rPr>
        <w:t xml:space="preserve"> 기소는 즉각적이어야 하고, 원하는 또는 기대하는 효과를 달성해야 한다.</w:t>
      </w:r>
      <w:r w:rsidR="0053143E">
        <w:rPr>
          <w:rStyle w:val="a6"/>
          <w:rFonts w:ascii="휴먼명조" w:eastAsia="휴먼명조" w:hAnsi="굴림" w:cs="굴림"/>
          <w:color w:val="000000"/>
          <w:spacing w:val="-8"/>
          <w:kern w:val="0"/>
          <w:szCs w:val="20"/>
        </w:rPr>
        <w:footnoteReference w:id="66"/>
      </w:r>
      <w:r w:rsidRPr="00A03B36">
        <w:rPr>
          <w:rFonts w:ascii="휴먼명조" w:eastAsia="휴먼명조" w:hAnsi="굴림" w:cs="굴림" w:hint="eastAsia"/>
          <w:color w:val="000000"/>
          <w:spacing w:val="-8"/>
          <w:kern w:val="0"/>
          <w:szCs w:val="20"/>
        </w:rPr>
        <w:t xml:space="preserve"> 기소와 처벌의 실패는 면책으로 이어지며, 국제법상 피해자에게 구제를 제공하고 범죄를 기소해야 하는 국가의 의무를 위반하는 것이다.</w:t>
      </w:r>
      <w:r w:rsidR="0053143E">
        <w:rPr>
          <w:rStyle w:val="a6"/>
          <w:rFonts w:ascii="휴먼명조" w:eastAsia="휴먼명조" w:hAnsi="굴림" w:cs="굴림"/>
          <w:color w:val="000000"/>
          <w:spacing w:val="-8"/>
          <w:kern w:val="0"/>
          <w:szCs w:val="20"/>
        </w:rPr>
        <w:footnoteReference w:id="67"/>
      </w:r>
      <w:r w:rsidRPr="00A03B36">
        <w:rPr>
          <w:rFonts w:ascii="휴먼명조" w:eastAsia="휴먼명조" w:hAnsi="굴림" w:cs="굴림" w:hint="eastAsia"/>
          <w:color w:val="000000"/>
          <w:spacing w:val="-8"/>
          <w:kern w:val="0"/>
          <w:szCs w:val="20"/>
        </w:rPr>
        <w:t xml:space="preserve"> 이러한 의무 위반은 국내법 조항의 적용으로 정당화될 수 없다.</w:t>
      </w:r>
      <w:r w:rsidR="0053143E">
        <w:rPr>
          <w:rStyle w:val="a6"/>
          <w:rFonts w:ascii="휴먼명조" w:eastAsia="휴먼명조" w:hAnsi="굴림" w:cs="굴림"/>
          <w:color w:val="000000"/>
          <w:spacing w:val="-8"/>
          <w:kern w:val="0"/>
          <w:szCs w:val="20"/>
        </w:rPr>
        <w:footnoteReference w:id="68"/>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2"/>
          <w:kern w:val="0"/>
          <w:szCs w:val="20"/>
        </w:rPr>
        <w:t>이러한 규범은 국제인권 메커니즘의 법리,</w:t>
      </w:r>
      <w:r w:rsidR="0053143E">
        <w:rPr>
          <w:rStyle w:val="a6"/>
          <w:rFonts w:ascii="휴먼명조" w:eastAsia="휴먼명조" w:hAnsi="굴림" w:cs="굴림"/>
          <w:color w:val="000000"/>
          <w:spacing w:val="2"/>
          <w:kern w:val="0"/>
          <w:szCs w:val="20"/>
        </w:rPr>
        <w:footnoteReference w:id="69"/>
      </w:r>
      <w:r w:rsidRPr="00A03B36">
        <w:rPr>
          <w:rFonts w:ascii="휴먼명조" w:eastAsia="휴먼명조" w:hAnsi="굴림" w:cs="굴림" w:hint="eastAsia"/>
          <w:color w:val="000000"/>
          <w:spacing w:val="2"/>
          <w:kern w:val="0"/>
          <w:szCs w:val="20"/>
        </w:rPr>
        <w:t xml:space="preserve"> 그리고 총회와 인권이사회</w:t>
      </w:r>
      <w:r w:rsidR="0053143E">
        <w:rPr>
          <w:rStyle w:val="a6"/>
          <w:rFonts w:ascii="휴먼명조" w:eastAsia="휴먼명조" w:hAnsi="굴림" w:cs="굴림"/>
          <w:color w:val="000000"/>
          <w:spacing w:val="2"/>
          <w:kern w:val="0"/>
          <w:szCs w:val="20"/>
        </w:rPr>
        <w:footnoteReference w:id="70"/>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및</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지역</w:t>
      </w:r>
      <w:r w:rsidRPr="00A03B36">
        <w:rPr>
          <w:rFonts w:ascii="함초롬바탕" w:eastAsia="휴먼명조" w:hAnsi="굴림" w:cs="굴림"/>
          <w:color w:val="000000"/>
          <w:spacing w:val="2"/>
          <w:kern w:val="0"/>
          <w:szCs w:val="20"/>
        </w:rPr>
        <w:t xml:space="preserve"> </w:t>
      </w:r>
      <w:r w:rsidRPr="00A03B36">
        <w:rPr>
          <w:rFonts w:ascii="휴먼명조" w:eastAsia="휴먼명조" w:hAnsi="굴림" w:cs="굴림" w:hint="eastAsia"/>
          <w:color w:val="000000"/>
          <w:spacing w:val="-10"/>
          <w:kern w:val="0"/>
          <w:szCs w:val="20"/>
        </w:rPr>
        <w:t>포럼</w:t>
      </w:r>
      <w:r w:rsidR="0053143E">
        <w:rPr>
          <w:rStyle w:val="a6"/>
          <w:rFonts w:ascii="휴먼명조" w:eastAsia="휴먼명조" w:hAnsi="굴림" w:cs="굴림"/>
          <w:color w:val="000000"/>
          <w:spacing w:val="-10"/>
          <w:kern w:val="0"/>
          <w:szCs w:val="20"/>
        </w:rPr>
        <w:footnoteReference w:id="71"/>
      </w:r>
      <w:r w:rsidRPr="00A03B36">
        <w:rPr>
          <w:rFonts w:ascii="휴먼명조" w:eastAsia="휴먼명조" w:hAnsi="굴림" w:cs="굴림" w:hint="eastAsia"/>
          <w:color w:val="000000"/>
          <w:spacing w:val="-10"/>
          <w:kern w:val="0"/>
          <w:szCs w:val="20"/>
        </w:rPr>
        <w:t>에서 채택한 결의와 지침에서 뒷받침된다. 기소는 항상 공정한 재판을 받을 권리를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존중해야 하며,</w:t>
      </w:r>
      <w:r w:rsidR="0053143E">
        <w:rPr>
          <w:rStyle w:val="a6"/>
          <w:rFonts w:ascii="휴먼명조" w:eastAsia="휴먼명조" w:hAnsi="굴림" w:cs="굴림"/>
          <w:color w:val="000000"/>
          <w:spacing w:val="-8"/>
          <w:kern w:val="0"/>
          <w:szCs w:val="20"/>
        </w:rPr>
        <w:footnoteReference w:id="72"/>
      </w:r>
      <w:r w:rsidRPr="00A03B36">
        <w:rPr>
          <w:rFonts w:ascii="휴먼명조" w:eastAsia="휴먼명조" w:hAnsi="굴림" w:cs="굴림" w:hint="eastAsia"/>
          <w:color w:val="000000"/>
          <w:spacing w:val="-8"/>
          <w:kern w:val="0"/>
          <w:szCs w:val="20"/>
        </w:rPr>
        <w:t xml:space="preserve"> 피해자에게 조력과 심리사회적 지원을 제공해야 한다.</w:t>
      </w:r>
      <w:r w:rsidR="0053143E">
        <w:rPr>
          <w:rStyle w:val="a6"/>
          <w:rFonts w:ascii="휴먼명조" w:eastAsia="휴먼명조" w:hAnsi="굴림" w:cs="굴림"/>
          <w:color w:val="000000"/>
          <w:spacing w:val="-8"/>
          <w:kern w:val="0"/>
          <w:szCs w:val="20"/>
        </w:rPr>
        <w:footnoteReference w:id="73"/>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국가는 중대 범죄의 가해자를 처벌할 수 있도록 필요하고 적절한 조치를 취해야 한다.</w:t>
      </w:r>
      <w:r w:rsidR="0053143E">
        <w:rPr>
          <w:rStyle w:val="a6"/>
          <w:rFonts w:ascii="휴먼명조" w:eastAsia="휴먼명조" w:hAnsi="굴림" w:cs="굴림"/>
          <w:color w:val="000000"/>
          <w:spacing w:val="-8"/>
          <w:kern w:val="0"/>
          <w:szCs w:val="20"/>
        </w:rPr>
        <w:footnoteReference w:id="74"/>
      </w:r>
      <w:r w:rsidRPr="00A03B36">
        <w:rPr>
          <w:rFonts w:ascii="휴먼명조" w:eastAsia="휴먼명조" w:hAnsi="굴림" w:cs="굴림" w:hint="eastAsia"/>
          <w:color w:val="000000"/>
          <w:spacing w:val="-8"/>
          <w:kern w:val="0"/>
          <w:szCs w:val="20"/>
        </w:rPr>
        <w:t xml:space="preserve"> 이를 위해 국가는 가능한 한 신속하게 관련 입법적, 행정적, 재정적 및 예산상 조치를 취해야 한다.</w:t>
      </w:r>
      <w:r w:rsidR="0053143E">
        <w:rPr>
          <w:rStyle w:val="a6"/>
          <w:rFonts w:ascii="휴먼명조" w:eastAsia="휴먼명조" w:hAnsi="굴림" w:cs="굴림"/>
          <w:color w:val="000000"/>
          <w:spacing w:val="-8"/>
          <w:kern w:val="0"/>
          <w:szCs w:val="20"/>
        </w:rPr>
        <w:footnoteReference w:id="75"/>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lastRenderedPageBreak/>
        <w:t xml:space="preserve">그러나 특별보고관은 불처벌은 전 세계의 이행기 과정에서 반복되는 문제라고 지적한다. </w:t>
      </w:r>
      <w:r w:rsidRPr="00A03B36">
        <w:rPr>
          <w:rFonts w:ascii="휴먼명조" w:eastAsia="휴먼명조" w:hAnsi="굴림" w:cs="굴림" w:hint="eastAsia"/>
          <w:color w:val="000000"/>
          <w:spacing w:val="-6"/>
          <w:kern w:val="0"/>
          <w:szCs w:val="20"/>
        </w:rPr>
        <w:t xml:space="preserve">일부 국가에서는 제도적 권한을 이용해 위반 사실을 부인하거나 </w:t>
      </w:r>
      <w:proofErr w:type="gramStart"/>
      <w:r w:rsidRPr="00A03B36">
        <w:rPr>
          <w:rFonts w:ascii="휴먼명조" w:eastAsia="휴먼명조" w:hAnsi="굴림" w:cs="굴림" w:hint="eastAsia"/>
          <w:color w:val="000000"/>
          <w:spacing w:val="-6"/>
          <w:kern w:val="0"/>
          <w:szCs w:val="20"/>
        </w:rPr>
        <w:t>잊혀지게</w:t>
      </w:r>
      <w:proofErr w:type="gramEnd"/>
      <w:r w:rsidRPr="00A03B36">
        <w:rPr>
          <w:rFonts w:ascii="휴먼명조" w:eastAsia="휴먼명조" w:hAnsi="굴림" w:cs="굴림" w:hint="eastAsia"/>
          <w:color w:val="000000"/>
          <w:spacing w:val="-6"/>
          <w:kern w:val="0"/>
          <w:szCs w:val="20"/>
        </w:rPr>
        <w:t xml:space="preserve"> 하고, 어떤 </w:t>
      </w:r>
      <w:r w:rsidRPr="00A03B36">
        <w:rPr>
          <w:rFonts w:ascii="휴먼명조" w:eastAsia="휴먼명조" w:hAnsi="굴림" w:cs="굴림" w:hint="eastAsia"/>
          <w:color w:val="000000"/>
          <w:spacing w:val="-8"/>
          <w:kern w:val="0"/>
          <w:szCs w:val="20"/>
        </w:rPr>
        <w:t xml:space="preserve">경우에는 당국과 사회가 '침묵의 협정'을 맺어 사실상 불처벌을 하는 경우도 많다. 다른 </w:t>
      </w:r>
      <w:r w:rsidRPr="00A03B36">
        <w:rPr>
          <w:rFonts w:ascii="휴먼명조" w:eastAsia="휴먼명조" w:hAnsi="굴림" w:cs="굴림" w:hint="eastAsia"/>
          <w:color w:val="000000"/>
          <w:spacing w:val="-10"/>
          <w:kern w:val="0"/>
          <w:szCs w:val="20"/>
        </w:rPr>
        <w:t>사례에서는, 조사가 비효율적이거나 범죄에 상응하는 형량이 선고되지 않거나 가해자에게</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사면권이 부여된다.</w:t>
      </w:r>
      <w:r w:rsidR="0053143E">
        <w:rPr>
          <w:rStyle w:val="a6"/>
          <w:rFonts w:ascii="휴먼명조" w:eastAsia="휴먼명조" w:hAnsi="굴림" w:cs="굴림"/>
          <w:color w:val="000000"/>
          <w:spacing w:val="-8"/>
          <w:kern w:val="0"/>
          <w:szCs w:val="20"/>
        </w:rPr>
        <w:footnoteReference w:id="76"/>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B. 구체적 고려</w:t>
      </w:r>
    </w:p>
    <w:p w:rsidR="00A03B36" w:rsidRPr="00A03B36" w:rsidRDefault="00A03B36" w:rsidP="00A03B36">
      <w:pPr>
        <w:spacing w:after="0" w:line="264" w:lineRule="auto"/>
        <w:ind w:left="524" w:hanging="262"/>
        <w:jc w:val="center"/>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1. 법치의 남용 및 기소와 형사 처벌에 대한 기타 장애물에 대응하는 보호조치</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국제기준을 준수하기 위해 국가는 법의 지배 남용에 대한 안전장치를 채택 및 시행하고, 보편적 및 국제적 관할권에 관한 국제법 원칙의 실효성을 강화하는 데 필요한 조치를 취해야 한다.</w:t>
      </w:r>
      <w:r w:rsidR="0053143E">
        <w:rPr>
          <w:rStyle w:val="a6"/>
          <w:rFonts w:ascii="휴먼명조" w:eastAsia="휴먼명조" w:hAnsi="굴림" w:cs="굴림"/>
          <w:color w:val="000000"/>
          <w:spacing w:val="-8"/>
          <w:kern w:val="0"/>
          <w:szCs w:val="20"/>
        </w:rPr>
        <w:footnoteReference w:id="77"/>
      </w:r>
      <w:r w:rsidRPr="00A03B36">
        <w:rPr>
          <w:rFonts w:ascii="휴먼명조" w:eastAsia="휴먼명조" w:hAnsi="굴림" w:cs="굴림" w:hint="eastAsia"/>
          <w:color w:val="000000"/>
          <w:spacing w:val="-8"/>
          <w:kern w:val="0"/>
          <w:szCs w:val="20"/>
        </w:rPr>
        <w:t xml:space="preserve"> 예를 들어, 전쟁범죄와 반인도범죄는 강행규범 조항에 따른 공소시효(statutory limitation)가 적용되지 않아야 하며,</w:t>
      </w:r>
      <w:r w:rsidR="0053143E">
        <w:rPr>
          <w:rStyle w:val="a6"/>
          <w:rFonts w:ascii="휴먼명조" w:eastAsia="휴먼명조" w:hAnsi="굴림" w:cs="굴림"/>
          <w:color w:val="000000"/>
          <w:spacing w:val="-8"/>
          <w:kern w:val="0"/>
          <w:szCs w:val="20"/>
        </w:rPr>
        <w:footnoteReference w:id="78"/>
      </w:r>
      <w:r w:rsidRPr="00A03B36">
        <w:rPr>
          <w:rFonts w:ascii="휴먼명조" w:eastAsia="휴먼명조" w:hAnsi="굴림" w:cs="굴림" w:hint="eastAsia"/>
          <w:color w:val="000000"/>
          <w:spacing w:val="-8"/>
          <w:kern w:val="0"/>
          <w:szCs w:val="20"/>
        </w:rPr>
        <w:t xml:space="preserve"> 이는 인류 전체를 공격하는 범죄이기 때문이다.</w:t>
      </w:r>
      <w:r w:rsidR="0053143E">
        <w:rPr>
          <w:rStyle w:val="a6"/>
          <w:rFonts w:ascii="휴먼명조" w:eastAsia="휴먼명조" w:hAnsi="굴림" w:cs="굴림"/>
          <w:color w:val="000000"/>
          <w:spacing w:val="-8"/>
          <w:kern w:val="0"/>
          <w:szCs w:val="20"/>
        </w:rPr>
        <w:footnoteReference w:id="79"/>
      </w:r>
      <w:r w:rsidRPr="00A03B36">
        <w:rPr>
          <w:rFonts w:ascii="휴먼명조" w:eastAsia="휴먼명조" w:hAnsi="굴림" w:cs="굴림" w:hint="eastAsia"/>
          <w:color w:val="000000"/>
          <w:spacing w:val="-8"/>
          <w:kern w:val="0"/>
          <w:szCs w:val="20"/>
        </w:rPr>
        <w:t xml:space="preserve"> 또한 이전 절차가 독립적 또는 공정하게 진행되지 않았거나 관련자를 형사 </w:t>
      </w:r>
      <w:r w:rsidRPr="00A03B36">
        <w:rPr>
          <w:rFonts w:ascii="휴먼명조" w:eastAsia="휴먼명조" w:hAnsi="굴림" w:cs="굴림" w:hint="eastAsia"/>
          <w:color w:val="000000"/>
          <w:spacing w:val="-4"/>
          <w:kern w:val="0"/>
          <w:szCs w:val="20"/>
        </w:rPr>
        <w:t>책임으로부터 보호하려는 목적이 있는 경우 가해자는 일사부재리(</w:t>
      </w:r>
      <w:r w:rsidRPr="00A03B36">
        <w:rPr>
          <w:rFonts w:ascii="휴먼명조" w:eastAsia="휴먼명조" w:hAnsi="굴림" w:cs="굴림" w:hint="eastAsia"/>
          <w:i/>
          <w:iCs/>
          <w:color w:val="000000"/>
          <w:spacing w:val="-4"/>
          <w:kern w:val="0"/>
          <w:szCs w:val="20"/>
        </w:rPr>
        <w:t>non bis in idem</w:t>
      </w:r>
      <w:r w:rsidRPr="00A03B36">
        <w:rPr>
          <w:rFonts w:ascii="휴먼명조" w:eastAsia="휴먼명조" w:hAnsi="굴림" w:cs="굴림" w:hint="eastAsia"/>
          <w:color w:val="000000"/>
          <w:spacing w:val="-4"/>
          <w:kern w:val="0"/>
          <w:szCs w:val="20"/>
        </w:rPr>
        <w:t xml:space="preserve">)의 </w:t>
      </w:r>
      <w:r w:rsidRPr="00A03B36">
        <w:rPr>
          <w:rFonts w:ascii="휴먼명조" w:eastAsia="휴먼명조" w:hAnsi="굴림" w:cs="굴림" w:hint="eastAsia"/>
          <w:color w:val="000000"/>
          <w:spacing w:val="-8"/>
          <w:kern w:val="0"/>
          <w:szCs w:val="20"/>
        </w:rPr>
        <w:t>원칙을 성공적으로 주장할 수 없다.</w:t>
      </w:r>
      <w:r w:rsidR="0053143E">
        <w:rPr>
          <w:rStyle w:val="a6"/>
          <w:rFonts w:ascii="휴먼명조" w:eastAsia="휴먼명조" w:hAnsi="굴림" w:cs="굴림"/>
          <w:color w:val="000000"/>
          <w:spacing w:val="-8"/>
          <w:kern w:val="0"/>
          <w:szCs w:val="20"/>
        </w:rPr>
        <w:footnoteReference w:id="80"/>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중대한 인권침해에 책임이 있는 자에 대한 조사와 처벌을 방해하기 위한 사면 조항 및 기타 규정은 국가가 정의와 피해자의 효과적인 권리 구제에 관한 의무를 우선하여 이행해야 한다는 국제법을 위배한다.</w:t>
      </w:r>
      <w:r w:rsidR="0053143E">
        <w:rPr>
          <w:rStyle w:val="a6"/>
          <w:rFonts w:ascii="휴먼명조" w:eastAsia="휴먼명조" w:hAnsi="굴림" w:cs="굴림"/>
          <w:color w:val="000000"/>
          <w:spacing w:val="-8"/>
          <w:kern w:val="0"/>
          <w:szCs w:val="20"/>
        </w:rPr>
        <w:footnoteReference w:id="81"/>
      </w:r>
      <w:r w:rsidRPr="00A03B36">
        <w:rPr>
          <w:rFonts w:ascii="휴먼명조" w:eastAsia="휴먼명조" w:hAnsi="굴림" w:cs="굴림" w:hint="eastAsia"/>
          <w:color w:val="000000"/>
          <w:spacing w:val="-8"/>
          <w:kern w:val="0"/>
          <w:szCs w:val="20"/>
        </w:rPr>
        <w:t xml:space="preserve"> 이는 유럽인권재판소</w:t>
      </w:r>
      <w:r w:rsidR="0053143E">
        <w:rPr>
          <w:rStyle w:val="a6"/>
          <w:rFonts w:ascii="휴먼명조" w:eastAsia="휴먼명조" w:hAnsi="굴림" w:cs="굴림"/>
          <w:color w:val="000000"/>
          <w:spacing w:val="-8"/>
          <w:kern w:val="0"/>
          <w:szCs w:val="20"/>
        </w:rPr>
        <w:footnoteReference w:id="82"/>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및</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미주인권재판소의</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판례</w:t>
      </w:r>
      <w:r w:rsidRPr="00A03B36">
        <w:rPr>
          <w:rFonts w:ascii="휴먼명조" w:eastAsia="휴먼명조" w:hAnsi="굴림" w:cs="굴림" w:hint="eastAsia"/>
          <w:color w:val="000000"/>
          <w:spacing w:val="-8"/>
          <w:kern w:val="0"/>
          <w:szCs w:val="20"/>
        </w:rPr>
        <w:t>,</w:t>
      </w:r>
      <w:r w:rsidR="0053143E">
        <w:rPr>
          <w:rStyle w:val="a6"/>
          <w:rFonts w:ascii="휴먼명조" w:eastAsia="휴먼명조" w:hAnsi="굴림" w:cs="굴림"/>
          <w:color w:val="000000"/>
          <w:spacing w:val="-8"/>
          <w:kern w:val="0"/>
          <w:szCs w:val="20"/>
        </w:rPr>
        <w:footnoteReference w:id="83"/>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10"/>
          <w:kern w:val="0"/>
          <w:szCs w:val="20"/>
        </w:rPr>
        <w:t>그리고 시민적 및 정치</w:t>
      </w:r>
      <w:r w:rsidRPr="00A03B36">
        <w:rPr>
          <w:rFonts w:ascii="휴먼명조" w:eastAsia="휴먼명조" w:hAnsi="굴림" w:cs="굴림" w:hint="eastAsia"/>
          <w:color w:val="000000"/>
          <w:spacing w:val="-10"/>
          <w:kern w:val="0"/>
          <w:szCs w:val="20"/>
        </w:rPr>
        <w:lastRenderedPageBreak/>
        <w:t>적 권리 위원회,</w:t>
      </w:r>
      <w:r w:rsidR="0053143E">
        <w:rPr>
          <w:rStyle w:val="a6"/>
          <w:rFonts w:ascii="휴먼명조" w:eastAsia="휴먼명조" w:hAnsi="굴림" w:cs="굴림"/>
          <w:color w:val="000000"/>
          <w:spacing w:val="-10"/>
          <w:kern w:val="0"/>
          <w:szCs w:val="20"/>
        </w:rPr>
        <w:footnoteReference w:id="84"/>
      </w:r>
      <w:r w:rsidRPr="00A03B36">
        <w:rPr>
          <w:rFonts w:ascii="휴먼명조" w:eastAsia="휴먼명조" w:hAnsi="굴림" w:cs="굴림" w:hint="eastAsia"/>
          <w:color w:val="000000"/>
          <w:spacing w:val="-10"/>
          <w:kern w:val="0"/>
          <w:szCs w:val="20"/>
        </w:rPr>
        <w:t xml:space="preserve"> 국제적십자위원회</w:t>
      </w:r>
      <w:r w:rsidR="0053143E">
        <w:rPr>
          <w:rStyle w:val="a6"/>
          <w:rFonts w:ascii="휴먼명조" w:eastAsia="휴먼명조" w:hAnsi="굴림" w:cs="굴림"/>
          <w:color w:val="000000"/>
          <w:spacing w:val="-10"/>
          <w:kern w:val="0"/>
          <w:szCs w:val="20"/>
        </w:rPr>
        <w:footnoteReference w:id="85"/>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및</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아프리카</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인권과</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인민의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권리위원회</w:t>
      </w:r>
      <w:r w:rsidR="0053143E">
        <w:rPr>
          <w:rStyle w:val="a6"/>
          <w:rFonts w:ascii="휴먼명조" w:eastAsia="휴먼명조" w:hAnsi="굴림" w:cs="굴림"/>
          <w:color w:val="000000"/>
          <w:spacing w:val="-8"/>
          <w:kern w:val="0"/>
          <w:szCs w:val="20"/>
        </w:rPr>
        <w:footnoteReference w:id="86"/>
      </w:r>
      <w:r w:rsidRPr="00A03B36">
        <w:rPr>
          <w:rFonts w:ascii="휴먼명조" w:eastAsia="휴먼명조" w:hAnsi="굴림" w:cs="굴림" w:hint="eastAsia"/>
          <w:color w:val="000000"/>
          <w:spacing w:val="-8"/>
          <w:kern w:val="0"/>
          <w:szCs w:val="20"/>
        </w:rPr>
        <w:t>의 견해에 반영되어 있다. 유엔 총회</w:t>
      </w:r>
      <w:r w:rsidR="0053143E">
        <w:rPr>
          <w:rStyle w:val="a6"/>
          <w:rFonts w:ascii="휴먼명조" w:eastAsia="휴먼명조" w:hAnsi="굴림" w:cs="굴림"/>
          <w:color w:val="000000"/>
          <w:spacing w:val="-8"/>
          <w:kern w:val="0"/>
          <w:szCs w:val="20"/>
        </w:rPr>
        <w:footnoteReference w:id="87"/>
      </w:r>
      <w:r w:rsidRPr="00A03B36">
        <w:rPr>
          <w:rFonts w:ascii="휴먼명조" w:eastAsia="휴먼명조" w:hAnsi="굴림" w:cs="굴림" w:hint="eastAsia"/>
          <w:color w:val="000000"/>
          <w:spacing w:val="-8"/>
          <w:kern w:val="0"/>
          <w:szCs w:val="20"/>
        </w:rPr>
        <w:t>와 강제적 또는 비자발적 실종 실무그룹도 유사한 견해를 지지했다; 후자는 국민투표 또는 유사한 협의 절차를 통해 승인된 경우에도 그러한 조치의 위법성을 재차 강조한다.</w:t>
      </w:r>
      <w:r w:rsidR="0053143E">
        <w:rPr>
          <w:rStyle w:val="a6"/>
          <w:rFonts w:ascii="휴먼명조" w:eastAsia="휴먼명조" w:hAnsi="굴림" w:cs="굴림"/>
          <w:color w:val="000000"/>
          <w:spacing w:val="-8"/>
          <w:kern w:val="0"/>
          <w:szCs w:val="20"/>
        </w:rPr>
        <w:footnoteReference w:id="88"/>
      </w:r>
      <w:r w:rsidRPr="00A03B36">
        <w:rPr>
          <w:rFonts w:ascii="휴먼명조" w:eastAsia="휴먼명조" w:hAnsi="굴림" w:cs="굴림" w:hint="eastAsia"/>
          <w:color w:val="000000"/>
          <w:spacing w:val="-8"/>
          <w:kern w:val="0"/>
          <w:szCs w:val="20"/>
        </w:rPr>
        <w:t xml:space="preserve"> 유엔이 승인한 평화 협정은 중대한 </w:t>
      </w:r>
      <w:r w:rsidRPr="00A03B36">
        <w:rPr>
          <w:rFonts w:ascii="휴먼명조" w:eastAsia="휴먼명조" w:hAnsi="굴림" w:cs="굴림" w:hint="eastAsia"/>
          <w:color w:val="000000"/>
          <w:spacing w:val="-14"/>
          <w:kern w:val="0"/>
          <w:szCs w:val="20"/>
        </w:rPr>
        <w:t>범죄에 대한 사면을 약속할 수 없다.</w:t>
      </w:r>
      <w:r w:rsidR="0053143E">
        <w:rPr>
          <w:rStyle w:val="a6"/>
          <w:rFonts w:ascii="휴먼명조" w:eastAsia="휴먼명조" w:hAnsi="굴림" w:cs="굴림"/>
          <w:color w:val="000000"/>
          <w:spacing w:val="-14"/>
          <w:kern w:val="0"/>
          <w:szCs w:val="20"/>
        </w:rPr>
        <w:footnoteReference w:id="89"/>
      </w:r>
      <w:r w:rsidRPr="00A03B36">
        <w:rPr>
          <w:rFonts w:ascii="휴먼명조" w:eastAsia="휴먼명조" w:hAnsi="굴림" w:cs="굴림" w:hint="eastAsia"/>
          <w:color w:val="000000"/>
          <w:spacing w:val="-14"/>
          <w:kern w:val="0"/>
          <w:szCs w:val="20"/>
        </w:rPr>
        <w:t xml:space="preserve"> 또한 몇몇 국가의 고등법원</w:t>
      </w:r>
      <w:r w:rsidR="0053143E">
        <w:rPr>
          <w:rStyle w:val="a6"/>
          <w:rFonts w:ascii="휴먼명조" w:eastAsia="휴먼명조" w:hAnsi="굴림" w:cs="굴림"/>
          <w:color w:val="000000"/>
          <w:spacing w:val="-14"/>
          <w:kern w:val="0"/>
          <w:szCs w:val="20"/>
        </w:rPr>
        <w:footnoteReference w:id="90"/>
      </w:r>
      <w:r w:rsidRPr="00A03B36">
        <w:rPr>
          <w:rFonts w:ascii="휴먼명조" w:eastAsia="휴먼명조" w:hAnsi="굴림" w:cs="굴림" w:hint="eastAsia"/>
          <w:color w:val="000000"/>
          <w:spacing w:val="-14"/>
          <w:kern w:val="0"/>
          <w:szCs w:val="20"/>
        </w:rPr>
        <w:t>은 이행기 상황에서의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사면이 국제기준에 위배된다는 판결을 내렸다. 실무에 따르면 사면은 종종 새로운 위반을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방지한다는 목표를 달성하지 못하고, 오히려 수혜자들을 대담하게 만들어 추가 범죄를 </w:t>
      </w:r>
      <w:r w:rsidRPr="00A03B36">
        <w:rPr>
          <w:rFonts w:ascii="휴먼명조" w:eastAsia="휴먼명조" w:hAnsi="굴림" w:cs="굴림" w:hint="eastAsia"/>
          <w:color w:val="000000"/>
          <w:spacing w:val="-6"/>
          <w:kern w:val="0"/>
          <w:szCs w:val="20"/>
        </w:rPr>
        <w:t>저지르게 하였다.</w:t>
      </w:r>
      <w:r w:rsidR="0053143E">
        <w:rPr>
          <w:rStyle w:val="a6"/>
          <w:rFonts w:ascii="휴먼명조" w:eastAsia="휴먼명조" w:hAnsi="굴림" w:cs="굴림"/>
          <w:color w:val="000000"/>
          <w:spacing w:val="-6"/>
          <w:kern w:val="0"/>
          <w:szCs w:val="20"/>
        </w:rPr>
        <w:footnoteReference w:id="91"/>
      </w:r>
      <w:r w:rsidRPr="00A03B36">
        <w:rPr>
          <w:rFonts w:ascii="휴먼명조" w:eastAsia="휴먼명조" w:hAnsi="굴림" w:cs="굴림" w:hint="eastAsia"/>
          <w:color w:val="000000"/>
          <w:spacing w:val="-6"/>
          <w:kern w:val="0"/>
          <w:szCs w:val="20"/>
        </w:rPr>
        <w:t xml:space="preserve"> 마지막으로, 중대 범죄 가해자에 대한 인도주의적 사면은 사망이 </w:t>
      </w:r>
      <w:r w:rsidRPr="00A03B36">
        <w:rPr>
          <w:rFonts w:ascii="휴먼명조" w:eastAsia="휴먼명조" w:hAnsi="굴림" w:cs="굴림" w:hint="eastAsia"/>
          <w:color w:val="000000"/>
          <w:spacing w:val="-8"/>
          <w:kern w:val="0"/>
          <w:szCs w:val="20"/>
        </w:rPr>
        <w:t>임박한 불치병의 경우에만 허용된다.</w:t>
      </w:r>
      <w:r w:rsidR="0053143E">
        <w:rPr>
          <w:rStyle w:val="a6"/>
          <w:rFonts w:ascii="휴먼명조" w:eastAsia="휴먼명조" w:hAnsi="굴림" w:cs="굴림"/>
          <w:color w:val="000000"/>
          <w:spacing w:val="-8"/>
          <w:kern w:val="0"/>
          <w:szCs w:val="20"/>
        </w:rPr>
        <w:footnoteReference w:id="92"/>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공무원의 공무 능력은 계급이나 직무의 성질을 불문하고, 형을 감경하거나 책임을 면제하는 사유가 될 수 없다.</w:t>
      </w:r>
      <w:r w:rsidR="0053143E">
        <w:rPr>
          <w:rStyle w:val="a6"/>
          <w:rFonts w:ascii="휴먼명조" w:eastAsia="휴먼명조" w:hAnsi="굴림" w:cs="굴림"/>
          <w:color w:val="000000"/>
          <w:spacing w:val="-8"/>
          <w:kern w:val="0"/>
          <w:szCs w:val="20"/>
        </w:rPr>
        <w:footnoteReference w:id="93"/>
      </w:r>
      <w:r w:rsidRPr="00A03B36">
        <w:rPr>
          <w:rFonts w:ascii="휴먼명조" w:eastAsia="휴먼명조" w:hAnsi="굴림" w:cs="굴림" w:hint="eastAsia"/>
          <w:color w:val="000000"/>
          <w:spacing w:val="-8"/>
          <w:kern w:val="0"/>
          <w:szCs w:val="20"/>
        </w:rPr>
        <w:t xml:space="preserve"> 정당한 복종은 형을 감경하는 사유가 될 수 있지만 가해자의 책임을 면제할 수는 없다. 상급자가 하급자의 행동을 알고 있었거나 묵인한 경우, 상급자는 하급자의 행동에 책임을 진다.</w:t>
      </w:r>
      <w:r w:rsidR="0053143E">
        <w:rPr>
          <w:rStyle w:val="a6"/>
          <w:rFonts w:ascii="휴먼명조" w:eastAsia="휴먼명조" w:hAnsi="굴림" w:cs="굴림"/>
          <w:color w:val="000000"/>
          <w:spacing w:val="-8"/>
          <w:kern w:val="0"/>
          <w:szCs w:val="20"/>
        </w:rPr>
        <w:footnoteReference w:id="94"/>
      </w:r>
      <w:r w:rsidRPr="00A03B36">
        <w:rPr>
          <w:rFonts w:ascii="휴먼명조" w:eastAsia="휴먼명조" w:hAnsi="굴림" w:cs="굴림" w:hint="eastAsia"/>
          <w:color w:val="000000"/>
          <w:spacing w:val="-8"/>
          <w:kern w:val="0"/>
          <w:szCs w:val="20"/>
        </w:rPr>
        <w:t xml:space="preserve"> 군사재판소의 관할권은 군사 범죄에 구체적으로 </w:t>
      </w:r>
      <w:r w:rsidRPr="00A03B36">
        <w:rPr>
          <w:rFonts w:ascii="휴먼명조" w:eastAsia="휴먼명조" w:hAnsi="굴림" w:cs="굴림" w:hint="eastAsia"/>
          <w:color w:val="000000"/>
          <w:spacing w:val="-6"/>
          <w:kern w:val="0"/>
          <w:szCs w:val="20"/>
        </w:rPr>
        <w:t>제한되어야 하며, 일반 국내 법원의 관할권에 속하는 인권침해는 제외되어야 한다.</w:t>
      </w:r>
      <w:r w:rsidR="0053143E">
        <w:rPr>
          <w:rStyle w:val="a6"/>
          <w:rFonts w:ascii="휴먼명조" w:eastAsia="휴먼명조" w:hAnsi="굴림" w:cs="굴림"/>
          <w:color w:val="000000"/>
          <w:spacing w:val="-6"/>
          <w:kern w:val="0"/>
          <w:szCs w:val="20"/>
        </w:rPr>
        <w:footnoteReference w:id="95"/>
      </w:r>
      <w:r w:rsidRPr="00A03B36">
        <w:rPr>
          <w:rFonts w:ascii="휴먼명조" w:eastAsia="휴먼명조" w:hAnsi="굴림" w:cs="굴림" w:hint="eastAsia"/>
          <w:color w:val="000000"/>
          <w:spacing w:val="-6"/>
          <w:kern w:val="0"/>
          <w:szCs w:val="20"/>
        </w:rPr>
        <w:t xml:space="preserve"> 이</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원칙은 국제 보호 메커니즘</w:t>
      </w:r>
      <w:r w:rsidR="0053143E">
        <w:rPr>
          <w:rStyle w:val="a6"/>
          <w:rFonts w:ascii="휴먼명조" w:eastAsia="휴먼명조" w:hAnsi="굴림" w:cs="굴림"/>
          <w:color w:val="000000"/>
          <w:spacing w:val="-8"/>
          <w:kern w:val="0"/>
          <w:szCs w:val="20"/>
        </w:rPr>
        <w:footnoteReference w:id="96"/>
      </w:r>
      <w:r w:rsidRPr="00A03B36">
        <w:rPr>
          <w:rFonts w:ascii="휴먼명조" w:eastAsia="휴먼명조" w:hAnsi="굴림" w:cs="굴림" w:hint="eastAsia"/>
          <w:color w:val="000000"/>
          <w:spacing w:val="-8"/>
          <w:kern w:val="0"/>
          <w:szCs w:val="20"/>
        </w:rPr>
        <w:t>의 권고와 결정, 국제기구에서 강조되어 왔다.</w:t>
      </w:r>
      <w:r w:rsidR="0053143E">
        <w:rPr>
          <w:rStyle w:val="a6"/>
          <w:rFonts w:ascii="휴먼명조" w:eastAsia="휴먼명조" w:hAnsi="굴림" w:cs="굴림"/>
          <w:color w:val="000000"/>
          <w:spacing w:val="-8"/>
          <w:kern w:val="0"/>
          <w:szCs w:val="20"/>
        </w:rPr>
        <w:footnoteReference w:id="97"/>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lastRenderedPageBreak/>
        <w:t>폭로와 회개는 중요하지만, 가해자의 형사상 또는 기타 책임을 면제할 수는 없다.</w:t>
      </w:r>
      <w:r w:rsidR="0053143E">
        <w:rPr>
          <w:rStyle w:val="a6"/>
          <w:rFonts w:ascii="휴먼명조" w:eastAsia="휴먼명조" w:hAnsi="굴림" w:cs="굴림"/>
          <w:color w:val="000000"/>
          <w:spacing w:val="-2"/>
          <w:kern w:val="0"/>
          <w:szCs w:val="20"/>
        </w:rPr>
        <w:footnoteReference w:id="98"/>
      </w:r>
      <w:r w:rsidRPr="00A03B36">
        <w:rPr>
          <w:rFonts w:ascii="휴먼명조" w:eastAsia="휴먼명조" w:hAnsi="굴림" w:cs="굴림" w:hint="eastAsia"/>
          <w:color w:val="000000"/>
          <w:spacing w:val="-2"/>
          <w:kern w:val="0"/>
          <w:szCs w:val="20"/>
        </w:rPr>
        <w:t xml:space="preserve"> </w:t>
      </w:r>
      <w:r w:rsidRPr="00A03B36">
        <w:rPr>
          <w:rFonts w:ascii="휴먼명조" w:eastAsia="휴먼명조" w:hAnsi="굴림" w:cs="굴림" w:hint="eastAsia"/>
          <w:color w:val="000000"/>
          <w:spacing w:val="-4"/>
          <w:kern w:val="0"/>
          <w:szCs w:val="20"/>
        </w:rPr>
        <w:t>비구금형과 같은 회복적 성격의 특별 제재는 형사 제재를 대체할 수 없으며, 범죄의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중대성에 비해 </w:t>
      </w:r>
      <w:proofErr w:type="spellStart"/>
      <w:r w:rsidRPr="00A03B36">
        <w:rPr>
          <w:rFonts w:ascii="휴먼명조" w:eastAsia="휴먼명조" w:hAnsi="굴림" w:cs="굴림" w:hint="eastAsia"/>
          <w:color w:val="000000"/>
          <w:spacing w:val="-8"/>
          <w:kern w:val="0"/>
          <w:szCs w:val="20"/>
        </w:rPr>
        <w:t>불균형할</w:t>
      </w:r>
      <w:proofErr w:type="spellEnd"/>
      <w:r w:rsidRPr="00A03B36">
        <w:rPr>
          <w:rFonts w:ascii="휴먼명조" w:eastAsia="휴먼명조" w:hAnsi="굴림" w:cs="굴림" w:hint="eastAsia"/>
          <w:color w:val="000000"/>
          <w:spacing w:val="-8"/>
          <w:kern w:val="0"/>
          <w:szCs w:val="20"/>
        </w:rPr>
        <w:t xml:space="preserve"> 경우 국가의 의무를 위반할 수 있다.</w:t>
      </w:r>
      <w:r w:rsidR="0053143E">
        <w:rPr>
          <w:rStyle w:val="a6"/>
          <w:rFonts w:ascii="휴먼명조" w:eastAsia="휴먼명조" w:hAnsi="굴림" w:cs="굴림"/>
          <w:color w:val="000000"/>
          <w:spacing w:val="-8"/>
          <w:kern w:val="0"/>
          <w:szCs w:val="20"/>
        </w:rPr>
        <w:footnoteReference w:id="99"/>
      </w:r>
      <w:r w:rsidRPr="00A03B36">
        <w:rPr>
          <w:rFonts w:ascii="휴먼명조" w:eastAsia="휴먼명조" w:hAnsi="굴림" w:cs="굴림" w:hint="eastAsia"/>
          <w:color w:val="000000"/>
          <w:spacing w:val="-8"/>
          <w:kern w:val="0"/>
          <w:szCs w:val="20"/>
        </w:rPr>
        <w:t xml:space="preserve"> 이러한 의미에서 국가는 </w:t>
      </w:r>
      <w:r w:rsidRPr="00A03B36">
        <w:rPr>
          <w:rFonts w:ascii="휴먼명조" w:eastAsia="휴먼명조" w:hAnsi="굴림" w:cs="굴림" w:hint="eastAsia"/>
          <w:color w:val="000000"/>
          <w:spacing w:val="-12"/>
          <w:kern w:val="0"/>
          <w:szCs w:val="20"/>
        </w:rPr>
        <w:t>정의 실현을 위해 기소 및 유죄 판결과 함께 진실한 조치를 수반해야 한다는 점을 상기할</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필요가 있다.</w:t>
      </w:r>
      <w:r w:rsidR="0053143E">
        <w:rPr>
          <w:rStyle w:val="a6"/>
          <w:rFonts w:ascii="휴먼명조" w:eastAsia="휴먼명조" w:hAnsi="굴림" w:cs="굴림"/>
          <w:color w:val="000000"/>
          <w:spacing w:val="-8"/>
          <w:kern w:val="0"/>
          <w:szCs w:val="20"/>
        </w:rPr>
        <w:footnoteReference w:id="100"/>
      </w:r>
      <w:r w:rsidRPr="00A03B36">
        <w:rPr>
          <w:rFonts w:ascii="휴먼명조" w:eastAsia="휴먼명조" w:hAnsi="굴림" w:cs="굴림" w:hint="eastAsia"/>
          <w:color w:val="000000"/>
          <w:spacing w:val="-8"/>
          <w:kern w:val="0"/>
          <w:szCs w:val="20"/>
        </w:rPr>
        <w:t xml:space="preserve"> 마지막으로, 중대한 범죄를 저지른 사람은 외교적 </w:t>
      </w:r>
      <w:proofErr w:type="spellStart"/>
      <w:r w:rsidRPr="00A03B36">
        <w:rPr>
          <w:rFonts w:ascii="휴먼명조" w:eastAsia="휴먼명조" w:hAnsi="굴림" w:cs="굴림" w:hint="eastAsia"/>
          <w:color w:val="000000"/>
          <w:spacing w:val="-8"/>
          <w:kern w:val="0"/>
          <w:szCs w:val="20"/>
        </w:rPr>
        <w:t>망명권</w:t>
      </w:r>
      <w:proofErr w:type="spellEnd"/>
      <w:r w:rsidR="0053143E">
        <w:rPr>
          <w:rStyle w:val="a6"/>
          <w:rFonts w:ascii="휴먼명조" w:eastAsia="휴먼명조" w:hAnsi="굴림" w:cs="굴림"/>
          <w:color w:val="000000"/>
          <w:spacing w:val="-8"/>
          <w:kern w:val="0"/>
          <w:szCs w:val="20"/>
        </w:rPr>
        <w:footnoteReference w:id="101"/>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또는</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인도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금지 원칙과 같은 특별 보호의 혜택을 받아서는 안 되나,</w:t>
      </w:r>
      <w:r w:rsidR="0053143E">
        <w:rPr>
          <w:rStyle w:val="a6"/>
          <w:rFonts w:ascii="휴먼명조" w:eastAsia="휴먼명조" w:hAnsi="굴림" w:cs="굴림"/>
          <w:color w:val="000000"/>
          <w:spacing w:val="-12"/>
          <w:kern w:val="0"/>
          <w:szCs w:val="20"/>
        </w:rPr>
        <w:footnoteReference w:id="102"/>
      </w:r>
      <w:r w:rsidRPr="00A03B36">
        <w:rPr>
          <w:rFonts w:ascii="휴먼명조" w:eastAsia="휴먼명조" w:hAnsi="굴림" w:cs="굴림" w:hint="eastAsia"/>
          <w:color w:val="000000"/>
          <w:spacing w:val="-12"/>
          <w:kern w:val="0"/>
          <w:szCs w:val="20"/>
        </w:rPr>
        <w:t xml:space="preserve"> 생명이나 신체적 또는 정신적</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완전성이 심각한 위험에 처할 수 있는 경우를 제외한다.</w:t>
      </w:r>
      <w:r w:rsidR="0053143E">
        <w:rPr>
          <w:rStyle w:val="a6"/>
          <w:rFonts w:ascii="휴먼명조" w:eastAsia="휴먼명조" w:hAnsi="굴림" w:cs="굴림"/>
          <w:color w:val="000000"/>
          <w:spacing w:val="-8"/>
          <w:kern w:val="0"/>
          <w:szCs w:val="20"/>
        </w:rPr>
        <w:footnoteReference w:id="103"/>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2. 의무적이고 적절한 형사 제재</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6"/>
          <w:kern w:val="0"/>
          <w:szCs w:val="20"/>
        </w:rPr>
        <w:t xml:space="preserve">형법상 선고된 최종 판결에 따른 형벌의 형태로 가해자를 제재하는 것은 정의의 </w:t>
      </w:r>
      <w:r w:rsidRPr="00A03B36">
        <w:rPr>
          <w:rFonts w:ascii="휴먼명조" w:eastAsia="휴먼명조" w:hAnsi="굴림" w:cs="굴림" w:hint="eastAsia"/>
          <w:color w:val="000000"/>
          <w:spacing w:val="-10"/>
          <w:kern w:val="0"/>
          <w:szCs w:val="20"/>
        </w:rPr>
        <w:t>기둥</w:t>
      </w:r>
      <w:r w:rsidR="0053143E">
        <w:rPr>
          <w:rStyle w:val="a6"/>
          <w:rFonts w:ascii="휴먼명조" w:eastAsia="휴먼명조" w:hAnsi="굴림" w:cs="굴림"/>
          <w:color w:val="000000"/>
          <w:spacing w:val="-10"/>
          <w:kern w:val="0"/>
          <w:szCs w:val="20"/>
        </w:rPr>
        <w:footnoteReference w:id="104"/>
      </w:r>
      <w:r w:rsidRPr="00A03B36">
        <w:rPr>
          <w:rFonts w:ascii="휴먼명조" w:eastAsia="휴먼명조" w:hAnsi="굴림" w:cs="굴림" w:hint="eastAsia"/>
          <w:color w:val="000000"/>
          <w:spacing w:val="-10"/>
          <w:kern w:val="0"/>
          <w:szCs w:val="20"/>
        </w:rPr>
        <w:t>의 중요한 부분이며 가장 효과적인 예방 방법 중 하나이다.</w:t>
      </w:r>
      <w:r w:rsidR="0053143E">
        <w:rPr>
          <w:rStyle w:val="a6"/>
          <w:rFonts w:ascii="휴먼명조" w:eastAsia="휴먼명조" w:hAnsi="굴림" w:cs="굴림"/>
          <w:color w:val="000000"/>
          <w:spacing w:val="-10"/>
          <w:kern w:val="0"/>
          <w:szCs w:val="20"/>
        </w:rPr>
        <w:footnoteReference w:id="105"/>
      </w:r>
      <w:r w:rsidRPr="00A03B36">
        <w:rPr>
          <w:rFonts w:ascii="휴먼명조" w:eastAsia="휴먼명조" w:hAnsi="굴림" w:cs="굴림" w:hint="eastAsia"/>
          <w:color w:val="000000"/>
          <w:spacing w:val="-10"/>
          <w:kern w:val="0"/>
          <w:szCs w:val="20"/>
        </w:rPr>
        <w:t xml:space="preserve"> 심각한 인권침해에</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4"/>
          <w:kern w:val="0"/>
          <w:szCs w:val="20"/>
        </w:rPr>
        <w:t>대한 처벌은 일반 국제법상 의무이다.</w:t>
      </w:r>
      <w:r w:rsidR="00227BAB">
        <w:rPr>
          <w:rStyle w:val="a6"/>
          <w:rFonts w:ascii="휴먼명조" w:eastAsia="휴먼명조" w:hAnsi="굴림" w:cs="굴림"/>
          <w:color w:val="000000"/>
          <w:spacing w:val="-4"/>
          <w:kern w:val="0"/>
          <w:szCs w:val="20"/>
        </w:rPr>
        <w:footnoteReference w:id="106"/>
      </w:r>
      <w:r w:rsidRPr="00A03B36">
        <w:rPr>
          <w:rFonts w:ascii="휴먼명조" w:eastAsia="휴먼명조" w:hAnsi="굴림" w:cs="굴림" w:hint="eastAsia"/>
          <w:color w:val="000000"/>
          <w:spacing w:val="-4"/>
          <w:kern w:val="0"/>
          <w:szCs w:val="20"/>
        </w:rPr>
        <w:t xml:space="preserve"> 처벌은 적절해야 하며, 범죄의 중대성</w:t>
      </w:r>
      <w:r w:rsidR="00227BAB">
        <w:rPr>
          <w:rStyle w:val="a6"/>
          <w:rFonts w:ascii="휴먼명조" w:eastAsia="휴먼명조" w:hAnsi="굴림" w:cs="굴림"/>
          <w:color w:val="000000"/>
          <w:spacing w:val="-4"/>
          <w:kern w:val="0"/>
          <w:szCs w:val="20"/>
        </w:rPr>
        <w:footnoteReference w:id="107"/>
      </w:r>
      <w:r w:rsidRPr="00A03B36">
        <w:rPr>
          <w:rFonts w:ascii="휴먼명조" w:eastAsia="휴먼명조" w:hAnsi="굴림" w:cs="굴림" w:hint="eastAsia"/>
          <w:color w:val="000000"/>
          <w:spacing w:val="-4"/>
          <w:kern w:val="0"/>
          <w:szCs w:val="20"/>
        </w:rPr>
        <w:t xml:space="preserve">과 </w:t>
      </w:r>
      <w:r w:rsidRPr="00A03B36">
        <w:rPr>
          <w:rFonts w:ascii="휴먼명조" w:eastAsia="휴먼명조" w:hAnsi="굴림" w:cs="굴림" w:hint="eastAsia"/>
          <w:color w:val="000000"/>
          <w:spacing w:val="-8"/>
          <w:kern w:val="0"/>
          <w:szCs w:val="20"/>
        </w:rPr>
        <w:t>성격, 피고인의 가담과 과실을 고려해야 한다. 예를 들어 국제형사재판소 로마 규정은 여기에 명시된 범죄에 적용할 수 있는 처벌의 범위를 규정한다.</w:t>
      </w:r>
      <w:r w:rsidR="00227BAB">
        <w:rPr>
          <w:rStyle w:val="a6"/>
          <w:rFonts w:ascii="휴먼명조" w:eastAsia="휴먼명조" w:hAnsi="굴림" w:cs="굴림"/>
          <w:color w:val="000000"/>
          <w:spacing w:val="-8"/>
          <w:kern w:val="0"/>
          <w:szCs w:val="20"/>
        </w:rPr>
        <w:footnoteReference w:id="108"/>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lastRenderedPageBreak/>
        <w:t xml:space="preserve">국가는 형의 결정과 집행을 방해하지 않아야 하므로, 감형 또는 형의 면제는 제한되어야 </w:t>
      </w:r>
      <w:r w:rsidRPr="00A03B36">
        <w:rPr>
          <w:rFonts w:ascii="휴먼명조" w:eastAsia="휴먼명조" w:hAnsi="굴림" w:cs="굴림" w:hint="eastAsia"/>
          <w:color w:val="000000"/>
          <w:spacing w:val="-12"/>
          <w:kern w:val="0"/>
          <w:szCs w:val="20"/>
        </w:rPr>
        <w:t>한다.</w:t>
      </w:r>
      <w:r w:rsidR="00227BAB">
        <w:rPr>
          <w:rStyle w:val="a6"/>
          <w:rFonts w:ascii="휴먼명조" w:eastAsia="휴먼명조" w:hAnsi="굴림" w:cs="굴림"/>
          <w:color w:val="000000"/>
          <w:spacing w:val="-12"/>
          <w:kern w:val="0"/>
          <w:szCs w:val="20"/>
        </w:rPr>
        <w:footnoteReference w:id="109"/>
      </w:r>
      <w:r w:rsidRPr="00A03B36">
        <w:rPr>
          <w:rFonts w:ascii="휴먼명조" w:eastAsia="휴먼명조" w:hAnsi="굴림" w:cs="굴림" w:hint="eastAsia"/>
          <w:color w:val="000000"/>
          <w:spacing w:val="-12"/>
          <w:kern w:val="0"/>
          <w:szCs w:val="20"/>
        </w:rPr>
        <w:t xml:space="preserve"> 수사에 협조하는 경우 징역 기간이 감형될 수 있지만; 그럼에도 불구하고 형기의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일정 부분이 집행되어야 한다.</w:t>
      </w:r>
      <w:r w:rsidR="00227BAB">
        <w:rPr>
          <w:rStyle w:val="a6"/>
          <w:rFonts w:ascii="휴먼명조" w:eastAsia="휴먼명조" w:hAnsi="굴림" w:cs="굴림"/>
          <w:color w:val="000000"/>
          <w:spacing w:val="-8"/>
          <w:kern w:val="0"/>
          <w:szCs w:val="20"/>
        </w:rPr>
        <w:footnoteReference w:id="110"/>
      </w:r>
      <w:r w:rsidRPr="00A03B36">
        <w:rPr>
          <w:rFonts w:ascii="휴먼명조" w:eastAsia="휴먼명조" w:hAnsi="굴림" w:cs="굴림" w:hint="eastAsia"/>
          <w:color w:val="000000"/>
          <w:spacing w:val="-8"/>
          <w:kern w:val="0"/>
          <w:szCs w:val="20"/>
        </w:rPr>
        <w:t xml:space="preserve"> 관용은 형사사법을 유명무실하게 만드는 효과가 있어</w:t>
      </w:r>
      <w:r w:rsidRPr="00A03B36">
        <w:rPr>
          <w:rFonts w:ascii="휴먼명조" w:eastAsia="휴먼명조" w:hAnsi="굴림" w:cs="굴림" w:hint="eastAsia"/>
          <w:color w:val="000000"/>
          <w:spacing w:val="-6"/>
          <w:kern w:val="0"/>
          <w:szCs w:val="20"/>
        </w:rPr>
        <w:t>서는 안 되며,</w:t>
      </w:r>
      <w:r w:rsidR="00227BAB">
        <w:rPr>
          <w:rStyle w:val="a6"/>
          <w:rFonts w:ascii="휴먼명조" w:eastAsia="휴먼명조" w:hAnsi="굴림" w:cs="굴림"/>
          <w:color w:val="000000"/>
          <w:spacing w:val="-6"/>
          <w:kern w:val="0"/>
          <w:szCs w:val="20"/>
        </w:rPr>
        <w:footnoteReference w:id="111"/>
      </w:r>
      <w:r w:rsidRPr="00A03B36">
        <w:rPr>
          <w:rFonts w:ascii="휴먼명조" w:eastAsia="휴먼명조" w:hAnsi="굴림" w:cs="굴림" w:hint="eastAsia"/>
          <w:color w:val="000000"/>
          <w:spacing w:val="-6"/>
          <w:kern w:val="0"/>
          <w:szCs w:val="20"/>
        </w:rPr>
        <w:t xml:space="preserve"> 조기 석방이나 형 집행 무효화 요청은 피해자의 사법권을 고려하여 </w:t>
      </w:r>
      <w:r w:rsidRPr="00A03B36">
        <w:rPr>
          <w:rFonts w:ascii="휴먼명조" w:eastAsia="휴먼명조" w:hAnsi="굴림" w:cs="굴림" w:hint="eastAsia"/>
          <w:color w:val="000000"/>
          <w:spacing w:val="-8"/>
          <w:kern w:val="0"/>
          <w:szCs w:val="20"/>
        </w:rPr>
        <w:t xml:space="preserve">필요성과 </w:t>
      </w:r>
      <w:proofErr w:type="spellStart"/>
      <w:r w:rsidRPr="00A03B36">
        <w:rPr>
          <w:rFonts w:ascii="휴먼명조" w:eastAsia="휴먼명조" w:hAnsi="굴림" w:cs="굴림" w:hint="eastAsia"/>
          <w:color w:val="000000"/>
          <w:spacing w:val="-8"/>
          <w:kern w:val="0"/>
          <w:szCs w:val="20"/>
        </w:rPr>
        <w:t>비례성</w:t>
      </w:r>
      <w:proofErr w:type="spellEnd"/>
      <w:r w:rsidRPr="00A03B36">
        <w:rPr>
          <w:rFonts w:ascii="휴먼명조" w:eastAsia="휴먼명조" w:hAnsi="굴림" w:cs="굴림" w:hint="eastAsia"/>
          <w:color w:val="000000"/>
          <w:spacing w:val="-8"/>
          <w:kern w:val="0"/>
          <w:szCs w:val="20"/>
        </w:rPr>
        <w:t xml:space="preserve"> 측면에서 평가되어야 한다.</w:t>
      </w:r>
      <w:r w:rsidR="00227BAB">
        <w:rPr>
          <w:rStyle w:val="a6"/>
          <w:rFonts w:ascii="휴먼명조" w:eastAsia="휴먼명조" w:hAnsi="굴림" w:cs="굴림"/>
          <w:color w:val="000000"/>
          <w:spacing w:val="-8"/>
          <w:kern w:val="0"/>
          <w:szCs w:val="20"/>
        </w:rPr>
        <w:footnoteReference w:id="112"/>
      </w:r>
      <w:r w:rsidRPr="00A03B36">
        <w:rPr>
          <w:rFonts w:ascii="휴먼명조" w:eastAsia="휴먼명조" w:hAnsi="굴림" w:cs="굴림" w:hint="eastAsia"/>
          <w:color w:val="000000"/>
          <w:spacing w:val="-8"/>
          <w:kern w:val="0"/>
          <w:szCs w:val="20"/>
        </w:rPr>
        <w:t xml:space="preserve"> 보건 비상사태 또는 교도소 과밀 사례의 특별 조치는 사면 또는 감면의 정당화 요건이 아니며 비상 상황에서 필요한 이송 또는 가택 연금은 엄격하게 일시적이어야 한다.</w:t>
      </w:r>
      <w:r w:rsidR="00227BAB">
        <w:rPr>
          <w:rStyle w:val="a6"/>
          <w:rFonts w:ascii="휴먼명조" w:eastAsia="휴먼명조" w:hAnsi="굴림" w:cs="굴림"/>
          <w:color w:val="000000"/>
          <w:spacing w:val="-8"/>
          <w:kern w:val="0"/>
          <w:szCs w:val="20"/>
        </w:rPr>
        <w:footnoteReference w:id="113"/>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Ⅵ</w:t>
      </w:r>
      <w:proofErr w:type="spellEnd"/>
      <w:r w:rsidRPr="00A03B36">
        <w:rPr>
          <w:rFonts w:ascii="휴먼명조" w:eastAsia="휴먼명조" w:hAnsi="굴림" w:cs="굴림" w:hint="eastAsia"/>
          <w:b/>
          <w:bCs/>
          <w:color w:val="000000"/>
          <w:kern w:val="0"/>
          <w:sz w:val="26"/>
          <w:szCs w:val="26"/>
        </w:rPr>
        <w:t>. 배상</w:t>
      </w:r>
    </w:p>
    <w:p w:rsidR="00A03B36" w:rsidRPr="00A03B36" w:rsidRDefault="00A03B36" w:rsidP="00A03B36">
      <w:pPr>
        <w:spacing w:after="0" w:line="384" w:lineRule="auto"/>
        <w:textAlignment w:val="baseline"/>
        <w:rPr>
          <w:rFonts w:ascii="함초롬바탕" w:eastAsia="굴림"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A. 일반적 고려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심각한 인권과 </w:t>
      </w:r>
      <w:proofErr w:type="spellStart"/>
      <w:r w:rsidRPr="00A03B36">
        <w:rPr>
          <w:rFonts w:ascii="휴먼명조" w:eastAsia="휴먼명조" w:hAnsi="굴림" w:cs="굴림" w:hint="eastAsia"/>
          <w:color w:val="000000"/>
          <w:spacing w:val="-8"/>
          <w:kern w:val="0"/>
          <w:szCs w:val="20"/>
        </w:rPr>
        <w:t>인도법</w:t>
      </w:r>
      <w:proofErr w:type="spellEnd"/>
      <w:r w:rsidRPr="00A03B36">
        <w:rPr>
          <w:rFonts w:ascii="휴먼명조" w:eastAsia="휴먼명조" w:hAnsi="굴림" w:cs="굴림" w:hint="eastAsia"/>
          <w:color w:val="000000"/>
          <w:spacing w:val="-8"/>
          <w:kern w:val="0"/>
          <w:szCs w:val="20"/>
        </w:rPr>
        <w:t xml:space="preserve"> 위반의 맥락에서 국가는 피해자가 입은 피해에 대해 쉽게 이용할 수 있고 신속하며 효과적인 배상을 제공해야 한다.</w:t>
      </w:r>
      <w:r w:rsidR="00227BAB">
        <w:rPr>
          <w:rStyle w:val="a6"/>
          <w:rFonts w:ascii="휴먼명조" w:eastAsia="휴먼명조" w:hAnsi="굴림" w:cs="굴림"/>
          <w:color w:val="000000"/>
          <w:spacing w:val="-8"/>
          <w:kern w:val="0"/>
          <w:szCs w:val="20"/>
        </w:rPr>
        <w:footnoteReference w:id="114"/>
      </w:r>
      <w:r w:rsidRPr="00A03B36">
        <w:rPr>
          <w:rFonts w:ascii="휴먼명조" w:eastAsia="휴먼명조" w:hAnsi="굴림" w:cs="굴림" w:hint="eastAsia"/>
          <w:color w:val="000000"/>
          <w:spacing w:val="-8"/>
          <w:kern w:val="0"/>
          <w:szCs w:val="20"/>
        </w:rPr>
        <w:t xml:space="preserve"> 이러한 의무는 인권침해 및 국제인도법 위반 피해자에게 구제를 제공해야 하는 국가의 일반적인 의무에서 비롯된다.</w:t>
      </w:r>
      <w:r w:rsidR="00227BAB">
        <w:rPr>
          <w:rStyle w:val="a6"/>
          <w:rFonts w:ascii="휴먼명조" w:eastAsia="휴먼명조" w:hAnsi="굴림" w:cs="굴림"/>
          <w:color w:val="000000"/>
          <w:spacing w:val="-8"/>
          <w:kern w:val="0"/>
          <w:szCs w:val="20"/>
        </w:rPr>
        <w:footnoteReference w:id="115"/>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6"/>
          <w:kern w:val="0"/>
          <w:szCs w:val="20"/>
        </w:rPr>
        <w:t xml:space="preserve">국제인권법의 중대한 위반행위 및 국제인도법의 심각한 위반행위 피해자를 위한 </w:t>
      </w:r>
      <w:r w:rsidRPr="00A03B36">
        <w:rPr>
          <w:rFonts w:ascii="휴먼명조" w:eastAsia="휴먼명조" w:hAnsi="굴림" w:cs="굴림" w:hint="eastAsia"/>
          <w:color w:val="000000"/>
          <w:spacing w:val="-4"/>
          <w:kern w:val="0"/>
          <w:szCs w:val="20"/>
        </w:rPr>
        <w:t>구제 및 배상에 대한 권리에 관한 기본 원칙과 지침</w:t>
      </w:r>
      <w:r w:rsidRPr="00A03B36">
        <w:rPr>
          <w:rFonts w:ascii="휴먼명조" w:eastAsia="휴먼명조" w:hAnsi="굴림" w:cs="굴림" w:hint="eastAsia"/>
          <w:color w:val="000000"/>
          <w:spacing w:val="-12"/>
          <w:kern w:val="0"/>
          <w:szCs w:val="20"/>
        </w:rPr>
        <w:t>에는 배상에 관한 관련 규정이 정리</w:t>
      </w:r>
      <w:r w:rsidRPr="00A03B36">
        <w:rPr>
          <w:rFonts w:ascii="휴먼명조" w:eastAsia="휴먼명조" w:hAnsi="굴림" w:cs="굴림" w:hint="eastAsia"/>
          <w:color w:val="000000"/>
          <w:spacing w:val="-8"/>
          <w:kern w:val="0"/>
          <w:szCs w:val="20"/>
        </w:rPr>
        <w:t xml:space="preserve">되어 있으며 국제 법원에서 점점 더 많이 적용되고 있다. 인권 메커니즘과 국가, 지역 </w:t>
      </w:r>
      <w:r w:rsidRPr="00A03B36">
        <w:rPr>
          <w:rFonts w:ascii="휴먼명조" w:eastAsia="휴먼명조" w:hAnsi="굴림" w:cs="굴림" w:hint="eastAsia"/>
          <w:color w:val="000000"/>
          <w:spacing w:val="-12"/>
          <w:kern w:val="0"/>
          <w:szCs w:val="20"/>
        </w:rPr>
        <w:t>및 국제 법원은 배상에 관한 풍부한 법리를 발전시켜 왔다.</w:t>
      </w:r>
      <w:r w:rsidR="00227BAB">
        <w:rPr>
          <w:rStyle w:val="a6"/>
          <w:rFonts w:ascii="휴먼명조" w:eastAsia="휴먼명조" w:hAnsi="굴림" w:cs="굴림"/>
          <w:color w:val="000000"/>
          <w:spacing w:val="-12"/>
          <w:kern w:val="0"/>
          <w:szCs w:val="20"/>
        </w:rPr>
        <w:footnoteReference w:id="116"/>
      </w:r>
      <w:r w:rsidRPr="00A03B36">
        <w:rPr>
          <w:rFonts w:ascii="휴먼명조" w:eastAsia="휴먼명조" w:hAnsi="굴림" w:cs="굴림" w:hint="eastAsia"/>
          <w:color w:val="000000"/>
          <w:spacing w:val="-12"/>
          <w:kern w:val="0"/>
          <w:szCs w:val="20"/>
        </w:rPr>
        <w:t xml:space="preserve"> 국가는 배상 판결의 집행을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보장해야 하며, 행정 및 입법 결정에 따라 국가 </w:t>
      </w:r>
      <w:r w:rsidRPr="00A03B36">
        <w:rPr>
          <w:rFonts w:ascii="휴먼명조" w:eastAsia="휴먼명조" w:hAnsi="굴림" w:cs="굴림" w:hint="eastAsia"/>
          <w:color w:val="000000"/>
          <w:spacing w:val="-8"/>
          <w:kern w:val="0"/>
          <w:szCs w:val="20"/>
        </w:rPr>
        <w:lastRenderedPageBreak/>
        <w:t>또는 국제 기금으로 피해자에게 배상을 제공하기 위한 프로그램을 수립할 수 있다.</w:t>
      </w:r>
      <w:r w:rsidR="00227BAB">
        <w:rPr>
          <w:rStyle w:val="a6"/>
          <w:rFonts w:ascii="휴먼명조" w:eastAsia="휴먼명조" w:hAnsi="굴림" w:cs="굴림"/>
          <w:color w:val="000000"/>
          <w:spacing w:val="-8"/>
          <w:kern w:val="0"/>
          <w:szCs w:val="20"/>
        </w:rPr>
        <w:footnoteReference w:id="117"/>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배상은 모든 피해에 대해 이루어져야 하며, 위반의 심각성과 피해에 비례해야 한다.</w:t>
      </w:r>
      <w:r w:rsidR="00227BAB">
        <w:rPr>
          <w:rStyle w:val="a6"/>
          <w:rFonts w:ascii="휴먼명조" w:eastAsia="휴먼명조" w:hAnsi="굴림" w:cs="굴림"/>
          <w:color w:val="000000"/>
          <w:spacing w:val="-8"/>
          <w:kern w:val="0"/>
          <w:szCs w:val="20"/>
        </w:rPr>
        <w:footnoteReference w:id="118"/>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4"/>
          <w:kern w:val="0"/>
          <w:szCs w:val="20"/>
        </w:rPr>
        <w:t xml:space="preserve">배상을 받을 권리가 실현되려면 국가와 위반에 관련된 다른 행위자들의 책임 인정이 </w:t>
      </w:r>
      <w:r w:rsidRPr="00A03B36">
        <w:rPr>
          <w:rFonts w:ascii="휴먼명조" w:eastAsia="휴먼명조" w:hAnsi="굴림" w:cs="굴림" w:hint="eastAsia"/>
          <w:color w:val="000000"/>
          <w:spacing w:val="-10"/>
          <w:kern w:val="0"/>
          <w:szCs w:val="20"/>
        </w:rPr>
        <w:t>필수적이다.</w:t>
      </w:r>
      <w:r w:rsidR="00227BAB">
        <w:rPr>
          <w:rStyle w:val="a6"/>
          <w:rFonts w:ascii="휴먼명조" w:eastAsia="휴먼명조" w:hAnsi="굴림" w:cs="굴림"/>
          <w:color w:val="000000"/>
          <w:spacing w:val="-10"/>
          <w:kern w:val="0"/>
          <w:szCs w:val="20"/>
        </w:rPr>
        <w:footnoteReference w:id="119"/>
      </w:r>
      <w:r w:rsidRPr="00A03B36">
        <w:rPr>
          <w:rFonts w:ascii="휴먼명조" w:eastAsia="휴먼명조" w:hAnsi="굴림" w:cs="굴림" w:hint="eastAsia"/>
          <w:color w:val="000000"/>
          <w:spacing w:val="-10"/>
          <w:kern w:val="0"/>
          <w:szCs w:val="20"/>
        </w:rPr>
        <w:t xml:space="preserve"> 특별보고관은 배상에 대한 사법적 접근방식이 배상 규모를 결정하기 위해</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원상회복(</w:t>
      </w:r>
      <w:r w:rsidRPr="00A03B36">
        <w:rPr>
          <w:rFonts w:ascii="휴먼명조" w:eastAsia="휴먼명조" w:hAnsi="굴림" w:cs="굴림" w:hint="eastAsia"/>
          <w:i/>
          <w:iCs/>
          <w:color w:val="000000"/>
          <w:spacing w:val="-8"/>
          <w:kern w:val="0"/>
          <w:szCs w:val="20"/>
        </w:rPr>
        <w:t>restitutio in integrum</w:t>
      </w:r>
      <w:r w:rsidRPr="00A03B36">
        <w:rPr>
          <w:rFonts w:ascii="휴먼명조" w:eastAsia="휴먼명조" w:hAnsi="굴림" w:cs="굴림" w:hint="eastAsia"/>
          <w:color w:val="000000"/>
          <w:spacing w:val="-8"/>
          <w:kern w:val="0"/>
          <w:szCs w:val="20"/>
        </w:rPr>
        <w:t>)이라는 기준을 정한 것에 주목했다.</w:t>
      </w:r>
      <w:r w:rsidR="00227BAB">
        <w:rPr>
          <w:rStyle w:val="a6"/>
          <w:rFonts w:ascii="휴먼명조" w:eastAsia="휴먼명조" w:hAnsi="굴림" w:cs="굴림"/>
          <w:color w:val="000000"/>
          <w:spacing w:val="-8"/>
          <w:kern w:val="0"/>
          <w:szCs w:val="20"/>
        </w:rPr>
        <w:footnoteReference w:id="120"/>
      </w:r>
      <w:r w:rsidRPr="00A03B36">
        <w:rPr>
          <w:rFonts w:ascii="휴먼명조" w:eastAsia="휴먼명조" w:hAnsi="굴림" w:cs="굴림" w:hint="eastAsia"/>
          <w:color w:val="000000"/>
          <w:spacing w:val="-8"/>
          <w:kern w:val="0"/>
          <w:szCs w:val="20"/>
        </w:rPr>
        <w:t xml:space="preserve"> 이는 배상이 보상</w:t>
      </w:r>
      <w:r w:rsidRPr="00A03B36">
        <w:rPr>
          <w:rFonts w:ascii="휴먼명조" w:eastAsia="휴먼명조" w:hAnsi="굴림" w:cs="굴림" w:hint="eastAsia"/>
          <w:color w:val="000000"/>
          <w:spacing w:val="-6"/>
          <w:kern w:val="0"/>
          <w:szCs w:val="20"/>
        </w:rPr>
        <w:t xml:space="preserve">(compensation), 원상회복(restitution), 재활(rehabilitation), 만족(satisfaction), 재발 방지 </w:t>
      </w:r>
      <w:r w:rsidRPr="00A03B36">
        <w:rPr>
          <w:rFonts w:ascii="휴먼명조" w:eastAsia="휴먼명조" w:hAnsi="굴림" w:cs="굴림" w:hint="eastAsia"/>
          <w:color w:val="000000"/>
          <w:spacing w:val="-8"/>
          <w:kern w:val="0"/>
          <w:szCs w:val="20"/>
        </w:rPr>
        <w:t>보장(guarantees of non-repetition)을 포함해야 한다는 것을 의미한다.</w:t>
      </w:r>
      <w:r w:rsidR="00227BAB">
        <w:rPr>
          <w:rStyle w:val="a6"/>
          <w:rFonts w:ascii="휴먼명조" w:eastAsia="휴먼명조" w:hAnsi="굴림" w:cs="굴림"/>
          <w:color w:val="000000"/>
          <w:spacing w:val="-8"/>
          <w:kern w:val="0"/>
          <w:szCs w:val="20"/>
        </w:rPr>
        <w:footnoteReference w:id="121"/>
      </w:r>
      <w:r w:rsidRPr="00A03B36">
        <w:rPr>
          <w:rFonts w:ascii="휴먼명조" w:eastAsia="휴먼명조" w:hAnsi="굴림" w:cs="굴림" w:hint="eastAsia"/>
          <w:color w:val="000000"/>
          <w:spacing w:val="-8"/>
          <w:kern w:val="0"/>
          <w:szCs w:val="20"/>
        </w:rPr>
        <w:t xml:space="preserve"> 배상은 진실, 정의, 재발 방지 보장의 제공과 연결되는 것이 중요하며, 관대한 배상 제도를 활용하여 면책을 더 용인하는 것은 용납될 수 없는 것으로 간주된다.</w:t>
      </w:r>
      <w:r w:rsidR="00227BAB">
        <w:rPr>
          <w:rStyle w:val="a6"/>
          <w:rFonts w:ascii="휴먼명조" w:eastAsia="휴먼명조" w:hAnsi="굴림" w:cs="굴림"/>
          <w:color w:val="000000"/>
          <w:spacing w:val="-8"/>
          <w:kern w:val="0"/>
          <w:szCs w:val="20"/>
        </w:rPr>
        <w:footnoteReference w:id="122"/>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B. 구체적 고려</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1. 배상의 요소</w:t>
      </w:r>
    </w:p>
    <w:p w:rsidR="00A03B36" w:rsidRPr="00A03B36" w:rsidRDefault="00A03B36" w:rsidP="00A03B36">
      <w:pPr>
        <w:spacing w:after="0" w:line="384" w:lineRule="auto"/>
        <w:ind w:left="282" w:right="588"/>
        <w:jc w:val="center"/>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(a) 원상회복 (Restitution)</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원상회복 조치는 가능한 한 피해자를 중대한 침해가 발생하기 전의 원래 상황으로 회복</w:t>
      </w:r>
      <w:r w:rsidRPr="00A03B36">
        <w:rPr>
          <w:rFonts w:ascii="휴먼명조" w:eastAsia="휴먼명조" w:hAnsi="굴림" w:cs="굴림" w:hint="eastAsia"/>
          <w:color w:val="000000"/>
          <w:spacing w:val="-6"/>
          <w:kern w:val="0"/>
          <w:szCs w:val="20"/>
        </w:rPr>
        <w:t xml:space="preserve">시키는 것을 목표로 해야 하며, 적절한 경우 자유, 인권, 정체성, 가족생활 및 시민권 </w:t>
      </w:r>
      <w:r w:rsidRPr="00A03B36">
        <w:rPr>
          <w:rFonts w:ascii="휴먼명조" w:eastAsia="휴먼명조" w:hAnsi="굴림" w:cs="굴림" w:hint="eastAsia"/>
          <w:color w:val="000000"/>
          <w:spacing w:val="-8"/>
          <w:kern w:val="0"/>
          <w:szCs w:val="20"/>
        </w:rPr>
        <w:t>향유, 고용 회복, 거주지로의 복귀, 재산 또는 토지의 반환</w:t>
      </w:r>
      <w:r w:rsidR="00227BAB">
        <w:rPr>
          <w:rStyle w:val="a6"/>
          <w:rFonts w:ascii="휴먼명조" w:eastAsia="휴먼명조" w:hAnsi="굴림" w:cs="굴림"/>
          <w:color w:val="000000"/>
          <w:spacing w:val="-8"/>
          <w:kern w:val="0"/>
          <w:szCs w:val="20"/>
        </w:rPr>
        <w:footnoteReference w:id="123"/>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등을</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포함해야</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한다</w:t>
      </w:r>
      <w:r w:rsidRPr="00A03B36">
        <w:rPr>
          <w:rFonts w:ascii="휴먼명조" w:eastAsia="휴먼명조" w:hAnsi="굴림" w:cs="굴림" w:hint="eastAsia"/>
          <w:color w:val="000000"/>
          <w:spacing w:val="-8"/>
          <w:kern w:val="0"/>
          <w:szCs w:val="20"/>
        </w:rPr>
        <w:t>.</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(b) 보상 (Compensation)</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lastRenderedPageBreak/>
        <w:t xml:space="preserve">보상금 제공에는 소득 또는 기회 상실, 물질적 또는 정신적 피해 등 피해자에게 가해진 </w:t>
      </w:r>
      <w:r w:rsidRPr="00A03B36">
        <w:rPr>
          <w:rFonts w:ascii="휴먼명조" w:eastAsia="휴먼명조" w:hAnsi="굴림" w:cs="굴림" w:hint="eastAsia"/>
          <w:color w:val="000000"/>
          <w:spacing w:val="-14"/>
          <w:kern w:val="0"/>
          <w:szCs w:val="20"/>
        </w:rPr>
        <w:t>피해에 대한 경제적 평가가 수반되어야 하며, 보상 금액은 적절하고 비례적이어야 한다.</w:t>
      </w:r>
      <w:r w:rsidR="00227BAB">
        <w:rPr>
          <w:rStyle w:val="a6"/>
          <w:rFonts w:ascii="휴먼명조" w:eastAsia="휴먼명조" w:hAnsi="굴림" w:cs="굴림"/>
          <w:color w:val="000000"/>
          <w:spacing w:val="-14"/>
          <w:kern w:val="0"/>
          <w:szCs w:val="20"/>
        </w:rPr>
        <w:footnoteReference w:id="124"/>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(c) 재활 (Rehabilitation)</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심각한 인권침해의 피해자는 폭력 경험으로 인한 트라우마 발생률이 매우 높다. 재활은 </w:t>
      </w:r>
      <w:r w:rsidRPr="00A03B36">
        <w:rPr>
          <w:rFonts w:ascii="휴먼명조" w:eastAsia="휴먼명조" w:hAnsi="굴림" w:cs="굴림" w:hint="eastAsia"/>
          <w:color w:val="000000"/>
          <w:spacing w:val="-10"/>
          <w:kern w:val="0"/>
          <w:szCs w:val="20"/>
        </w:rPr>
        <w:t xml:space="preserve">피해자가 입은 </w:t>
      </w:r>
      <w:proofErr w:type="spellStart"/>
      <w:r w:rsidRPr="00A03B36">
        <w:rPr>
          <w:rFonts w:ascii="휴먼명조" w:eastAsia="휴먼명조" w:hAnsi="굴림" w:cs="굴림" w:hint="eastAsia"/>
          <w:color w:val="000000"/>
          <w:spacing w:val="-10"/>
          <w:kern w:val="0"/>
          <w:szCs w:val="20"/>
        </w:rPr>
        <w:t>정신적·육체적</w:t>
      </w:r>
      <w:proofErr w:type="spellEnd"/>
      <w:r w:rsidRPr="00A03B36">
        <w:rPr>
          <w:rFonts w:ascii="휴먼명조" w:eastAsia="휴먼명조" w:hAnsi="굴림" w:cs="굴림" w:hint="eastAsia"/>
          <w:color w:val="000000"/>
          <w:spacing w:val="-10"/>
          <w:kern w:val="0"/>
          <w:szCs w:val="20"/>
        </w:rPr>
        <w:t xml:space="preserve"> 피해를 해결하고, 피해자의 삶을 재건하며, 변화의 기회를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제공할 수 있다.</w:t>
      </w:r>
      <w:r w:rsidR="00227BAB">
        <w:rPr>
          <w:rStyle w:val="a6"/>
          <w:rFonts w:ascii="휴먼명조" w:eastAsia="휴먼명조" w:hAnsi="굴림" w:cs="굴림"/>
          <w:color w:val="000000"/>
          <w:spacing w:val="-8"/>
          <w:kern w:val="0"/>
          <w:szCs w:val="20"/>
        </w:rPr>
        <w:footnoteReference w:id="125"/>
      </w:r>
      <w:r w:rsidRPr="00A03B36">
        <w:rPr>
          <w:rFonts w:ascii="휴먼명조" w:eastAsia="휴먼명조" w:hAnsi="굴림" w:cs="굴림" w:hint="eastAsia"/>
          <w:color w:val="000000"/>
          <w:spacing w:val="-8"/>
          <w:kern w:val="0"/>
          <w:szCs w:val="20"/>
        </w:rPr>
        <w:t xml:space="preserve"> 국가는 피해자에게 의료 및 심리 치료, 법률서비스와 사회서비스,</w:t>
      </w:r>
      <w:r w:rsidR="00227BAB">
        <w:rPr>
          <w:rStyle w:val="a6"/>
          <w:rFonts w:ascii="휴먼명조" w:eastAsia="휴먼명조" w:hAnsi="굴림" w:cs="굴림"/>
          <w:color w:val="000000"/>
          <w:spacing w:val="-8"/>
          <w:kern w:val="0"/>
          <w:szCs w:val="20"/>
        </w:rPr>
        <w:footnoteReference w:id="126"/>
      </w:r>
      <w:r w:rsidRPr="00A03B36">
        <w:rPr>
          <w:rFonts w:ascii="휴먼명조" w:eastAsia="휴먼명조" w:hAnsi="굴림" w:cs="굴림" w:hint="eastAsia"/>
          <w:color w:val="000000"/>
          <w:spacing w:val="-8"/>
          <w:kern w:val="0"/>
          <w:szCs w:val="20"/>
        </w:rPr>
        <w:t xml:space="preserve"> 시민 지위 회복을 위한 조치</w:t>
      </w:r>
      <w:r w:rsidR="00227BAB">
        <w:rPr>
          <w:rStyle w:val="a6"/>
          <w:rFonts w:ascii="휴먼명조" w:eastAsia="휴먼명조" w:hAnsi="굴림" w:cs="굴림"/>
          <w:color w:val="000000"/>
          <w:spacing w:val="-8"/>
          <w:kern w:val="0"/>
          <w:szCs w:val="20"/>
        </w:rPr>
        <w:footnoteReference w:id="127"/>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등의</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재활</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서비스를</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제공해야</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한다</w:t>
      </w:r>
      <w:r w:rsidRPr="00A03B36">
        <w:rPr>
          <w:rFonts w:ascii="휴먼명조" w:eastAsia="휴먼명조" w:hAnsi="굴림" w:cs="굴림" w:hint="eastAsia"/>
          <w:color w:val="000000"/>
          <w:spacing w:val="-8"/>
          <w:kern w:val="0"/>
          <w:szCs w:val="20"/>
        </w:rPr>
        <w:t>.</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(d) 만족 (Satisfaction)</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t>만족 조치는 피해자와 사회가 과거의 고통스러운 사건을 이해하는 데 도움을 주고 의미를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6"/>
          <w:kern w:val="0"/>
          <w:szCs w:val="20"/>
        </w:rPr>
        <w:t xml:space="preserve">부여하는 상징적인 행동이다. 이러한 조치에는 위반 행위의 중단; 진실 규명 및 공개; </w:t>
      </w:r>
      <w:r w:rsidRPr="00A03B36">
        <w:rPr>
          <w:rFonts w:ascii="휴먼명조" w:eastAsia="휴먼명조" w:hAnsi="굴림" w:cs="굴림" w:hint="eastAsia"/>
          <w:color w:val="000000"/>
          <w:spacing w:val="-8"/>
          <w:kern w:val="0"/>
          <w:szCs w:val="20"/>
        </w:rPr>
        <w:t xml:space="preserve">실종자 수색 및/또는 유해 수습; 피해자의 존엄성을 회복하는 결정; 공개 사과; 책임자에 대한 </w:t>
      </w:r>
      <w:proofErr w:type="spellStart"/>
      <w:r w:rsidRPr="00A03B36">
        <w:rPr>
          <w:rFonts w:ascii="휴먼명조" w:eastAsia="휴먼명조" w:hAnsi="굴림" w:cs="굴림" w:hint="eastAsia"/>
          <w:color w:val="000000"/>
          <w:spacing w:val="-8"/>
          <w:kern w:val="0"/>
          <w:szCs w:val="20"/>
        </w:rPr>
        <w:t>사법적·행정적</w:t>
      </w:r>
      <w:proofErr w:type="spellEnd"/>
      <w:r w:rsidRPr="00A03B36">
        <w:rPr>
          <w:rFonts w:ascii="휴먼명조" w:eastAsia="휴먼명조" w:hAnsi="굴림" w:cs="굴림" w:hint="eastAsia"/>
          <w:color w:val="000000"/>
          <w:spacing w:val="-8"/>
          <w:kern w:val="0"/>
          <w:szCs w:val="20"/>
        </w:rPr>
        <w:t xml:space="preserve"> 제재; 추모; 모든 수준의 훈련 및 교육 자료에 위반 행위에 대한 정확한 설명 수록 등이 포함되어야 한다.</w:t>
      </w:r>
      <w:r w:rsidR="00227BAB">
        <w:rPr>
          <w:rStyle w:val="a6"/>
          <w:rFonts w:ascii="휴먼명조" w:eastAsia="휴먼명조" w:hAnsi="굴림" w:cs="굴림"/>
          <w:color w:val="000000"/>
          <w:spacing w:val="-8"/>
          <w:kern w:val="0"/>
          <w:szCs w:val="20"/>
        </w:rPr>
        <w:footnoteReference w:id="128"/>
      </w:r>
      <w:r w:rsidRPr="00A03B36">
        <w:rPr>
          <w:rFonts w:ascii="휴먼명조" w:eastAsia="휴먼명조" w:hAnsi="굴림" w:cs="굴림" w:hint="eastAsia"/>
          <w:color w:val="000000"/>
          <w:spacing w:val="-8"/>
          <w:kern w:val="0"/>
          <w:szCs w:val="20"/>
        </w:rPr>
        <w:t xml:space="preserve"> 국가는 사과를 설계하고 이행할 때 사과의 </w:t>
      </w:r>
      <w:r w:rsidRPr="00A03B36">
        <w:rPr>
          <w:rFonts w:ascii="휴먼명조" w:eastAsia="휴먼명조" w:hAnsi="굴림" w:cs="굴림" w:hint="eastAsia"/>
          <w:color w:val="000000"/>
          <w:spacing w:val="-14"/>
          <w:kern w:val="0"/>
          <w:szCs w:val="20"/>
        </w:rPr>
        <w:t>성격과 사실 및 책임 인정의 성격, 사과를 제공하는 기관, 사과의 맥락, 그리고 결정적으로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사과 과정에 대한 피해자의 참여와 동의를 신중하게 평가해야 한다.</w:t>
      </w:r>
      <w:r w:rsidR="00227BAB">
        <w:rPr>
          <w:rStyle w:val="a6"/>
          <w:rFonts w:ascii="휴먼명조" w:eastAsia="휴먼명조" w:hAnsi="굴림" w:cs="굴림"/>
          <w:color w:val="000000"/>
          <w:spacing w:val="-8"/>
          <w:kern w:val="0"/>
          <w:szCs w:val="20"/>
        </w:rPr>
        <w:footnoteReference w:id="129"/>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2. 국내 배상 프로그램</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피해자에게 효과적인 배상을 제공하기 위해서는 국가 배상 프로그램 수립이 필수적이다. 이</w:t>
      </w:r>
      <w:r w:rsidRPr="00A03B36">
        <w:rPr>
          <w:rFonts w:ascii="휴먼명조" w:eastAsia="휴먼명조" w:hAnsi="굴림" w:cs="굴림" w:hint="eastAsia"/>
          <w:color w:val="000000"/>
          <w:spacing w:val="-8"/>
          <w:kern w:val="0"/>
          <w:szCs w:val="20"/>
        </w:rPr>
        <w:lastRenderedPageBreak/>
        <w:t xml:space="preserve">러한 프로그램은 포괄적이어야 하고, 다섯 가지 형태의 배상을 모두 포함해야 하며, 견고한 </w:t>
      </w:r>
      <w:proofErr w:type="spellStart"/>
      <w:r w:rsidRPr="00A03B36">
        <w:rPr>
          <w:rFonts w:ascii="휴먼명조" w:eastAsia="휴먼명조" w:hAnsi="굴림" w:cs="굴림" w:hint="eastAsia"/>
          <w:color w:val="000000"/>
          <w:spacing w:val="-8"/>
          <w:kern w:val="0"/>
          <w:szCs w:val="20"/>
        </w:rPr>
        <w:t>법·제도적</w:t>
      </w:r>
      <w:proofErr w:type="spellEnd"/>
      <w:r w:rsidRPr="00A03B36">
        <w:rPr>
          <w:rFonts w:ascii="휴먼명조" w:eastAsia="휴먼명조" w:hAnsi="굴림" w:cs="굴림" w:hint="eastAsia"/>
          <w:color w:val="000000"/>
          <w:spacing w:val="-8"/>
          <w:kern w:val="0"/>
          <w:szCs w:val="20"/>
        </w:rPr>
        <w:t xml:space="preserve"> 틀과 지속가능성을 제공하는 적절한 자원 할당 또는 자금 조달 메커</w:t>
      </w:r>
      <w:r w:rsidRPr="00A03B36">
        <w:rPr>
          <w:rFonts w:ascii="휴먼명조" w:eastAsia="휴먼명조" w:hAnsi="굴림" w:cs="굴림" w:hint="eastAsia"/>
          <w:color w:val="000000"/>
          <w:spacing w:val="-10"/>
          <w:kern w:val="0"/>
          <w:szCs w:val="20"/>
        </w:rPr>
        <w:t>니즘으로 뒷받침되어야 한다. 기부자는 이와 관련하여 중요한 역할을 할 수 있다. 국가는</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4"/>
          <w:kern w:val="0"/>
          <w:szCs w:val="20"/>
        </w:rPr>
        <w:t>피해자의 잠재적 범위와 배상 프로그램의 예상 비용을 적절히 추정할 수 있도록, 유연하고</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피해자에게 광범위하게 접근할 수 있는 절차를 갖춘 국가 피해자 등록부를 개발해야 한다.</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피해자의 긴급한 필요를 해결하기 위해 긴급 배상 프로그램 또는 서비스를 개발해야 한다.</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성폭력 피해자, 난민, 국내 실향민의 특별한 필요를 해결하기 위한 특별 조치를 채택해야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한다.</w:t>
      </w:r>
      <w:r w:rsidR="00227BAB">
        <w:rPr>
          <w:rStyle w:val="a6"/>
          <w:rFonts w:ascii="휴먼명조" w:eastAsia="휴먼명조" w:hAnsi="굴림" w:cs="굴림"/>
          <w:color w:val="000000"/>
          <w:spacing w:val="-8"/>
          <w:kern w:val="0"/>
          <w:szCs w:val="20"/>
        </w:rPr>
        <w:footnoteReference w:id="130"/>
      </w:r>
    </w:p>
    <w:p w:rsidR="00A03B36" w:rsidRPr="00A03B36" w:rsidRDefault="00A03B36" w:rsidP="00A03B36">
      <w:pPr>
        <w:spacing w:after="0" w:line="384" w:lineRule="auto"/>
        <w:textAlignment w:val="baseline"/>
        <w:rPr>
          <w:rFonts w:ascii="함초롬바탕" w:eastAsia="굴림" w:hAnsi="굴림" w:cs="굴림"/>
          <w:b/>
          <w:bCs/>
          <w:color w:val="000000"/>
          <w:kern w:val="0"/>
          <w:sz w:val="22"/>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3. 젠더 관점</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국가는 여성, 소녀, 레즈비언, 게이, 바이섹슈얼(양성애자), 성전환자(</w:t>
      </w:r>
      <w:proofErr w:type="spellStart"/>
      <w:r w:rsidRPr="00A03B36">
        <w:rPr>
          <w:rFonts w:ascii="휴먼명조" w:eastAsia="휴먼명조" w:hAnsi="굴림" w:cs="굴림" w:hint="eastAsia"/>
          <w:color w:val="000000"/>
          <w:spacing w:val="-8"/>
          <w:kern w:val="0"/>
          <w:szCs w:val="20"/>
        </w:rPr>
        <w:t>트랜스젠더</w:t>
      </w:r>
      <w:proofErr w:type="spellEnd"/>
      <w:r w:rsidRPr="00A03B36">
        <w:rPr>
          <w:rFonts w:ascii="휴먼명조" w:eastAsia="휴먼명조" w:hAnsi="굴림" w:cs="굴림" w:hint="eastAsia"/>
          <w:color w:val="000000"/>
          <w:spacing w:val="-8"/>
          <w:kern w:val="0"/>
          <w:szCs w:val="20"/>
        </w:rPr>
        <w:t>), 간성인</w:t>
      </w:r>
      <w:r w:rsidRPr="00A03B36">
        <w:rPr>
          <w:rFonts w:ascii="휴먼명조" w:eastAsia="휴먼명조" w:hAnsi="굴림" w:cs="굴림" w:hint="eastAsia"/>
          <w:color w:val="000000"/>
          <w:spacing w:val="-12"/>
          <w:kern w:val="0"/>
          <w:szCs w:val="20"/>
        </w:rPr>
        <w:t xml:space="preserve">(intersex) 등 구조적 또는 제도적 차별을 받는 사람들이 그들의 권리에 차별적이고 </w:t>
      </w:r>
      <w:proofErr w:type="spellStart"/>
      <w:r w:rsidRPr="00A03B36">
        <w:rPr>
          <w:rFonts w:ascii="휴먼명조" w:eastAsia="휴먼명조" w:hAnsi="굴림" w:cs="굴림" w:hint="eastAsia"/>
          <w:color w:val="000000"/>
          <w:spacing w:val="-12"/>
          <w:kern w:val="0"/>
          <w:szCs w:val="20"/>
        </w:rPr>
        <w:t>불균형</w:t>
      </w:r>
      <w:r w:rsidRPr="00A03B36">
        <w:rPr>
          <w:rFonts w:ascii="휴먼명조" w:eastAsia="휴먼명조" w:hAnsi="굴림" w:cs="굴림" w:hint="eastAsia"/>
          <w:color w:val="000000"/>
          <w:spacing w:val="-8"/>
          <w:kern w:val="0"/>
          <w:szCs w:val="20"/>
        </w:rPr>
        <w:t>적인</w:t>
      </w:r>
      <w:proofErr w:type="spellEnd"/>
      <w:r w:rsidRPr="00A03B36">
        <w:rPr>
          <w:rFonts w:ascii="휴먼명조" w:eastAsia="휴먼명조" w:hAnsi="굴림" w:cs="굴림" w:hint="eastAsia"/>
          <w:color w:val="000000"/>
          <w:spacing w:val="-8"/>
          <w:kern w:val="0"/>
          <w:szCs w:val="20"/>
        </w:rPr>
        <w:t xml:space="preserve"> 영향을 받는다는 점을 고려해야 한다. 배상 프로그램은 성인지적 관점을 통합해야 한다: 성인지적 관점을 통해 위반 사항을 평가하고 레즈비언, 게이, 바이섹슈얼, </w:t>
      </w:r>
      <w:proofErr w:type="spellStart"/>
      <w:r w:rsidRPr="00A03B36">
        <w:rPr>
          <w:rFonts w:ascii="휴먼명조" w:eastAsia="휴먼명조" w:hAnsi="굴림" w:cs="굴림" w:hint="eastAsia"/>
          <w:color w:val="000000"/>
          <w:spacing w:val="-8"/>
          <w:kern w:val="0"/>
          <w:szCs w:val="20"/>
        </w:rPr>
        <w:t>트랜스</w:t>
      </w:r>
      <w:r w:rsidRPr="00A03B36">
        <w:rPr>
          <w:rFonts w:ascii="휴먼명조" w:eastAsia="휴먼명조" w:hAnsi="굴림" w:cs="굴림" w:hint="eastAsia"/>
          <w:color w:val="000000"/>
          <w:spacing w:val="-4"/>
          <w:kern w:val="0"/>
          <w:szCs w:val="20"/>
        </w:rPr>
        <w:t>젠더</w:t>
      </w:r>
      <w:proofErr w:type="spellEnd"/>
      <w:r w:rsidRPr="00A03B36">
        <w:rPr>
          <w:rFonts w:ascii="휴먼명조" w:eastAsia="휴먼명조" w:hAnsi="굴림" w:cs="굴림" w:hint="eastAsia"/>
          <w:color w:val="000000"/>
          <w:spacing w:val="-4"/>
          <w:kern w:val="0"/>
          <w:szCs w:val="20"/>
        </w:rPr>
        <w:t xml:space="preserve"> 및 간성인과 관련해 성에 따라 차별적인 영향을 미치는 조치를 식별해야 한다. </w:t>
      </w:r>
      <w:r w:rsidRPr="00A03B36">
        <w:rPr>
          <w:rFonts w:ascii="휴먼명조" w:eastAsia="휴먼명조" w:hAnsi="굴림" w:cs="굴림" w:hint="eastAsia"/>
          <w:color w:val="000000"/>
          <w:spacing w:val="-10"/>
          <w:kern w:val="0"/>
          <w:szCs w:val="20"/>
        </w:rPr>
        <w:t xml:space="preserve">배상은 성차별의 패턴을 재생산해서는 안 된다. 조치는 젠더와 그 </w:t>
      </w:r>
      <w:proofErr w:type="spellStart"/>
      <w:r w:rsidRPr="00A03B36">
        <w:rPr>
          <w:rFonts w:ascii="휴먼명조" w:eastAsia="휴먼명조" w:hAnsi="굴림" w:cs="굴림" w:hint="eastAsia"/>
          <w:color w:val="000000"/>
          <w:spacing w:val="-10"/>
          <w:kern w:val="0"/>
          <w:szCs w:val="20"/>
        </w:rPr>
        <w:t>교차성</w:t>
      </w:r>
      <w:proofErr w:type="spellEnd"/>
      <w:r w:rsidRPr="00A03B36">
        <w:rPr>
          <w:rFonts w:ascii="휴먼명조" w:eastAsia="휴먼명조" w:hAnsi="굴림" w:cs="굴림" w:hint="eastAsia"/>
          <w:color w:val="000000"/>
          <w:spacing w:val="-10"/>
          <w:kern w:val="0"/>
          <w:szCs w:val="20"/>
        </w:rPr>
        <w:t>; 피해의 복잡성;</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범죄 및 배상의 잠재적 낙인 효과, 특정 조치가 젠더 배제 구조에 미치는 잠재적 전환 </w:t>
      </w:r>
      <w:r w:rsidRPr="00A03B36">
        <w:rPr>
          <w:rFonts w:ascii="휴먼명조" w:eastAsia="휴먼명조" w:hAnsi="굴림" w:cs="굴림" w:hint="eastAsia"/>
          <w:color w:val="000000"/>
          <w:spacing w:val="-12"/>
          <w:kern w:val="0"/>
          <w:szCs w:val="20"/>
        </w:rPr>
        <w:t>효과 등을 고려해야 한다.</w:t>
      </w:r>
      <w:r w:rsidR="00227BAB">
        <w:rPr>
          <w:rStyle w:val="a6"/>
          <w:rFonts w:ascii="휴먼명조" w:eastAsia="휴먼명조" w:hAnsi="굴림" w:cs="굴림"/>
          <w:color w:val="000000"/>
          <w:spacing w:val="-12"/>
          <w:kern w:val="0"/>
          <w:szCs w:val="20"/>
        </w:rPr>
        <w:footnoteReference w:id="131"/>
      </w:r>
      <w:r w:rsidRPr="00A03B36">
        <w:rPr>
          <w:rFonts w:ascii="휴먼명조" w:eastAsia="휴먼명조" w:hAnsi="굴림" w:cs="굴림" w:hint="eastAsia"/>
          <w:color w:val="000000"/>
          <w:spacing w:val="-12"/>
          <w:kern w:val="0"/>
          <w:szCs w:val="20"/>
        </w:rPr>
        <w:t xml:space="preserve"> 여성과 소수자 집단이 공개 협의에 참여할 수 있도록 공동의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노력을 기울여야 한다.</w:t>
      </w:r>
      <w:r w:rsidR="00227BAB">
        <w:rPr>
          <w:rStyle w:val="a6"/>
          <w:rFonts w:ascii="휴먼명조" w:eastAsia="휴먼명조" w:hAnsi="굴림" w:cs="굴림"/>
          <w:color w:val="000000"/>
          <w:spacing w:val="-8"/>
          <w:kern w:val="0"/>
          <w:szCs w:val="20"/>
        </w:rPr>
        <w:footnoteReference w:id="132"/>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4. 참여와 정보</w:t>
      </w:r>
    </w:p>
    <w:p w:rsidR="00A03B36" w:rsidRPr="00A03B36" w:rsidRDefault="00A03B36" w:rsidP="00A03B36">
      <w:pPr>
        <w:spacing w:after="0" w:line="384" w:lineRule="auto"/>
        <w:textAlignment w:val="baseline"/>
        <w:rPr>
          <w:rFonts w:ascii="함초롬바탕" w:eastAsia="굴림" w:hAnsi="굴림" w:cs="굴림"/>
          <w:b/>
          <w:bCs/>
          <w:color w:val="000000"/>
          <w:kern w:val="0"/>
          <w:sz w:val="22"/>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4"/>
          <w:kern w:val="0"/>
          <w:szCs w:val="20"/>
        </w:rPr>
        <w:t>피해자는 권리 주체자로 인정되어야 한다; 피해자와 시민사회 전체가 배상 제도의 설계 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시행에 있어 초기에 의미 있게 참여해야 한다.</w:t>
      </w:r>
      <w:r w:rsidR="00227BAB">
        <w:rPr>
          <w:rStyle w:val="a6"/>
          <w:rFonts w:ascii="휴먼명조" w:eastAsia="휴먼명조" w:hAnsi="굴림" w:cs="굴림"/>
          <w:color w:val="000000"/>
          <w:spacing w:val="-8"/>
          <w:kern w:val="0"/>
          <w:szCs w:val="20"/>
        </w:rPr>
        <w:footnoteReference w:id="133"/>
      </w:r>
      <w:r w:rsidRPr="00A03B36">
        <w:rPr>
          <w:rFonts w:ascii="휴먼명조" w:eastAsia="휴먼명조" w:hAnsi="굴림" w:cs="굴림" w:hint="eastAsia"/>
          <w:color w:val="000000"/>
          <w:spacing w:val="-8"/>
          <w:kern w:val="0"/>
          <w:szCs w:val="20"/>
        </w:rPr>
        <w:t xml:space="preserve"> 이를 위해 국가는 프로그램을 최대한 널리 홍보하고 피해자 참여를 보장하기 위해 효과적인 </w:t>
      </w:r>
      <w:proofErr w:type="spellStart"/>
      <w:r w:rsidRPr="00A03B36">
        <w:rPr>
          <w:rFonts w:ascii="휴먼명조" w:eastAsia="휴먼명조" w:hAnsi="굴림" w:cs="굴림" w:hint="eastAsia"/>
          <w:color w:val="000000"/>
          <w:spacing w:val="-8"/>
          <w:kern w:val="0"/>
          <w:szCs w:val="20"/>
        </w:rPr>
        <w:t>아웃리치</w:t>
      </w:r>
      <w:proofErr w:type="spellEnd"/>
      <w:r w:rsidRPr="00A03B36">
        <w:rPr>
          <w:rFonts w:ascii="휴먼명조" w:eastAsia="휴먼명조" w:hAnsi="굴림" w:cs="굴림" w:hint="eastAsia"/>
          <w:color w:val="000000"/>
          <w:spacing w:val="-8"/>
          <w:kern w:val="0"/>
          <w:szCs w:val="20"/>
        </w:rPr>
        <w:t>, 정보 및 접근성을 제공</w:t>
      </w:r>
      <w:r w:rsidRPr="00A03B36">
        <w:rPr>
          <w:rFonts w:ascii="휴먼명조" w:eastAsia="휴먼명조" w:hAnsi="굴림" w:cs="굴림" w:hint="eastAsia"/>
          <w:color w:val="000000"/>
          <w:spacing w:val="-10"/>
          <w:kern w:val="0"/>
          <w:szCs w:val="20"/>
        </w:rPr>
        <w:t>해야 한다.</w:t>
      </w:r>
      <w:r w:rsidR="00227BAB">
        <w:rPr>
          <w:rStyle w:val="a6"/>
          <w:rFonts w:ascii="휴먼명조" w:eastAsia="휴먼명조" w:hAnsi="굴림" w:cs="굴림"/>
          <w:color w:val="000000"/>
          <w:spacing w:val="-10"/>
          <w:kern w:val="0"/>
          <w:szCs w:val="20"/>
        </w:rPr>
        <w:footnoteReference w:id="134"/>
      </w:r>
      <w:r w:rsidRPr="00A03B36">
        <w:rPr>
          <w:rFonts w:ascii="휴먼명조" w:eastAsia="휴먼명조" w:hAnsi="굴림" w:cs="굴림" w:hint="eastAsia"/>
          <w:color w:val="000000"/>
          <w:spacing w:val="-10"/>
          <w:kern w:val="0"/>
          <w:szCs w:val="20"/>
        </w:rPr>
        <w:t xml:space="preserve"> 영사 서비스</w:t>
      </w:r>
      <w:r w:rsidRPr="00A03B36">
        <w:rPr>
          <w:rFonts w:ascii="휴먼명조" w:eastAsia="휴먼명조" w:hAnsi="굴림" w:cs="굴림" w:hint="eastAsia"/>
          <w:color w:val="000000"/>
          <w:spacing w:val="-10"/>
          <w:kern w:val="0"/>
          <w:szCs w:val="20"/>
        </w:rPr>
        <w:lastRenderedPageBreak/>
        <w:t>를 포함한 해외 보급은 다수의 피해자가 강제로 망명한 곳에서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고려되어야 한다.</w:t>
      </w:r>
      <w:r w:rsidR="00227BAB">
        <w:rPr>
          <w:rStyle w:val="a6"/>
          <w:rFonts w:ascii="휴먼명조" w:eastAsia="휴먼명조" w:hAnsi="굴림" w:cs="굴림"/>
          <w:color w:val="000000"/>
          <w:spacing w:val="-8"/>
          <w:kern w:val="0"/>
          <w:szCs w:val="20"/>
        </w:rPr>
        <w:footnoteReference w:id="135"/>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앞서 언급한 기준에도 불구하고 국가가 배상금을 감당할 수 없다고 주장하거나 일반적</w:t>
      </w:r>
      <w:r w:rsidRPr="00A03B36">
        <w:rPr>
          <w:rFonts w:ascii="휴먼명조" w:eastAsia="휴먼명조" w:hAnsi="굴림" w:cs="굴림" w:hint="eastAsia"/>
          <w:color w:val="000000"/>
          <w:spacing w:val="-2"/>
          <w:kern w:val="0"/>
          <w:szCs w:val="20"/>
        </w:rPr>
        <w:t xml:space="preserve">으로 정치적 동기가 강하고 그러한 조치를 이행할 의지 부족으로 인해 이행 격차가 </w:t>
      </w:r>
      <w:r w:rsidRPr="00A03B36">
        <w:rPr>
          <w:rFonts w:ascii="휴먼명조" w:eastAsia="휴먼명조" w:hAnsi="굴림" w:cs="굴림" w:hint="eastAsia"/>
          <w:color w:val="000000"/>
          <w:spacing w:val="-8"/>
          <w:kern w:val="0"/>
          <w:szCs w:val="20"/>
        </w:rPr>
        <w:t>현저히 크다.</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Ⅶ</w:t>
      </w:r>
      <w:proofErr w:type="spellEnd"/>
      <w:r w:rsidRPr="00A03B36">
        <w:rPr>
          <w:rFonts w:ascii="휴먼명조" w:eastAsia="휴먼명조" w:hAnsi="굴림" w:cs="굴림" w:hint="eastAsia"/>
          <w:b/>
          <w:bCs/>
          <w:color w:val="000000"/>
          <w:kern w:val="0"/>
          <w:sz w:val="26"/>
          <w:szCs w:val="26"/>
        </w:rPr>
        <w:t>. 추모</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A. 일반적 고려</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t xml:space="preserve">국가는 심각한 인권 및 </w:t>
      </w:r>
      <w:proofErr w:type="spellStart"/>
      <w:r w:rsidRPr="00A03B36">
        <w:rPr>
          <w:rFonts w:ascii="휴먼명조" w:eastAsia="휴먼명조" w:hAnsi="굴림" w:cs="굴림" w:hint="eastAsia"/>
          <w:color w:val="000000"/>
          <w:spacing w:val="-2"/>
          <w:kern w:val="0"/>
          <w:szCs w:val="20"/>
        </w:rPr>
        <w:t>인도법</w:t>
      </w:r>
      <w:proofErr w:type="spellEnd"/>
      <w:r w:rsidRPr="00A03B36">
        <w:rPr>
          <w:rFonts w:ascii="휴먼명조" w:eastAsia="휴먼명조" w:hAnsi="굴림" w:cs="굴림" w:hint="eastAsia"/>
          <w:color w:val="000000"/>
          <w:spacing w:val="-2"/>
          <w:kern w:val="0"/>
          <w:szCs w:val="20"/>
        </w:rPr>
        <w:t xml:space="preserve"> 위반에 대한 추모 절차의 근본적인 역할을 인정하는 </w:t>
      </w:r>
      <w:r w:rsidRPr="00A03B36">
        <w:rPr>
          <w:rFonts w:ascii="휴먼명조" w:eastAsia="휴먼명조" w:hAnsi="굴림" w:cs="굴림" w:hint="eastAsia"/>
          <w:color w:val="000000"/>
          <w:spacing w:val="-10"/>
          <w:kern w:val="0"/>
          <w:szCs w:val="20"/>
        </w:rPr>
        <w:t>다양한 수단을 채택하고 있다. 추모는 대부분의 인권 조약에 명시적으로 언급되어 있지는</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8"/>
          <w:kern w:val="0"/>
          <w:szCs w:val="20"/>
        </w:rPr>
        <w:t>않지만, 여러 조약에 명시된 인권 보호 및 보장이라는 일반적인 의무와 깊은 관련이 있다.</w:t>
      </w:r>
      <w:r w:rsidR="00574A3D">
        <w:rPr>
          <w:rStyle w:val="a6"/>
          <w:rFonts w:ascii="휴먼명조" w:eastAsia="휴먼명조" w:hAnsi="굴림" w:cs="굴림"/>
          <w:color w:val="000000"/>
          <w:spacing w:val="-18"/>
          <w:kern w:val="0"/>
          <w:szCs w:val="20"/>
        </w:rPr>
        <w:footnoteReference w:id="136"/>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proofErr w:type="spellStart"/>
      <w:r w:rsidRPr="00A03B36">
        <w:rPr>
          <w:rFonts w:ascii="휴먼명조" w:eastAsia="휴먼명조" w:hAnsi="굴림" w:cs="굴림" w:hint="eastAsia"/>
          <w:color w:val="000000"/>
          <w:kern w:val="0"/>
          <w:szCs w:val="20"/>
        </w:rPr>
        <w:t>불처벌</w:t>
      </w:r>
      <w:proofErr w:type="spellEnd"/>
      <w:r w:rsidRPr="00A03B36">
        <w:rPr>
          <w:rFonts w:ascii="휴먼명조" w:eastAsia="휴먼명조" w:hAnsi="굴림" w:cs="굴림" w:hint="eastAsia"/>
          <w:color w:val="000000"/>
          <w:kern w:val="0"/>
          <w:szCs w:val="20"/>
        </w:rPr>
        <w:t xml:space="preserve"> 저지 조치를 통한 인권 보호 및 증진을 위한 일련의 원칙 현행본은 국가가 </w:t>
      </w:r>
      <w:r w:rsidRPr="00A03B36">
        <w:rPr>
          <w:rFonts w:ascii="휴먼명조" w:eastAsia="휴먼명조" w:hAnsi="굴림" w:cs="굴림" w:hint="eastAsia"/>
          <w:color w:val="000000"/>
          <w:spacing w:val="-6"/>
          <w:kern w:val="0"/>
          <w:szCs w:val="20"/>
        </w:rPr>
        <w:t xml:space="preserve">인권침해에 관한 기억을 보존하고 전달할 책임이 있음을 명시한다. 이러한 책임은 </w:t>
      </w:r>
      <w:r w:rsidRPr="00A03B36">
        <w:rPr>
          <w:rFonts w:ascii="휴먼명조" w:eastAsia="휴먼명조" w:hAnsi="굴림" w:cs="굴림" w:hint="eastAsia"/>
          <w:color w:val="000000"/>
          <w:spacing w:val="-16"/>
          <w:kern w:val="0"/>
          <w:szCs w:val="20"/>
        </w:rPr>
        <w:t>모든</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4"/>
          <w:kern w:val="0"/>
          <w:szCs w:val="20"/>
        </w:rPr>
        <w:t xml:space="preserve">사람이 인권 침해에 관한 진실을 알 권리를 양도할 수 없도록 보장할 국가의 의무와 </w:t>
      </w:r>
      <w:r w:rsidRPr="00A03B36">
        <w:rPr>
          <w:rFonts w:ascii="휴먼명조" w:eastAsia="휴먼명조" w:hAnsi="굴림" w:cs="굴림" w:hint="eastAsia"/>
          <w:color w:val="000000"/>
          <w:spacing w:val="-8"/>
          <w:kern w:val="0"/>
          <w:szCs w:val="20"/>
        </w:rPr>
        <w:t xml:space="preserve">인권침해에 관한 기록물 및 기타 증거를 보존할 의무에서 비롯된 것으로, 집단적 기억이 </w:t>
      </w:r>
      <w:r w:rsidRPr="00A03B36">
        <w:rPr>
          <w:rFonts w:ascii="휴먼명조" w:eastAsia="휴먼명조" w:hAnsi="굴림" w:cs="굴림" w:hint="eastAsia"/>
          <w:color w:val="000000"/>
          <w:spacing w:val="-6"/>
          <w:kern w:val="0"/>
          <w:szCs w:val="20"/>
        </w:rPr>
        <w:t xml:space="preserve">소멸되지 않도록 보존하고, 특히 수정주의 및 부정주의 주장의 발전을 방지하는 것을 </w:t>
      </w:r>
      <w:r w:rsidRPr="00A03B36">
        <w:rPr>
          <w:rFonts w:ascii="휴먼명조" w:eastAsia="휴먼명조" w:hAnsi="굴림" w:cs="굴림" w:hint="eastAsia"/>
          <w:color w:val="000000"/>
          <w:spacing w:val="-8"/>
          <w:kern w:val="0"/>
          <w:szCs w:val="20"/>
        </w:rPr>
        <w:t>목적으로 한다.</w:t>
      </w:r>
      <w:r w:rsidR="00574A3D">
        <w:rPr>
          <w:rStyle w:val="a6"/>
          <w:rFonts w:ascii="휴먼명조" w:eastAsia="휴먼명조" w:hAnsi="굴림" w:cs="굴림"/>
          <w:color w:val="000000"/>
          <w:spacing w:val="-8"/>
          <w:kern w:val="0"/>
          <w:szCs w:val="20"/>
        </w:rPr>
        <w:footnoteReference w:id="137"/>
      </w:r>
      <w:r w:rsidRPr="00A03B36">
        <w:rPr>
          <w:rFonts w:ascii="휴먼명조" w:eastAsia="휴먼명조" w:hAnsi="굴림" w:cs="굴림" w:hint="eastAsia"/>
          <w:color w:val="000000"/>
          <w:spacing w:val="-8"/>
          <w:kern w:val="0"/>
          <w:szCs w:val="20"/>
        </w:rPr>
        <w:t xml:space="preserve"> 마찬가지로, 국제인권법의 중대한 위반 및 국제인도법의 심각한 위반 피해자에 대한 구제 및 배상 권리에 관한 기본 원칙과 지침은 만족의 척도로서 기념과 </w:t>
      </w:r>
      <w:r w:rsidRPr="00A03B36">
        <w:rPr>
          <w:rFonts w:ascii="휴먼명조" w:eastAsia="휴먼명조" w:hAnsi="굴림" w:cs="굴림" w:hint="eastAsia"/>
          <w:color w:val="000000"/>
          <w:spacing w:val="-4"/>
          <w:kern w:val="0"/>
          <w:szCs w:val="20"/>
        </w:rPr>
        <w:t>헌사를 포함한다.</w:t>
      </w:r>
      <w:r w:rsidR="00574A3D">
        <w:rPr>
          <w:rStyle w:val="a6"/>
          <w:rFonts w:ascii="휴먼명조" w:eastAsia="휴먼명조" w:hAnsi="굴림" w:cs="굴림"/>
          <w:color w:val="000000"/>
          <w:spacing w:val="-4"/>
          <w:kern w:val="0"/>
          <w:szCs w:val="20"/>
        </w:rPr>
        <w:footnoteReference w:id="138"/>
      </w:r>
      <w:r w:rsidRPr="00A03B36">
        <w:rPr>
          <w:rFonts w:ascii="휴먼명조" w:eastAsia="휴먼명조" w:hAnsi="굴림" w:cs="굴림" w:hint="eastAsia"/>
          <w:color w:val="000000"/>
          <w:spacing w:val="-4"/>
          <w:kern w:val="0"/>
          <w:szCs w:val="20"/>
        </w:rPr>
        <w:t xml:space="preserve"> 특별보고관이 지적했듯이, 기억 과정은 위반으로 인해 발생하는 </w:t>
      </w:r>
      <w:r w:rsidRPr="00A03B36">
        <w:rPr>
          <w:rFonts w:ascii="휴먼명조" w:eastAsia="휴먼명조" w:hAnsi="굴림" w:cs="굴림" w:hint="eastAsia"/>
          <w:color w:val="000000"/>
          <w:spacing w:val="-8"/>
          <w:kern w:val="0"/>
          <w:szCs w:val="20"/>
        </w:rPr>
        <w:t>새로운 의무로서, 완전한 배상의 모든 측면, 특히 만족과 재발 방지 보장의 차원을 가로지른다.</w:t>
      </w:r>
      <w:r w:rsidR="00574A3D">
        <w:rPr>
          <w:rStyle w:val="a6"/>
          <w:rFonts w:ascii="휴먼명조" w:eastAsia="휴먼명조" w:hAnsi="굴림" w:cs="굴림"/>
          <w:color w:val="000000"/>
          <w:spacing w:val="-8"/>
          <w:kern w:val="0"/>
          <w:szCs w:val="20"/>
        </w:rPr>
        <w:footnoteReference w:id="139"/>
      </w:r>
      <w:r w:rsidRPr="00A03B36">
        <w:rPr>
          <w:rFonts w:ascii="휴먼명조" w:eastAsia="휴먼명조" w:hAnsi="굴림" w:cs="굴림" w:hint="eastAsia"/>
          <w:color w:val="000000"/>
          <w:spacing w:val="-8"/>
          <w:kern w:val="0"/>
          <w:szCs w:val="20"/>
        </w:rPr>
        <w:t xml:space="preserve"> 더반 선언은 과거의 범죄나 잘못을 기억하는 것이 화해와 정의, 평등, 연대에 </w:t>
      </w:r>
      <w:r w:rsidRPr="00A03B36">
        <w:rPr>
          <w:rFonts w:ascii="휴먼명조" w:eastAsia="휴먼명조" w:hAnsi="굴림" w:cs="굴림" w:hint="eastAsia"/>
          <w:color w:val="000000"/>
          <w:spacing w:val="-12"/>
          <w:kern w:val="0"/>
          <w:szCs w:val="20"/>
        </w:rPr>
        <w:t>기반한 사회를 만드는 데 필수적이라고 강조한다.</w:t>
      </w:r>
      <w:r w:rsidR="00574A3D">
        <w:rPr>
          <w:rStyle w:val="a6"/>
          <w:rFonts w:ascii="휴먼명조" w:eastAsia="휴먼명조" w:hAnsi="굴림" w:cs="굴림"/>
          <w:color w:val="000000"/>
          <w:spacing w:val="-12"/>
          <w:kern w:val="0"/>
          <w:szCs w:val="20"/>
        </w:rPr>
        <w:footnoteReference w:id="140"/>
      </w:r>
      <w:r w:rsidRPr="00A03B36">
        <w:rPr>
          <w:rFonts w:ascii="휴먼명조" w:eastAsia="휴먼명조" w:hAnsi="굴림" w:cs="굴림" w:hint="eastAsia"/>
          <w:color w:val="000000"/>
          <w:spacing w:val="-12"/>
          <w:kern w:val="0"/>
          <w:szCs w:val="20"/>
        </w:rPr>
        <w:t xml:space="preserve"> 사법 및 준사법적 메</w:t>
      </w:r>
      <w:r w:rsidRPr="00A03B36">
        <w:rPr>
          <w:rFonts w:ascii="휴먼명조" w:eastAsia="휴먼명조" w:hAnsi="굴림" w:cs="굴림" w:hint="eastAsia"/>
          <w:color w:val="000000"/>
          <w:spacing w:val="-12"/>
          <w:kern w:val="0"/>
          <w:szCs w:val="20"/>
        </w:rPr>
        <w:lastRenderedPageBreak/>
        <w:t>커니즘은 국가가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배상 및 재발 방지의 한 형태로서 추모 절차를 채택할 것을 요구한다. 미주인권재판소는 </w:t>
      </w:r>
      <w:r w:rsidRPr="00A03B36">
        <w:rPr>
          <w:rFonts w:ascii="휴먼명조" w:eastAsia="휴먼명조" w:hAnsi="굴림" w:cs="굴림" w:hint="eastAsia"/>
          <w:color w:val="000000"/>
          <w:spacing w:val="-4"/>
          <w:kern w:val="0"/>
          <w:szCs w:val="20"/>
        </w:rPr>
        <w:t xml:space="preserve">기억 정책은 포괄적이어야 한다고 판결했으며, 국가들이 이러한 조치를 채택할 것을 </w:t>
      </w:r>
      <w:r w:rsidRPr="00A03B36">
        <w:rPr>
          <w:rFonts w:ascii="휴먼명조" w:eastAsia="휴먼명조" w:hAnsi="굴림" w:cs="굴림" w:hint="eastAsia"/>
          <w:color w:val="000000"/>
          <w:spacing w:val="-10"/>
          <w:kern w:val="0"/>
          <w:szCs w:val="20"/>
        </w:rPr>
        <w:t>촉구하는 광범위한 법리를 발표했다.</w:t>
      </w:r>
      <w:r w:rsidR="00574A3D">
        <w:rPr>
          <w:rStyle w:val="a6"/>
          <w:rFonts w:ascii="휴먼명조" w:eastAsia="휴먼명조" w:hAnsi="굴림" w:cs="굴림"/>
          <w:color w:val="000000"/>
          <w:spacing w:val="-10"/>
          <w:kern w:val="0"/>
          <w:szCs w:val="20"/>
        </w:rPr>
        <w:footnoteReference w:id="141"/>
      </w:r>
      <w:r w:rsidRPr="00A03B36">
        <w:rPr>
          <w:rFonts w:ascii="휴먼명조" w:eastAsia="휴먼명조" w:hAnsi="굴림" w:cs="굴림" w:hint="eastAsia"/>
          <w:color w:val="000000"/>
          <w:spacing w:val="-10"/>
          <w:kern w:val="0"/>
          <w:szCs w:val="20"/>
        </w:rPr>
        <w:t xml:space="preserve"> 미주인권위원회는 기억에 관한 공공 정책에 관한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원칙을 발표했다.</w:t>
      </w:r>
      <w:r w:rsidR="00574A3D">
        <w:rPr>
          <w:rStyle w:val="a6"/>
          <w:rFonts w:ascii="휴먼명조" w:eastAsia="휴먼명조" w:hAnsi="굴림" w:cs="굴림"/>
          <w:color w:val="000000"/>
          <w:spacing w:val="-8"/>
          <w:kern w:val="0"/>
          <w:szCs w:val="20"/>
        </w:rPr>
        <w:footnoteReference w:id="142"/>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0"/>
          <w:kern w:val="0"/>
          <w:szCs w:val="20"/>
        </w:rPr>
        <w:t>추모 절차 채택 의무는 국제인권법과 국제인도법의 일차적, 이차적 출처 모두에서 비롯된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것이므로, 국가는 예산, 정치적 또는 구조적 주장이나 이행기 정의의 다른 영역에 노력을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집중해야 한다는 주장에 근거하여 의무 준수를 회피할 수 없다.</w:t>
      </w:r>
      <w:r w:rsidR="00574A3D">
        <w:rPr>
          <w:rStyle w:val="a6"/>
          <w:rFonts w:ascii="휴먼명조" w:eastAsia="휴먼명조" w:hAnsi="굴림" w:cs="굴림"/>
          <w:color w:val="000000"/>
          <w:spacing w:val="-8"/>
          <w:kern w:val="0"/>
          <w:szCs w:val="20"/>
        </w:rPr>
        <w:footnoteReference w:id="143"/>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B. 구체적 고려</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4"/>
          <w:szCs w:val="24"/>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1. 추모의 목적과 영향</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추모는 과거의 인권침해와 모든 피해자가 겪은 피해에 대한 정확하고 포괄적인 기록의 </w:t>
      </w:r>
      <w:r w:rsidRPr="00A03B36">
        <w:rPr>
          <w:rFonts w:ascii="휴먼명조" w:eastAsia="휴먼명조" w:hAnsi="굴림" w:cs="굴림" w:hint="eastAsia"/>
          <w:color w:val="000000"/>
          <w:spacing w:val="-10"/>
          <w:kern w:val="0"/>
          <w:szCs w:val="20"/>
        </w:rPr>
        <w:t>보존과 이를 현재 세대와 미래 세대에 전달하는 것을 목적으로, 사회에 알리고, 피해자의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존엄성을 회복하며, 치유와 화해를 촉진하고, 인권침해의 재발을 방지하고자 한다. </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t>기억은 사회가 증오와 갈등의 순환에서 벗어나 평화 문화를 만들고 정치적 폭력의 유독한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문화를 변화시키는 데 도움이 되는 중요한 도구이다.</w:t>
      </w:r>
      <w:r w:rsidR="00574A3D">
        <w:rPr>
          <w:rStyle w:val="a6"/>
          <w:rFonts w:ascii="휴먼명조" w:eastAsia="휴먼명조" w:hAnsi="굴림" w:cs="굴림"/>
          <w:color w:val="000000"/>
          <w:spacing w:val="-8"/>
          <w:kern w:val="0"/>
          <w:szCs w:val="20"/>
        </w:rPr>
        <w:footnoteReference w:id="144"/>
      </w:r>
      <w:r w:rsidRPr="00A03B36">
        <w:rPr>
          <w:rFonts w:ascii="휴먼명조" w:eastAsia="휴먼명조" w:hAnsi="굴림" w:cs="굴림" w:hint="eastAsia"/>
          <w:color w:val="000000"/>
          <w:spacing w:val="-8"/>
          <w:kern w:val="0"/>
          <w:szCs w:val="20"/>
        </w:rPr>
        <w:t xml:space="preserve"> 추모 노력은 과거 인권침해의 </w:t>
      </w:r>
      <w:r w:rsidRPr="00A03B36">
        <w:rPr>
          <w:rFonts w:ascii="휴먼명조" w:eastAsia="휴먼명조" w:hAnsi="굴림" w:cs="굴림" w:hint="eastAsia"/>
          <w:color w:val="000000"/>
          <w:spacing w:val="-4"/>
          <w:kern w:val="0"/>
          <w:szCs w:val="20"/>
        </w:rPr>
        <w:t>원인과 결과, 책임 귀속에 대한 사회 내 논쟁의 여건을 조성하여 사회가 위험한 상대</w:t>
      </w:r>
      <w:r w:rsidRPr="00A03B36">
        <w:rPr>
          <w:rFonts w:ascii="휴먼명조" w:eastAsia="휴먼명조" w:hAnsi="굴림" w:cs="굴림" w:hint="eastAsia"/>
          <w:color w:val="000000"/>
          <w:spacing w:val="-8"/>
          <w:kern w:val="0"/>
          <w:szCs w:val="20"/>
        </w:rPr>
        <w:t xml:space="preserve">주의에 빠지지 않고, 동질적인 사고방식을 확립하거나 저지른 침해를 부정 또는 </w:t>
      </w:r>
      <w:proofErr w:type="spellStart"/>
      <w:r w:rsidRPr="00A03B36">
        <w:rPr>
          <w:rFonts w:ascii="휴먼명조" w:eastAsia="휴먼명조" w:hAnsi="굴림" w:cs="굴림" w:hint="eastAsia"/>
          <w:color w:val="000000"/>
          <w:spacing w:val="-8"/>
          <w:kern w:val="0"/>
          <w:szCs w:val="20"/>
        </w:rPr>
        <w:t>상대화하는</w:t>
      </w:r>
      <w:proofErr w:type="spellEnd"/>
      <w:r w:rsidRPr="00A03B36">
        <w:rPr>
          <w:rFonts w:ascii="휴먼명조" w:eastAsia="휴먼명조" w:hAnsi="굴림" w:cs="굴림" w:hint="eastAsia"/>
          <w:color w:val="000000"/>
          <w:spacing w:val="-8"/>
          <w:kern w:val="0"/>
          <w:szCs w:val="20"/>
        </w:rPr>
        <w:t xml:space="preserve"> 데 의존하지 않고, 과거 분열의 유산을 가지고 더 평화롭게 살아갈 수 있도록 해야 </w:t>
      </w:r>
      <w:r w:rsidRPr="00A03B36">
        <w:rPr>
          <w:rFonts w:ascii="휴먼명조" w:eastAsia="휴먼명조" w:hAnsi="굴림" w:cs="굴림" w:hint="eastAsia"/>
          <w:color w:val="000000"/>
          <w:spacing w:val="-12"/>
          <w:kern w:val="0"/>
          <w:szCs w:val="20"/>
        </w:rPr>
        <w:t>한다. 기억 과정은 과거에 대한 성찰과 현대의 과제를 파악하기 위한 기초로서, 분쟁 이후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사회 재건을 촉진하고, 민주주의와 인권 존중 문화를 촉진하며, 배제와 차별, 소외, 권력 남용의 구조적 형태를 변화시킬 수 있다.</w:t>
      </w:r>
      <w:r w:rsidR="00574A3D">
        <w:rPr>
          <w:rStyle w:val="a6"/>
          <w:rFonts w:ascii="휴먼명조" w:eastAsia="휴먼명조" w:hAnsi="굴림" w:cs="굴림"/>
          <w:color w:val="000000"/>
          <w:spacing w:val="-8"/>
          <w:kern w:val="0"/>
          <w:szCs w:val="20"/>
        </w:rPr>
        <w:footnoteReference w:id="145"/>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lastRenderedPageBreak/>
        <w:t>2. 추모에 관한 공공정책</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 xml:space="preserve">추모에 관한 공공 정책은 포괄적이어야 하며, 모든 위반 행위와 모든 피해자가 입은 </w:t>
      </w:r>
      <w:r w:rsidRPr="00A03B36">
        <w:rPr>
          <w:rFonts w:ascii="휴먼명조" w:eastAsia="휴먼명조" w:hAnsi="굴림" w:cs="굴림" w:hint="eastAsia"/>
          <w:color w:val="000000"/>
          <w:spacing w:val="-8"/>
          <w:kern w:val="0"/>
          <w:szCs w:val="20"/>
        </w:rPr>
        <w:t xml:space="preserve">피해를 정확하고 총체적으로 추모할 수 있도록 보장해야 한다. 이러한 정책은 </w:t>
      </w:r>
      <w:proofErr w:type="spellStart"/>
      <w:r w:rsidRPr="00A03B36">
        <w:rPr>
          <w:rFonts w:ascii="휴먼명조" w:eastAsia="휴먼명조" w:hAnsi="굴림" w:cs="굴림" w:hint="eastAsia"/>
          <w:color w:val="000000"/>
          <w:spacing w:val="-8"/>
          <w:kern w:val="0"/>
          <w:szCs w:val="20"/>
        </w:rPr>
        <w:t>다차원적이어야</w:t>
      </w:r>
      <w:proofErr w:type="spellEnd"/>
      <w:r w:rsidRPr="00A03B36">
        <w:rPr>
          <w:rFonts w:ascii="휴먼명조" w:eastAsia="휴먼명조" w:hAnsi="굴림" w:cs="굴림" w:hint="eastAsia"/>
          <w:color w:val="000000"/>
          <w:spacing w:val="-8"/>
          <w:kern w:val="0"/>
          <w:szCs w:val="20"/>
        </w:rPr>
        <w:t xml:space="preserve"> 하며 공공 공간(기념관, 공원, 광장 등), 예술적 표현(박물관 전시, 연극, 콘서트, 사진전 등), 미디어 이니셔티브, 국가가 후원하는 공공 행사 및 중요한 날짜에 개최되는 </w:t>
      </w:r>
      <w:r w:rsidRPr="00A03B36">
        <w:rPr>
          <w:rFonts w:ascii="휴먼명조" w:eastAsia="휴먼명조" w:hAnsi="굴림" w:cs="굴림" w:hint="eastAsia"/>
          <w:color w:val="000000"/>
          <w:spacing w:val="-6"/>
          <w:kern w:val="0"/>
          <w:szCs w:val="20"/>
        </w:rPr>
        <w:t xml:space="preserve">활동과 관련된 조치를 포함해야 한다. 또한 모든 수준의 </w:t>
      </w:r>
      <w:proofErr w:type="spellStart"/>
      <w:r w:rsidRPr="00A03B36">
        <w:rPr>
          <w:rFonts w:ascii="휴먼명조" w:eastAsia="휴먼명조" w:hAnsi="굴림" w:cs="굴림" w:hint="eastAsia"/>
          <w:color w:val="000000"/>
          <w:spacing w:val="-6"/>
          <w:kern w:val="0"/>
          <w:szCs w:val="20"/>
        </w:rPr>
        <w:t>공식·비공식</w:t>
      </w:r>
      <w:proofErr w:type="spellEnd"/>
      <w:r w:rsidRPr="00A03B36">
        <w:rPr>
          <w:rFonts w:ascii="휴먼명조" w:eastAsia="휴먼명조" w:hAnsi="굴림" w:cs="굴림" w:hint="eastAsia"/>
          <w:color w:val="000000"/>
          <w:spacing w:val="-6"/>
          <w:kern w:val="0"/>
          <w:szCs w:val="20"/>
        </w:rPr>
        <w:t xml:space="preserve"> 교육에서 기억 </w:t>
      </w:r>
      <w:r w:rsidRPr="00A03B36">
        <w:rPr>
          <w:rFonts w:ascii="휴먼명조" w:eastAsia="휴먼명조" w:hAnsi="굴림" w:cs="굴림" w:hint="eastAsia"/>
          <w:color w:val="000000"/>
          <w:spacing w:val="-8"/>
          <w:kern w:val="0"/>
          <w:szCs w:val="20"/>
        </w:rPr>
        <w:t>정책을 수립해야 한다.</w:t>
      </w:r>
      <w:r w:rsidR="00574A3D">
        <w:rPr>
          <w:rStyle w:val="a6"/>
          <w:rFonts w:ascii="휴먼명조" w:eastAsia="휴먼명조" w:hAnsi="굴림" w:cs="굴림"/>
          <w:color w:val="000000"/>
          <w:spacing w:val="-8"/>
          <w:kern w:val="0"/>
          <w:szCs w:val="20"/>
        </w:rPr>
        <w:footnoteReference w:id="146"/>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기억에 관한 정책은 점진적으로 개발되어야 하며, </w:t>
      </w:r>
      <w:proofErr w:type="spellStart"/>
      <w:r w:rsidRPr="00A03B36">
        <w:rPr>
          <w:rFonts w:ascii="휴먼명조" w:eastAsia="휴먼명조" w:hAnsi="굴림" w:cs="굴림" w:hint="eastAsia"/>
          <w:color w:val="000000"/>
          <w:spacing w:val="-8"/>
          <w:kern w:val="0"/>
          <w:szCs w:val="20"/>
        </w:rPr>
        <w:t>친인격적</w:t>
      </w:r>
      <w:proofErr w:type="spellEnd"/>
      <w:r w:rsidRPr="00A03B36">
        <w:rPr>
          <w:rFonts w:ascii="휴먼명조" w:eastAsia="휴먼명조" w:hAnsi="굴림" w:cs="굴림" w:hint="eastAsia"/>
          <w:color w:val="000000"/>
          <w:spacing w:val="-8"/>
          <w:kern w:val="0"/>
          <w:szCs w:val="20"/>
        </w:rPr>
        <w:t>(</w:t>
      </w:r>
      <w:r w:rsidRPr="00A03B36">
        <w:rPr>
          <w:rFonts w:ascii="휴먼명조" w:eastAsia="휴먼명조" w:hAnsi="굴림" w:cs="굴림" w:hint="eastAsia"/>
          <w:i/>
          <w:iCs/>
          <w:color w:val="000000"/>
          <w:spacing w:val="-8"/>
          <w:kern w:val="0"/>
          <w:szCs w:val="20"/>
        </w:rPr>
        <w:t>pro personae</w:t>
      </w:r>
      <w:r w:rsidRPr="00A03B36">
        <w:rPr>
          <w:rFonts w:ascii="휴먼명조" w:eastAsia="휴먼명조" w:hAnsi="굴림" w:cs="굴림" w:hint="eastAsia"/>
          <w:color w:val="000000"/>
          <w:spacing w:val="-8"/>
          <w:kern w:val="0"/>
          <w:szCs w:val="20"/>
        </w:rPr>
        <w:t xml:space="preserve">) 관점에 따라 </w:t>
      </w:r>
      <w:r w:rsidRPr="00A03B36">
        <w:rPr>
          <w:rFonts w:ascii="휴먼명조" w:eastAsia="휴먼명조" w:hAnsi="굴림" w:cs="굴림" w:hint="eastAsia"/>
          <w:color w:val="000000"/>
          <w:spacing w:val="-10"/>
          <w:kern w:val="0"/>
          <w:szCs w:val="20"/>
        </w:rPr>
        <w:t>안내되어야 한다. 즉, 국가정책은 피해자의 기억을 존엄하게 존중하는 방식으로 설계되고</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실행되어야 한다. 이 원칙을 적용할 때 기억 과정은 피해자를 그 과정의 중심에 두어야 하며, 피해자가 입은 피해를 인식하지 못하거나 충분히 중요시하지 않음으로써 피해자가 재차 희생되는 결과를 초래하지 않아야 한다.</w:t>
      </w:r>
      <w:r w:rsidR="00574A3D">
        <w:rPr>
          <w:rStyle w:val="a6"/>
          <w:rFonts w:ascii="휴먼명조" w:eastAsia="휴먼명조" w:hAnsi="굴림" w:cs="굴림"/>
          <w:color w:val="000000"/>
          <w:spacing w:val="-8"/>
          <w:kern w:val="0"/>
          <w:szCs w:val="20"/>
        </w:rPr>
        <w:footnoteReference w:id="147"/>
      </w:r>
      <w:r w:rsidRPr="00A03B36">
        <w:rPr>
          <w:rFonts w:ascii="휴먼명조" w:eastAsia="휴먼명조" w:hAnsi="굴림" w:cs="굴림" w:hint="eastAsia"/>
          <w:color w:val="000000"/>
          <w:spacing w:val="-8"/>
          <w:kern w:val="0"/>
          <w:szCs w:val="20"/>
        </w:rPr>
        <w:t xml:space="preserve"> 여성과 소녀를 포함한 피해자들의 목소리는 기억의 구축에 핵심적인 역할을 한다. 기억 정책은 다양한 피해자 집단의 견해에 </w:t>
      </w:r>
      <w:r w:rsidRPr="00A03B36">
        <w:rPr>
          <w:rFonts w:ascii="휴먼명조" w:eastAsia="휴먼명조" w:hAnsi="굴림" w:cs="굴림" w:hint="eastAsia"/>
          <w:color w:val="000000"/>
          <w:spacing w:val="-10"/>
          <w:kern w:val="0"/>
          <w:szCs w:val="20"/>
        </w:rPr>
        <w:t>기반해야 하며 성인지적 관점을 적절히 반영해야 한다. 국가는 피해자와 충분히 협의하여</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 xml:space="preserve">정책을 개발하고 피해자의 견해를 정당하게 대변해야 한다. 피해자는 적절한 대우를 </w:t>
      </w:r>
      <w:r w:rsidRPr="00A03B36">
        <w:rPr>
          <w:rFonts w:ascii="휴먼명조" w:eastAsia="휴먼명조" w:hAnsi="굴림" w:cs="굴림" w:hint="eastAsia"/>
          <w:color w:val="000000"/>
          <w:spacing w:val="-8"/>
          <w:kern w:val="0"/>
          <w:szCs w:val="20"/>
        </w:rPr>
        <w:t>받고, 지속적으로 정보를 제공받아야 하며, 가능한 한 그들의 기대를 충족시켜야 한다.</w:t>
      </w:r>
      <w:r w:rsidR="00574A3D">
        <w:rPr>
          <w:rStyle w:val="a6"/>
          <w:rFonts w:ascii="휴먼명조" w:eastAsia="휴먼명조" w:hAnsi="굴림" w:cs="굴림"/>
          <w:color w:val="000000"/>
          <w:spacing w:val="-8"/>
          <w:kern w:val="0"/>
          <w:szCs w:val="20"/>
        </w:rPr>
        <w:footnoteReference w:id="148"/>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국가는 추모 절차를 설계할 때 사회 내 다양한 집단의 상반된 기억으로 인해 발생할 수 있는 잠재적 논란을 고려해야 한다.</w:t>
      </w:r>
      <w:r w:rsidR="00574A3D">
        <w:rPr>
          <w:rStyle w:val="a6"/>
          <w:rFonts w:ascii="휴먼명조" w:eastAsia="휴먼명조" w:hAnsi="굴림" w:cs="굴림"/>
          <w:color w:val="000000"/>
          <w:spacing w:val="-8"/>
          <w:kern w:val="0"/>
          <w:szCs w:val="20"/>
        </w:rPr>
        <w:footnoteReference w:id="149"/>
      </w:r>
      <w:r w:rsidRPr="00A03B36">
        <w:rPr>
          <w:rFonts w:ascii="휴먼명조" w:eastAsia="휴먼명조" w:hAnsi="굴림" w:cs="굴림" w:hint="eastAsia"/>
          <w:color w:val="000000"/>
          <w:spacing w:val="-8"/>
          <w:kern w:val="0"/>
          <w:szCs w:val="20"/>
        </w:rPr>
        <w:t xml:space="preserve"> 모든 피해자 및 영향을 받은 </w:t>
      </w:r>
      <w:proofErr w:type="spellStart"/>
      <w:r w:rsidRPr="00A03B36">
        <w:rPr>
          <w:rFonts w:ascii="휴먼명조" w:eastAsia="휴먼명조" w:hAnsi="굴림" w:cs="굴림" w:hint="eastAsia"/>
          <w:color w:val="000000"/>
          <w:spacing w:val="-8"/>
          <w:kern w:val="0"/>
          <w:szCs w:val="20"/>
        </w:rPr>
        <w:t>행위자들과의</w:t>
      </w:r>
      <w:proofErr w:type="spellEnd"/>
      <w:r w:rsidRPr="00A03B36">
        <w:rPr>
          <w:rFonts w:ascii="휴먼명조" w:eastAsia="휴먼명조" w:hAnsi="굴림" w:cs="굴림" w:hint="eastAsia"/>
          <w:color w:val="000000"/>
          <w:spacing w:val="-8"/>
          <w:kern w:val="0"/>
          <w:szCs w:val="20"/>
        </w:rPr>
        <w:t xml:space="preserve"> 효과</w:t>
      </w:r>
      <w:r w:rsidRPr="00A03B36">
        <w:rPr>
          <w:rFonts w:ascii="휴먼명조" w:eastAsia="휴먼명조" w:hAnsi="굴림" w:cs="굴림" w:hint="eastAsia"/>
          <w:color w:val="000000"/>
          <w:spacing w:val="-12"/>
          <w:kern w:val="0"/>
          <w:szCs w:val="20"/>
        </w:rPr>
        <w:t>적인 협의는 치유와 화해의 과정을 지원하는 합법적이고 일관된 추모 정책을 개발하는 데</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도움이 될 것이다. 기억 정책은 피해자들이 견뎌낸 다양한 피해 경험을 대변하고, 사회집단 간의 관용과 상호 이해를 증진하며, 사회적 </w:t>
      </w:r>
      <w:proofErr w:type="spellStart"/>
      <w:r w:rsidRPr="00A03B36">
        <w:rPr>
          <w:rFonts w:ascii="휴먼명조" w:eastAsia="휴먼명조" w:hAnsi="굴림" w:cs="굴림" w:hint="eastAsia"/>
          <w:color w:val="000000"/>
          <w:spacing w:val="-8"/>
          <w:kern w:val="0"/>
          <w:szCs w:val="20"/>
        </w:rPr>
        <w:t>행위자들과의</w:t>
      </w:r>
      <w:proofErr w:type="spellEnd"/>
      <w:r w:rsidRPr="00A03B36">
        <w:rPr>
          <w:rFonts w:ascii="휴먼명조" w:eastAsia="휴먼명조" w:hAnsi="굴림" w:cs="굴림" w:hint="eastAsia"/>
          <w:color w:val="000000"/>
          <w:spacing w:val="-8"/>
          <w:kern w:val="0"/>
          <w:szCs w:val="20"/>
        </w:rPr>
        <w:t xml:space="preserve"> 원활한 협력을 촉진할 수 있어야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추모 과정은 과거의 인권침해에 대한 정확한 기록, 특히 진실위원회와 국내 또는 국제 법원에서 확립한 기록과 피해자의 증언에 근거해야 한다. 반대로 기억 정책은 복수심에 </w:t>
      </w:r>
      <w:r w:rsidRPr="00A03B36">
        <w:rPr>
          <w:rFonts w:ascii="휴먼명조" w:eastAsia="휴먼명조" w:hAnsi="굴림" w:cs="굴림" w:hint="eastAsia"/>
          <w:color w:val="000000"/>
          <w:spacing w:val="-2"/>
          <w:kern w:val="0"/>
          <w:szCs w:val="20"/>
        </w:rPr>
        <w:t>찬 추모,</w:t>
      </w:r>
      <w:r w:rsidR="00574A3D">
        <w:rPr>
          <w:rStyle w:val="a6"/>
          <w:rFonts w:ascii="휴먼명조" w:eastAsia="휴먼명조" w:hAnsi="굴림" w:cs="굴림"/>
          <w:color w:val="000000"/>
          <w:spacing w:val="-2"/>
          <w:kern w:val="0"/>
          <w:szCs w:val="20"/>
        </w:rPr>
        <w:footnoteReference w:id="150"/>
      </w:r>
      <w:r w:rsidRPr="00A03B36">
        <w:rPr>
          <w:rFonts w:ascii="휴먼명조" w:eastAsia="휴먼명조" w:hAnsi="굴림" w:cs="굴림" w:hint="eastAsia"/>
          <w:color w:val="000000"/>
          <w:spacing w:val="-2"/>
          <w:kern w:val="0"/>
          <w:szCs w:val="20"/>
        </w:rPr>
        <w:t xml:space="preserve"> 정치적 이익을 위한 기억의 조작, 또는 새로운 폭력 행위를 정당화하고 </w:t>
      </w:r>
      <w:r w:rsidRPr="00A03B36">
        <w:rPr>
          <w:rFonts w:ascii="휴먼명조" w:eastAsia="휴먼명조" w:hAnsi="굴림" w:cs="굴림" w:hint="eastAsia"/>
          <w:color w:val="000000"/>
          <w:spacing w:val="-8"/>
          <w:kern w:val="0"/>
          <w:szCs w:val="20"/>
        </w:rPr>
        <w:t xml:space="preserve">선동하기 위한 과거 </w:t>
      </w:r>
      <w:r w:rsidRPr="00A03B36">
        <w:rPr>
          <w:rFonts w:ascii="휴먼명조" w:eastAsia="휴먼명조" w:hAnsi="굴림" w:cs="굴림" w:hint="eastAsia"/>
          <w:color w:val="000000"/>
          <w:spacing w:val="-8"/>
          <w:kern w:val="0"/>
          <w:szCs w:val="20"/>
        </w:rPr>
        <w:lastRenderedPageBreak/>
        <w:t>사건의 도구화를 초래해서는 안 된다.</w:t>
      </w:r>
      <w:r w:rsidR="00574A3D">
        <w:rPr>
          <w:rStyle w:val="a6"/>
          <w:rFonts w:ascii="휴먼명조" w:eastAsia="휴먼명조" w:hAnsi="굴림" w:cs="굴림"/>
          <w:color w:val="000000"/>
          <w:spacing w:val="-8"/>
          <w:kern w:val="0"/>
          <w:szCs w:val="20"/>
        </w:rPr>
        <w:footnoteReference w:id="151"/>
      </w:r>
      <w:r w:rsidRPr="00A03B36">
        <w:rPr>
          <w:rFonts w:ascii="휴먼명조" w:eastAsia="휴먼명조" w:hAnsi="굴림" w:cs="굴림" w:hint="eastAsia"/>
          <w:color w:val="000000"/>
          <w:spacing w:val="-8"/>
          <w:kern w:val="0"/>
          <w:szCs w:val="20"/>
        </w:rPr>
        <w:t xml:space="preserve"> 폭력을 다시 일으키려는 정치적 또는 종파적 이해관계에 의한 기억의 무기화를 방지하기 위해 국가는 과거 인권침해에 대한 허위 정보의 대량 유포, 국가 또는 국제적 책임 및 진실 규명 메커니즘의 관련 결과 부인 또는 상대화를 방지해야 한다.</w:t>
      </w:r>
      <w:r w:rsidR="00574A3D">
        <w:rPr>
          <w:rStyle w:val="a6"/>
          <w:rFonts w:ascii="휴먼명조" w:eastAsia="휴먼명조" w:hAnsi="굴림" w:cs="굴림"/>
          <w:color w:val="000000"/>
          <w:spacing w:val="-8"/>
          <w:kern w:val="0"/>
          <w:szCs w:val="20"/>
        </w:rPr>
        <w:footnoteReference w:id="152"/>
      </w:r>
      <w:r w:rsidRPr="00A03B36">
        <w:rPr>
          <w:rFonts w:ascii="휴먼명조" w:eastAsia="휴먼명조" w:hAnsi="굴림" w:cs="굴림" w:hint="eastAsia"/>
          <w:color w:val="000000"/>
          <w:spacing w:val="-8"/>
          <w:kern w:val="0"/>
          <w:szCs w:val="20"/>
        </w:rPr>
        <w:t xml:space="preserve"> 표현의 자유 제한에 대한 국제기준과 </w:t>
      </w:r>
      <w:proofErr w:type="spellStart"/>
      <w:r w:rsidRPr="00A03B36">
        <w:rPr>
          <w:rFonts w:ascii="휴먼명조" w:eastAsia="휴먼명조" w:hAnsi="굴림" w:cs="굴림" w:hint="eastAsia"/>
          <w:color w:val="000000"/>
          <w:spacing w:val="-14"/>
          <w:kern w:val="0"/>
          <w:szCs w:val="20"/>
        </w:rPr>
        <w:t>비례성</w:t>
      </w:r>
      <w:proofErr w:type="spellEnd"/>
      <w:r w:rsidRPr="00A03B36">
        <w:rPr>
          <w:rFonts w:ascii="휴먼명조" w:eastAsia="휴먼명조" w:hAnsi="굴림" w:cs="굴림" w:hint="eastAsia"/>
          <w:color w:val="000000"/>
          <w:spacing w:val="-14"/>
          <w:kern w:val="0"/>
          <w:szCs w:val="20"/>
        </w:rPr>
        <w:t xml:space="preserve"> 및 필요성 심사에 따라 필요한 경우, 국제 법원 및 메커니즘이 인정하는 바와 같이</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혐오스럽고 차별적인 발언을 하는 </w:t>
      </w:r>
      <w:proofErr w:type="spellStart"/>
      <w:r w:rsidRPr="00A03B36">
        <w:rPr>
          <w:rFonts w:ascii="휴먼명조" w:eastAsia="휴먼명조" w:hAnsi="굴림" w:cs="굴림" w:hint="eastAsia"/>
          <w:color w:val="000000"/>
          <w:spacing w:val="-8"/>
          <w:kern w:val="0"/>
          <w:szCs w:val="20"/>
        </w:rPr>
        <w:t>이념가들과</w:t>
      </w:r>
      <w:proofErr w:type="spellEnd"/>
      <w:r w:rsidRPr="00A03B36">
        <w:rPr>
          <w:rFonts w:ascii="휴먼명조" w:eastAsia="휴먼명조" w:hAnsi="굴림" w:cs="굴림" w:hint="eastAsia"/>
          <w:color w:val="000000"/>
          <w:spacing w:val="-8"/>
          <w:kern w:val="0"/>
          <w:szCs w:val="20"/>
        </w:rPr>
        <w:t xml:space="preserve"> 유포자들의 행위를 규제해야 한다.</w:t>
      </w:r>
      <w:r w:rsidR="00574A3D">
        <w:rPr>
          <w:rStyle w:val="a6"/>
          <w:rFonts w:ascii="휴먼명조" w:eastAsia="휴먼명조" w:hAnsi="굴림" w:cs="굴림"/>
          <w:color w:val="000000"/>
          <w:spacing w:val="-8"/>
          <w:kern w:val="0"/>
          <w:szCs w:val="20"/>
        </w:rPr>
        <w:footnoteReference w:id="153"/>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4"/>
          <w:kern w:val="0"/>
          <w:szCs w:val="20"/>
        </w:rPr>
        <w:t>국가는 기념관 설립의 기준과 절차를 명시하는 법률을 제정해야 한다. 이러한 추모 장소의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설립과 유지 관리는 국가의 책임이다. 국가는 추모비를 건립하고, 잘 관리하며, 훼손과 </w:t>
      </w:r>
      <w:r w:rsidRPr="00A03B36">
        <w:rPr>
          <w:rFonts w:ascii="휴먼명조" w:eastAsia="휴먼명조" w:hAnsi="굴림" w:cs="굴림" w:hint="eastAsia"/>
          <w:color w:val="000000"/>
          <w:spacing w:val="-10"/>
          <w:kern w:val="0"/>
          <w:szCs w:val="20"/>
        </w:rPr>
        <w:t>부패로부터 보호하고,</w:t>
      </w:r>
      <w:r w:rsidR="00574A3D">
        <w:rPr>
          <w:rStyle w:val="a6"/>
          <w:rFonts w:ascii="휴먼명조" w:eastAsia="휴먼명조" w:hAnsi="굴림" w:cs="굴림"/>
          <w:color w:val="000000"/>
          <w:spacing w:val="-10"/>
          <w:kern w:val="0"/>
          <w:szCs w:val="20"/>
        </w:rPr>
        <w:footnoteReference w:id="154"/>
      </w:r>
      <w:r w:rsidRPr="00A03B36">
        <w:rPr>
          <w:rFonts w:ascii="휴먼명조" w:eastAsia="휴먼명조" w:hAnsi="굴림" w:cs="굴림" w:hint="eastAsia"/>
          <w:color w:val="000000"/>
          <w:spacing w:val="-10"/>
          <w:kern w:val="0"/>
          <w:szCs w:val="20"/>
        </w:rPr>
        <w:t xml:space="preserve"> 대중이 접근할 수 있도록 적절한 자원을 법으로 마련해야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국가는 인권침해와 관련된 국가기관 및 시민사회단체의 기록물을 보호하기 위한 조치를 취해야 한다. 기록물은 정해진 기준에 따라 접근할 수 있어야 한다. 정부와 국제기구는 이러한 접근에 대한 장애물을 제거해야 하며,</w:t>
      </w:r>
      <w:r w:rsidR="00574A3D">
        <w:rPr>
          <w:rStyle w:val="a6"/>
          <w:rFonts w:ascii="휴먼명조" w:eastAsia="휴먼명조" w:hAnsi="굴림" w:cs="굴림"/>
          <w:color w:val="000000"/>
          <w:spacing w:val="-8"/>
          <w:kern w:val="0"/>
          <w:szCs w:val="20"/>
        </w:rPr>
        <w:footnoteReference w:id="155"/>
      </w:r>
      <w:r w:rsidRPr="00A03B36">
        <w:rPr>
          <w:rFonts w:ascii="휴먼명조" w:eastAsia="휴먼명조" w:hAnsi="굴림" w:cs="굴림" w:hint="eastAsia"/>
          <w:color w:val="000000"/>
          <w:spacing w:val="-8"/>
          <w:kern w:val="0"/>
          <w:szCs w:val="20"/>
        </w:rPr>
        <w:t xml:space="preserve"> 시민사회도 마찬가지이다.</w:t>
      </w:r>
    </w:p>
    <w:p w:rsidR="00A03B36" w:rsidRPr="00A03B36" w:rsidRDefault="00A03B36" w:rsidP="00A03B36">
      <w:pPr>
        <w:tabs>
          <w:tab w:val="right" w:leader="hyphen" w:pos="8500"/>
        </w:tabs>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3. 법체계와 국가 관행</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0"/>
          <w:kern w:val="0"/>
          <w:szCs w:val="20"/>
        </w:rPr>
        <w:t>국제 법원은 각국에 다양한 추모 조치를 채택할 것을 주문했다. 미주인권재판소는 박물관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6"/>
          <w:kern w:val="0"/>
          <w:szCs w:val="20"/>
        </w:rPr>
        <w:t>건립,</w:t>
      </w:r>
      <w:r w:rsidR="00574A3D">
        <w:rPr>
          <w:rStyle w:val="a6"/>
          <w:rFonts w:ascii="휴먼명조" w:eastAsia="휴먼명조" w:hAnsi="굴림" w:cs="굴림"/>
          <w:color w:val="000000"/>
          <w:spacing w:val="-16"/>
          <w:kern w:val="0"/>
          <w:szCs w:val="20"/>
        </w:rPr>
        <w:footnoteReference w:id="156"/>
      </w:r>
      <w:r w:rsidRPr="00A03B36">
        <w:rPr>
          <w:rFonts w:ascii="휴먼명조" w:eastAsia="휴먼명조" w:hAnsi="굴림" w:cs="굴림" w:hint="eastAsia"/>
          <w:color w:val="000000"/>
          <w:spacing w:val="-16"/>
          <w:kern w:val="0"/>
          <w:szCs w:val="20"/>
        </w:rPr>
        <w:t xml:space="preserve"> 다큐멘터리 제작 및 방송,</w:t>
      </w:r>
      <w:r w:rsidR="00574A3D">
        <w:rPr>
          <w:rStyle w:val="a6"/>
          <w:rFonts w:ascii="휴먼명조" w:eastAsia="휴먼명조" w:hAnsi="굴림" w:cs="굴림"/>
          <w:color w:val="000000"/>
          <w:spacing w:val="-16"/>
          <w:kern w:val="0"/>
          <w:szCs w:val="20"/>
        </w:rPr>
        <w:footnoteReference w:id="157"/>
      </w:r>
      <w:r w:rsidRPr="00A03B36">
        <w:rPr>
          <w:rFonts w:ascii="휴먼명조" w:eastAsia="휴먼명조" w:hAnsi="굴림" w:cs="굴림" w:hint="eastAsia"/>
          <w:color w:val="000000"/>
          <w:spacing w:val="-16"/>
          <w:kern w:val="0"/>
          <w:szCs w:val="20"/>
        </w:rPr>
        <w:t xml:space="preserve"> 고위 관리가 참석하는 기념관 건립, 개관 및 방송</w:t>
      </w:r>
      <w:r w:rsidRPr="00A03B36">
        <w:rPr>
          <w:rFonts w:ascii="휴먼명조" w:eastAsia="휴먼명조" w:hAnsi="굴림" w:cs="굴림" w:hint="eastAsia"/>
          <w:color w:val="000000"/>
          <w:spacing w:val="-8"/>
          <w:kern w:val="0"/>
          <w:szCs w:val="20"/>
        </w:rPr>
        <w:t>,</w:t>
      </w:r>
      <w:r w:rsidR="00574A3D">
        <w:rPr>
          <w:rStyle w:val="a6"/>
          <w:rFonts w:ascii="휴먼명조" w:eastAsia="휴먼명조" w:hAnsi="굴림" w:cs="굴림"/>
          <w:color w:val="000000"/>
          <w:spacing w:val="-8"/>
          <w:kern w:val="0"/>
          <w:szCs w:val="20"/>
        </w:rPr>
        <w:footnoteReference w:id="158"/>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14"/>
          <w:kern w:val="0"/>
          <w:szCs w:val="20"/>
        </w:rPr>
        <w:t xml:space="preserve">정규 교육 과정에 </w:t>
      </w:r>
      <w:r w:rsidRPr="00A03B36">
        <w:rPr>
          <w:rFonts w:ascii="휴먼명조" w:eastAsia="휴먼명조" w:hAnsi="굴림" w:cs="굴림" w:hint="eastAsia"/>
          <w:color w:val="000000"/>
          <w:spacing w:val="-14"/>
          <w:kern w:val="0"/>
          <w:szCs w:val="20"/>
        </w:rPr>
        <w:lastRenderedPageBreak/>
        <w:t>인권침해의 역사에 대한 교육 포함,</w:t>
      </w:r>
      <w:r w:rsidR="00574A3D">
        <w:rPr>
          <w:rStyle w:val="a6"/>
          <w:rFonts w:ascii="휴먼명조" w:eastAsia="휴먼명조" w:hAnsi="굴림" w:cs="굴림"/>
          <w:color w:val="000000"/>
          <w:spacing w:val="-14"/>
          <w:kern w:val="0"/>
          <w:szCs w:val="20"/>
        </w:rPr>
        <w:footnoteReference w:id="159"/>
      </w:r>
      <w:r w:rsidRPr="00A03B36">
        <w:rPr>
          <w:rFonts w:ascii="휴먼명조" w:eastAsia="휴먼명조" w:hAnsi="굴림" w:cs="굴림" w:hint="eastAsia"/>
          <w:color w:val="000000"/>
          <w:spacing w:val="-14"/>
          <w:kern w:val="0"/>
          <w:szCs w:val="20"/>
        </w:rPr>
        <w:t xml:space="preserve"> 공공장소의 명칭 변경,</w:t>
      </w:r>
      <w:r w:rsidR="00574A3D">
        <w:rPr>
          <w:rStyle w:val="a6"/>
          <w:rFonts w:ascii="휴먼명조" w:eastAsia="휴먼명조" w:hAnsi="굴림" w:cs="굴림"/>
          <w:color w:val="000000"/>
          <w:spacing w:val="-14"/>
          <w:kern w:val="0"/>
          <w:szCs w:val="20"/>
        </w:rPr>
        <w:footnoteReference w:id="160"/>
      </w:r>
      <w:r w:rsidRPr="00A03B36">
        <w:rPr>
          <w:rFonts w:ascii="휴먼명조" w:eastAsia="휴먼명조" w:hAnsi="굴림" w:cs="굴림" w:hint="eastAsia"/>
          <w:color w:val="000000"/>
          <w:spacing w:val="-14"/>
          <w:kern w:val="0"/>
          <w:szCs w:val="20"/>
        </w:rPr>
        <w:t xml:space="preserve"> 기념비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설치</w:t>
      </w:r>
      <w:r w:rsidR="00574A3D">
        <w:rPr>
          <w:rStyle w:val="a6"/>
          <w:rFonts w:ascii="휴먼명조" w:eastAsia="휴먼명조" w:hAnsi="굴림" w:cs="굴림"/>
          <w:color w:val="000000"/>
          <w:spacing w:val="-8"/>
          <w:kern w:val="0"/>
          <w:szCs w:val="20"/>
        </w:rPr>
        <w:footnoteReference w:id="161"/>
      </w:r>
      <w:proofErr w:type="spellStart"/>
      <w:r w:rsidRPr="00A03B36">
        <w:rPr>
          <w:rFonts w:ascii="휴먼명조" w:eastAsia="휴먼명조" w:hAnsi="굴림" w:cs="굴림" w:hint="eastAsia"/>
          <w:color w:val="000000"/>
          <w:spacing w:val="-8"/>
          <w:kern w:val="0"/>
          <w:szCs w:val="20"/>
        </w:rPr>
        <w:t>를</w:t>
      </w:r>
      <w:proofErr w:type="spellEnd"/>
      <w:r w:rsidRPr="00A03B36">
        <w:rPr>
          <w:rFonts w:ascii="휴먼명조" w:eastAsia="휴먼명조" w:hAnsi="굴림" w:cs="굴림" w:hint="eastAsia"/>
          <w:color w:val="000000"/>
          <w:spacing w:val="-8"/>
          <w:kern w:val="0"/>
          <w:szCs w:val="20"/>
        </w:rPr>
        <w:t xml:space="preserve"> 주문</w:t>
      </w:r>
      <w:r>
        <w:rPr>
          <w:rFonts w:ascii="휴먼명조" w:eastAsia="휴먼명조" w:hAnsi="굴림" w:cs="굴림" w:hint="eastAsia"/>
          <w:color w:val="000000"/>
          <w:spacing w:val="-8"/>
          <w:kern w:val="0"/>
          <w:szCs w:val="20"/>
        </w:rPr>
        <w:t>했</w:t>
      </w:r>
      <w:r w:rsidRPr="00A03B36">
        <w:rPr>
          <w:rFonts w:ascii="휴먼명조" w:eastAsia="휴먼명조" w:hAnsi="굴림" w:cs="굴림" w:hint="eastAsia"/>
          <w:color w:val="000000"/>
          <w:spacing w:val="-8"/>
          <w:kern w:val="0"/>
          <w:szCs w:val="20"/>
        </w:rPr>
        <w:t>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일부 국가에서는 심각한 인권침해와 국제인도법의 중대한 위반으로 인한 희생자를 추모</w:t>
      </w:r>
      <w:r w:rsidRPr="00A03B36">
        <w:rPr>
          <w:rFonts w:ascii="휴먼명조" w:eastAsia="휴먼명조" w:hAnsi="굴림" w:cs="굴림" w:hint="eastAsia"/>
          <w:color w:val="000000"/>
          <w:spacing w:val="-6"/>
          <w:kern w:val="0"/>
          <w:szCs w:val="20"/>
        </w:rPr>
        <w:t>하기 위해 국가 기념일을 선포하고,</w:t>
      </w:r>
      <w:r w:rsidR="00574A3D">
        <w:rPr>
          <w:rStyle w:val="a6"/>
          <w:rFonts w:ascii="휴먼명조" w:eastAsia="휴먼명조" w:hAnsi="굴림" w:cs="굴림"/>
          <w:color w:val="000000"/>
          <w:spacing w:val="-6"/>
          <w:kern w:val="0"/>
          <w:szCs w:val="20"/>
        </w:rPr>
        <w:footnoteReference w:id="162"/>
      </w:r>
      <w:r w:rsidRPr="00A03B36">
        <w:rPr>
          <w:rFonts w:ascii="휴먼명조" w:eastAsia="휴먼명조" w:hAnsi="굴림" w:cs="굴림" w:hint="eastAsia"/>
          <w:color w:val="000000"/>
          <w:spacing w:val="-6"/>
          <w:kern w:val="0"/>
          <w:szCs w:val="20"/>
        </w:rPr>
        <w:t xml:space="preserve"> 임시 시설</w:t>
      </w:r>
      <w:r w:rsidR="00574A3D">
        <w:rPr>
          <w:rStyle w:val="a6"/>
          <w:rFonts w:ascii="휴먼명조" w:eastAsia="휴먼명조" w:hAnsi="굴림" w:cs="굴림"/>
          <w:color w:val="000000"/>
          <w:spacing w:val="-6"/>
          <w:kern w:val="0"/>
          <w:szCs w:val="20"/>
        </w:rPr>
        <w:footnoteReference w:id="163"/>
      </w:r>
      <w:r w:rsidRPr="00A03B36">
        <w:rPr>
          <w:rFonts w:ascii="휴먼명조" w:eastAsia="휴먼명조" w:hAnsi="굴림" w:cs="굴림" w:hint="eastAsia"/>
          <w:color w:val="000000"/>
          <w:spacing w:val="-6"/>
          <w:kern w:val="0"/>
          <w:szCs w:val="20"/>
        </w:rPr>
        <w:t>과 가이드 투어를 조직했으며,</w:t>
      </w:r>
      <w:r w:rsidR="00574A3D">
        <w:rPr>
          <w:rStyle w:val="a6"/>
          <w:rFonts w:ascii="휴먼명조" w:eastAsia="휴먼명조" w:hAnsi="굴림" w:cs="굴림"/>
          <w:color w:val="000000"/>
          <w:spacing w:val="-6"/>
          <w:kern w:val="0"/>
          <w:szCs w:val="20"/>
        </w:rPr>
        <w:footnoteReference w:id="164"/>
      </w:r>
      <w:r w:rsidRPr="00A03B36">
        <w:rPr>
          <w:rFonts w:ascii="휴먼명조" w:eastAsia="휴먼명조" w:hAnsi="굴림" w:cs="굴림" w:hint="eastAsia"/>
          <w:color w:val="000000"/>
          <w:spacing w:val="-6"/>
          <w:kern w:val="0"/>
          <w:szCs w:val="20"/>
        </w:rPr>
        <w:t xml:space="preserve"> </w:t>
      </w:r>
      <w:r w:rsidRPr="00A03B36">
        <w:rPr>
          <w:rFonts w:ascii="휴먼명조" w:eastAsia="휴먼명조" w:hAnsi="굴림" w:cs="굴림" w:hint="eastAsia"/>
          <w:color w:val="000000"/>
          <w:spacing w:val="-8"/>
          <w:kern w:val="0"/>
          <w:szCs w:val="20"/>
        </w:rPr>
        <w:t>심각한 범죄를 저지른 사람의 이름을 딴 건물과 공공장소의 이름을 변경하고,</w:t>
      </w:r>
      <w:r w:rsidR="00574A3D">
        <w:rPr>
          <w:rStyle w:val="a6"/>
          <w:rFonts w:ascii="휴먼명조" w:eastAsia="휴먼명조" w:hAnsi="굴림" w:cs="굴림"/>
          <w:color w:val="000000"/>
          <w:spacing w:val="-8"/>
          <w:kern w:val="0"/>
          <w:szCs w:val="20"/>
        </w:rPr>
        <w:footnoteReference w:id="165"/>
      </w:r>
      <w:r w:rsidRPr="00A03B36">
        <w:rPr>
          <w:rFonts w:ascii="휴먼명조" w:eastAsia="휴먼명조" w:hAnsi="굴림" w:cs="굴림" w:hint="eastAsia"/>
          <w:color w:val="000000"/>
          <w:spacing w:val="-8"/>
          <w:kern w:val="0"/>
          <w:szCs w:val="20"/>
        </w:rPr>
        <w:t xml:space="preserve"> 교육과</w:t>
      </w:r>
      <w:r w:rsidRPr="00A03B36">
        <w:rPr>
          <w:rFonts w:ascii="휴먼명조" w:eastAsia="휴먼명조" w:hAnsi="굴림" w:cs="굴림" w:hint="eastAsia"/>
          <w:color w:val="000000"/>
          <w:spacing w:val="-14"/>
          <w:kern w:val="0"/>
          <w:szCs w:val="20"/>
        </w:rPr>
        <w:t>정과 교과서에 심각한 인권침해의 역사에 대한 교육을 포함시켰다.</w:t>
      </w:r>
      <w:r w:rsidR="00574A3D">
        <w:rPr>
          <w:rStyle w:val="a6"/>
          <w:rFonts w:ascii="휴먼명조" w:eastAsia="휴먼명조" w:hAnsi="굴림" w:cs="굴림"/>
          <w:color w:val="000000"/>
          <w:spacing w:val="-14"/>
          <w:kern w:val="0"/>
          <w:szCs w:val="20"/>
        </w:rPr>
        <w:footnoteReference w:id="166"/>
      </w:r>
      <w:r w:rsidRPr="00A03B36">
        <w:rPr>
          <w:rFonts w:ascii="휴먼명조" w:eastAsia="휴먼명조" w:hAnsi="굴림" w:cs="굴림" w:hint="eastAsia"/>
          <w:color w:val="000000"/>
          <w:spacing w:val="-14"/>
          <w:kern w:val="0"/>
          <w:szCs w:val="20"/>
        </w:rPr>
        <w:t xml:space="preserve"> 또한, 아르헨티나</w:t>
      </w:r>
      <w:r w:rsidRPr="00A03B36">
        <w:rPr>
          <w:rFonts w:ascii="휴먼명조" w:eastAsia="휴먼명조" w:hAnsi="굴림" w:cs="굴림" w:hint="eastAsia"/>
          <w:color w:val="000000"/>
          <w:spacing w:val="-8"/>
          <w:kern w:val="0"/>
          <w:szCs w:val="20"/>
        </w:rPr>
        <w:t>,</w:t>
      </w:r>
      <w:r w:rsidR="00574A3D">
        <w:rPr>
          <w:rStyle w:val="a6"/>
          <w:rFonts w:ascii="휴먼명조" w:eastAsia="휴먼명조" w:hAnsi="굴림" w:cs="굴림"/>
          <w:color w:val="000000"/>
          <w:spacing w:val="-8"/>
          <w:kern w:val="0"/>
          <w:szCs w:val="20"/>
        </w:rPr>
        <w:footnoteReference w:id="167"/>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2"/>
          <w:kern w:val="0"/>
          <w:szCs w:val="20"/>
        </w:rPr>
        <w:t>캐나다</w:t>
      </w:r>
      <w:r w:rsidR="00574A3D">
        <w:rPr>
          <w:rStyle w:val="a6"/>
          <w:rFonts w:ascii="휴먼명조" w:eastAsia="휴먼명조" w:hAnsi="굴림" w:cs="굴림"/>
          <w:color w:val="000000"/>
          <w:spacing w:val="-2"/>
          <w:kern w:val="0"/>
          <w:szCs w:val="20"/>
        </w:rPr>
        <w:footnoteReference w:id="168"/>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및</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시에라리온에서</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입증된</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바와</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같이</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대규모</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폭력이</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발생하기</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전</w:t>
      </w:r>
      <w:r w:rsidRPr="00A03B36">
        <w:rPr>
          <w:rFonts w:ascii="함초롬바탕" w:eastAsia="휴먼명조" w:hAnsi="굴림" w:cs="굴림"/>
          <w:color w:val="000000"/>
          <w:spacing w:val="-2"/>
          <w:kern w:val="0"/>
          <w:szCs w:val="20"/>
        </w:rPr>
        <w:t xml:space="preserve"> </w:t>
      </w:r>
      <w:r w:rsidRPr="00A03B36">
        <w:rPr>
          <w:rFonts w:ascii="함초롬바탕" w:eastAsia="휴먼명조" w:hAnsi="굴림" w:cs="굴림"/>
          <w:color w:val="000000"/>
          <w:spacing w:val="-2"/>
          <w:kern w:val="0"/>
          <w:szCs w:val="20"/>
        </w:rPr>
        <w:t>억압과</w:t>
      </w:r>
      <w:r w:rsidRPr="00A03B36">
        <w:rPr>
          <w:rFonts w:ascii="함초롬바탕" w:eastAsia="휴먼명조" w:hAnsi="굴림" w:cs="굴림"/>
          <w:color w:val="000000"/>
          <w:spacing w:val="-2"/>
          <w:kern w:val="0"/>
          <w:szCs w:val="20"/>
        </w:rPr>
        <w:t xml:space="preserve"> </w:t>
      </w:r>
      <w:r w:rsidRPr="00A03B36">
        <w:rPr>
          <w:rFonts w:ascii="휴먼명조" w:eastAsia="휴먼명조" w:hAnsi="굴림" w:cs="굴림" w:hint="eastAsia"/>
          <w:color w:val="000000"/>
          <w:spacing w:val="-10"/>
          <w:kern w:val="0"/>
          <w:szCs w:val="20"/>
        </w:rPr>
        <w:t>비인간화의 메커니즘에 대한 사회의 광범위한 토론과 이해를 촉진하기 위한 조치도 국가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6"/>
          <w:kern w:val="0"/>
          <w:szCs w:val="20"/>
        </w:rPr>
        <w:t>관행에 포함된다.</w:t>
      </w:r>
      <w:r w:rsidR="00574A3D">
        <w:rPr>
          <w:rStyle w:val="a6"/>
          <w:rFonts w:ascii="휴먼명조" w:eastAsia="휴먼명조" w:hAnsi="굴림" w:cs="굴림"/>
          <w:color w:val="000000"/>
          <w:spacing w:val="-6"/>
          <w:kern w:val="0"/>
          <w:szCs w:val="20"/>
        </w:rPr>
        <w:footnoteReference w:id="169"/>
      </w:r>
      <w:r w:rsidRPr="00A03B36">
        <w:rPr>
          <w:rFonts w:ascii="휴먼명조" w:eastAsia="휴먼명조" w:hAnsi="굴림" w:cs="굴림" w:hint="eastAsia"/>
          <w:color w:val="000000"/>
          <w:spacing w:val="-6"/>
          <w:kern w:val="0"/>
          <w:szCs w:val="20"/>
        </w:rPr>
        <w:t xml:space="preserve"> 이 보고서를 위해 접수된 의견에서 특별보고관은 아르헨티나,</w:t>
      </w:r>
      <w:r w:rsidR="00574A3D">
        <w:rPr>
          <w:rStyle w:val="a6"/>
          <w:rFonts w:ascii="휴먼명조" w:eastAsia="휴먼명조" w:hAnsi="굴림" w:cs="굴림"/>
          <w:color w:val="000000"/>
          <w:spacing w:val="-6"/>
          <w:kern w:val="0"/>
          <w:szCs w:val="20"/>
        </w:rPr>
        <w:footnoteReference w:id="170"/>
      </w:r>
      <w:r w:rsidRPr="00A03B36">
        <w:rPr>
          <w:rFonts w:ascii="휴먼명조" w:eastAsia="휴먼명조" w:hAnsi="굴림" w:cs="굴림" w:hint="eastAsia"/>
          <w:color w:val="000000"/>
          <w:spacing w:val="-6"/>
          <w:kern w:val="0"/>
          <w:szCs w:val="20"/>
        </w:rPr>
        <w:t xml:space="preserve"> </w:t>
      </w:r>
      <w:r w:rsidRPr="00A03B36">
        <w:rPr>
          <w:rFonts w:ascii="휴먼명조" w:eastAsia="휴먼명조" w:hAnsi="굴림" w:cs="굴림" w:hint="eastAsia"/>
          <w:color w:val="000000"/>
          <w:spacing w:val="-8"/>
          <w:kern w:val="0"/>
          <w:szCs w:val="20"/>
        </w:rPr>
        <w:t>에콰도르,</w:t>
      </w:r>
      <w:r w:rsidR="00574A3D">
        <w:rPr>
          <w:rStyle w:val="a6"/>
          <w:rFonts w:ascii="휴먼명조" w:eastAsia="휴먼명조" w:hAnsi="굴림" w:cs="굴림"/>
          <w:color w:val="000000"/>
          <w:spacing w:val="-8"/>
          <w:kern w:val="0"/>
          <w:szCs w:val="20"/>
        </w:rPr>
        <w:footnoteReference w:id="171"/>
      </w:r>
      <w:r w:rsidRPr="00A03B36">
        <w:rPr>
          <w:rFonts w:ascii="휴먼명조" w:eastAsia="휴먼명조" w:hAnsi="굴림" w:cs="굴림" w:hint="eastAsia"/>
          <w:color w:val="000000"/>
          <w:spacing w:val="-8"/>
          <w:kern w:val="0"/>
          <w:szCs w:val="20"/>
        </w:rPr>
        <w:t xml:space="preserve"> 엘살바도르,</w:t>
      </w:r>
      <w:r w:rsidR="00574A3D">
        <w:rPr>
          <w:rStyle w:val="a6"/>
          <w:rFonts w:ascii="휴먼명조" w:eastAsia="휴먼명조" w:hAnsi="굴림" w:cs="굴림"/>
          <w:color w:val="000000"/>
          <w:spacing w:val="-8"/>
          <w:kern w:val="0"/>
          <w:szCs w:val="20"/>
        </w:rPr>
        <w:footnoteReference w:id="172"/>
      </w:r>
      <w:r w:rsidRPr="00A03B36">
        <w:rPr>
          <w:rFonts w:ascii="휴먼명조" w:eastAsia="휴먼명조" w:hAnsi="굴림" w:cs="굴림" w:hint="eastAsia"/>
          <w:color w:val="000000"/>
          <w:spacing w:val="-8"/>
          <w:kern w:val="0"/>
          <w:szCs w:val="20"/>
        </w:rPr>
        <w:t xml:space="preserve"> 아일랜드,</w:t>
      </w:r>
      <w:r w:rsidR="00574A3D">
        <w:rPr>
          <w:rStyle w:val="a6"/>
          <w:rFonts w:ascii="휴먼명조" w:eastAsia="휴먼명조" w:hAnsi="굴림" w:cs="굴림"/>
          <w:color w:val="000000"/>
          <w:spacing w:val="-8"/>
          <w:kern w:val="0"/>
          <w:szCs w:val="20"/>
        </w:rPr>
        <w:footnoteReference w:id="173"/>
      </w:r>
      <w:r w:rsidRPr="00A03B36">
        <w:rPr>
          <w:rFonts w:ascii="휴먼명조" w:eastAsia="휴먼명조" w:hAnsi="굴림" w:cs="굴림" w:hint="eastAsia"/>
          <w:color w:val="000000"/>
          <w:spacing w:val="-8"/>
          <w:kern w:val="0"/>
          <w:szCs w:val="20"/>
        </w:rPr>
        <w:t xml:space="preserve"> 세르비아</w:t>
      </w:r>
      <w:r w:rsidR="00574A3D">
        <w:rPr>
          <w:rStyle w:val="a6"/>
          <w:rFonts w:ascii="휴먼명조" w:eastAsia="휴먼명조" w:hAnsi="굴림" w:cs="굴림"/>
          <w:color w:val="000000"/>
          <w:spacing w:val="-8"/>
          <w:kern w:val="0"/>
          <w:szCs w:val="20"/>
        </w:rPr>
        <w:footnoteReference w:id="174"/>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및</w:t>
      </w:r>
      <w:r w:rsidRPr="00A03B36">
        <w:rPr>
          <w:rFonts w:ascii="함초롬바탕" w:eastAsia="휴먼명조" w:hAnsi="굴림" w:cs="굴림"/>
          <w:color w:val="000000"/>
          <w:spacing w:val="-8"/>
          <w:kern w:val="0"/>
          <w:szCs w:val="20"/>
        </w:rPr>
        <w:t xml:space="preserve"> </w:t>
      </w:r>
      <w:r w:rsidRPr="00A03B36">
        <w:rPr>
          <w:rFonts w:ascii="함초롬바탕" w:eastAsia="휴먼명조" w:hAnsi="굴림" w:cs="굴림"/>
          <w:color w:val="000000"/>
          <w:spacing w:val="-8"/>
          <w:kern w:val="0"/>
          <w:szCs w:val="20"/>
        </w:rPr>
        <w:t>우루</w:t>
      </w:r>
      <w:r w:rsidRPr="00A03B36">
        <w:rPr>
          <w:rFonts w:ascii="함초롬바탕" w:eastAsia="휴먼명조" w:hAnsi="굴림" w:cs="굴림"/>
          <w:color w:val="000000"/>
          <w:spacing w:val="-8"/>
          <w:kern w:val="0"/>
          <w:szCs w:val="20"/>
        </w:rPr>
        <w:lastRenderedPageBreak/>
        <w:t>과이</w:t>
      </w:r>
      <w:r w:rsidR="00574A3D">
        <w:rPr>
          <w:rStyle w:val="a6"/>
          <w:rFonts w:ascii="함초롬바탕" w:eastAsia="휴먼명조" w:hAnsi="굴림" w:cs="굴림"/>
          <w:color w:val="000000"/>
          <w:spacing w:val="-8"/>
          <w:kern w:val="0"/>
          <w:szCs w:val="20"/>
        </w:rPr>
        <w:footnoteReference w:id="175"/>
      </w:r>
      <w:proofErr w:type="spellStart"/>
      <w:r w:rsidRPr="00A03B36">
        <w:rPr>
          <w:rFonts w:ascii="휴먼명조" w:eastAsia="휴먼명조" w:hAnsi="굴림" w:cs="굴림" w:hint="eastAsia"/>
          <w:color w:val="000000"/>
          <w:spacing w:val="-8"/>
          <w:kern w:val="0"/>
          <w:szCs w:val="20"/>
        </w:rPr>
        <w:t>를</w:t>
      </w:r>
      <w:proofErr w:type="spellEnd"/>
      <w:r w:rsidRPr="00A03B36">
        <w:rPr>
          <w:rFonts w:ascii="휴먼명조" w:eastAsia="휴먼명조" w:hAnsi="굴림" w:cs="굴림" w:hint="eastAsia"/>
          <w:color w:val="000000"/>
          <w:spacing w:val="-8"/>
          <w:kern w:val="0"/>
          <w:szCs w:val="20"/>
        </w:rPr>
        <w:t xml:space="preserve"> 포함한 여러 국가의 기념비 건립에 관한 국가 관행을 보고받았다.</w:t>
      </w:r>
      <w:r w:rsidR="00574A3D">
        <w:rPr>
          <w:rStyle w:val="a6"/>
          <w:rFonts w:ascii="휴먼명조" w:eastAsia="휴먼명조" w:hAnsi="굴림" w:cs="굴림"/>
          <w:color w:val="000000"/>
          <w:spacing w:val="-8"/>
          <w:kern w:val="0"/>
          <w:szCs w:val="20"/>
        </w:rPr>
        <w:footnoteReference w:id="176"/>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4. 추모와 이행기 정의의 다른 기둥 사이의 상호관계</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특별보고관은 기억 과정이 독립적인 기둥이자 교차하는 기둥으로서 이행기 정의의 다섯 </w:t>
      </w:r>
      <w:r w:rsidRPr="00A03B36">
        <w:rPr>
          <w:rFonts w:ascii="휴먼명조" w:eastAsia="휴먼명조" w:hAnsi="굴림" w:cs="굴림" w:hint="eastAsia"/>
          <w:color w:val="000000"/>
          <w:spacing w:val="-6"/>
          <w:kern w:val="0"/>
          <w:szCs w:val="20"/>
        </w:rPr>
        <w:t>번째 기둥을 구성한다고 본다.</w:t>
      </w:r>
      <w:r w:rsidR="00574A3D">
        <w:rPr>
          <w:rStyle w:val="a6"/>
          <w:rFonts w:ascii="휴먼명조" w:eastAsia="휴먼명조" w:hAnsi="굴림" w:cs="굴림"/>
          <w:color w:val="000000"/>
          <w:spacing w:val="-6"/>
          <w:kern w:val="0"/>
          <w:szCs w:val="20"/>
        </w:rPr>
        <w:footnoteReference w:id="177"/>
      </w:r>
      <w:r w:rsidRPr="00A03B36">
        <w:rPr>
          <w:rFonts w:ascii="휴먼명조" w:eastAsia="휴먼명조" w:hAnsi="굴림" w:cs="굴림" w:hint="eastAsia"/>
          <w:color w:val="000000"/>
          <w:spacing w:val="-6"/>
          <w:kern w:val="0"/>
          <w:szCs w:val="20"/>
        </w:rPr>
        <w:t xml:space="preserve"> 기억 과정은 진실, 정의, 배상 및 재발 방지를 위한 </w:t>
      </w:r>
      <w:r w:rsidRPr="00A03B36">
        <w:rPr>
          <w:rFonts w:ascii="휴먼명조" w:eastAsia="휴먼명조" w:hAnsi="굴림" w:cs="굴림" w:hint="eastAsia"/>
          <w:color w:val="000000"/>
          <w:spacing w:val="-12"/>
          <w:kern w:val="0"/>
          <w:szCs w:val="20"/>
        </w:rPr>
        <w:t>메커니즘을 보완하지만 대체할 수는 없다.</w:t>
      </w:r>
      <w:r w:rsidR="00574A3D">
        <w:rPr>
          <w:rStyle w:val="a6"/>
          <w:rFonts w:ascii="휴먼명조" w:eastAsia="휴먼명조" w:hAnsi="굴림" w:cs="굴림"/>
          <w:color w:val="000000"/>
          <w:spacing w:val="-12"/>
          <w:kern w:val="0"/>
          <w:szCs w:val="20"/>
        </w:rPr>
        <w:footnoteReference w:id="178"/>
      </w:r>
      <w:r w:rsidRPr="00A03B36">
        <w:rPr>
          <w:rFonts w:ascii="휴먼명조" w:eastAsia="휴먼명조" w:hAnsi="굴림" w:cs="굴림" w:hint="eastAsia"/>
          <w:color w:val="000000"/>
          <w:spacing w:val="-12"/>
          <w:kern w:val="0"/>
          <w:szCs w:val="20"/>
        </w:rPr>
        <w:t xml:space="preserve"> 기억이 없다면 진실, 정의 및 완전한 배상에</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대한 권리는 실현될 수 없으며, 재발 방지를 보장할 수도 없다.</w:t>
      </w:r>
      <w:r w:rsidR="00574A3D">
        <w:rPr>
          <w:rStyle w:val="a6"/>
          <w:rFonts w:ascii="휴먼명조" w:eastAsia="휴먼명조" w:hAnsi="굴림" w:cs="굴림"/>
          <w:color w:val="000000"/>
          <w:spacing w:val="-8"/>
          <w:kern w:val="0"/>
          <w:szCs w:val="20"/>
        </w:rPr>
        <w:footnoteReference w:id="179"/>
      </w:r>
      <w:r w:rsidRPr="00A03B36">
        <w:rPr>
          <w:rFonts w:ascii="휴먼명조" w:eastAsia="휴먼명조" w:hAnsi="굴림" w:cs="굴림" w:hint="eastAsia"/>
          <w:color w:val="000000"/>
          <w:spacing w:val="-8"/>
          <w:kern w:val="0"/>
          <w:szCs w:val="20"/>
        </w:rPr>
        <w:t xml:space="preserve"> 기억 과정은 과거의 위반에 대한 진실을 포괄적이고 정확하게 다루어야 하며, 어떠한 경우에도 진실위원회 </w:t>
      </w:r>
      <w:r w:rsidRPr="00A03B36">
        <w:rPr>
          <w:rFonts w:ascii="휴먼명조" w:eastAsia="휴먼명조" w:hAnsi="굴림" w:cs="굴림" w:hint="eastAsia"/>
          <w:color w:val="000000"/>
          <w:spacing w:val="-10"/>
          <w:kern w:val="0"/>
          <w:szCs w:val="20"/>
        </w:rPr>
        <w:t>또는 법적 절차를 통해 확인된 위반에 대한 진실을 부정, 상대화 또는 조작하려는 시도를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해서는 안 된다.</w:t>
      </w:r>
      <w:r w:rsidR="00574A3D">
        <w:rPr>
          <w:rStyle w:val="a6"/>
          <w:rFonts w:ascii="휴먼명조" w:eastAsia="휴먼명조" w:hAnsi="굴림" w:cs="굴림"/>
          <w:color w:val="000000"/>
          <w:spacing w:val="-8"/>
          <w:kern w:val="0"/>
          <w:szCs w:val="20"/>
        </w:rPr>
        <w:footnoteReference w:id="180"/>
      </w:r>
      <w:r w:rsidRPr="00A03B36">
        <w:rPr>
          <w:rFonts w:ascii="휴먼명조" w:eastAsia="휴먼명조" w:hAnsi="굴림" w:cs="굴림" w:hint="eastAsia"/>
          <w:color w:val="000000"/>
          <w:spacing w:val="-8"/>
          <w:kern w:val="0"/>
          <w:szCs w:val="20"/>
        </w:rPr>
        <w:t xml:space="preserve"> 이러한 의미에서 적절한 기억은 잘못된 정보로 인한 사회적 갈등을 예방하는 데 도움이 될 수 있다. 또한 기억 과정은 완전한 배상의 모든 측면, 특히 앞서 설명한 바와 같이 만족과 재발 방지 보장의 차원에 걸쳐 있다.</w:t>
      </w:r>
      <w:r w:rsidR="00574A3D">
        <w:rPr>
          <w:rStyle w:val="a6"/>
          <w:rFonts w:ascii="휴먼명조" w:eastAsia="휴먼명조" w:hAnsi="굴림" w:cs="굴림"/>
          <w:color w:val="000000"/>
          <w:spacing w:val="-8"/>
          <w:kern w:val="0"/>
          <w:szCs w:val="20"/>
        </w:rPr>
        <w:footnoteReference w:id="181"/>
      </w:r>
      <w:r w:rsidRPr="00A03B36">
        <w:rPr>
          <w:rFonts w:ascii="휴먼명조" w:eastAsia="휴먼명조" w:hAnsi="굴림" w:cs="굴림" w:hint="eastAsia"/>
          <w:color w:val="000000"/>
          <w:spacing w:val="-8"/>
          <w:kern w:val="0"/>
          <w:szCs w:val="20"/>
        </w:rPr>
        <w:t xml:space="preserve"> 정의와 관련하여 기억 메커니즘이 중대한 인권침해 또는 심각한 국제인도법 위반의 가해자에게 법적으로 또는 </w:t>
      </w:r>
      <w:r w:rsidRPr="00A03B36">
        <w:rPr>
          <w:rFonts w:ascii="휴먼명조" w:eastAsia="휴먼명조" w:hAnsi="굴림" w:cs="굴림" w:hint="eastAsia"/>
          <w:color w:val="000000"/>
          <w:spacing w:val="-10"/>
          <w:kern w:val="0"/>
          <w:szCs w:val="20"/>
        </w:rPr>
        <w:t>사실상 면죄부를 부여하는 구실이 되어서는 안 된다.</w:t>
      </w:r>
      <w:r w:rsidR="00574A3D">
        <w:rPr>
          <w:rStyle w:val="a6"/>
          <w:rFonts w:ascii="휴먼명조" w:eastAsia="휴먼명조" w:hAnsi="굴림" w:cs="굴림"/>
          <w:color w:val="000000"/>
          <w:spacing w:val="-10"/>
          <w:kern w:val="0"/>
          <w:szCs w:val="20"/>
        </w:rPr>
        <w:footnoteReference w:id="182"/>
      </w:r>
      <w:r w:rsidRPr="00A03B36">
        <w:rPr>
          <w:rFonts w:ascii="휴먼명조" w:eastAsia="휴먼명조" w:hAnsi="굴림" w:cs="굴림" w:hint="eastAsia"/>
          <w:color w:val="000000"/>
          <w:spacing w:val="-10"/>
          <w:kern w:val="0"/>
          <w:szCs w:val="20"/>
        </w:rPr>
        <w:t xml:space="preserve"> 기억은 가해자에 대한 형사 기소</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및 선고와 피해자에 대한 배상금 지급을 보완하는 수단일 뿐이다.</w:t>
      </w:r>
      <w:r w:rsidR="00574A3D">
        <w:rPr>
          <w:rStyle w:val="a6"/>
          <w:rFonts w:ascii="휴먼명조" w:eastAsia="휴먼명조" w:hAnsi="굴림" w:cs="굴림"/>
          <w:color w:val="000000"/>
          <w:spacing w:val="-8"/>
          <w:kern w:val="0"/>
          <w:szCs w:val="20"/>
        </w:rPr>
        <w:footnoteReference w:id="183"/>
      </w:r>
      <w:r w:rsidRPr="00A03B36">
        <w:rPr>
          <w:rFonts w:ascii="휴먼명조" w:eastAsia="휴먼명조" w:hAnsi="굴림" w:cs="굴림" w:hint="eastAsia"/>
          <w:color w:val="000000"/>
          <w:spacing w:val="-8"/>
          <w:kern w:val="0"/>
          <w:szCs w:val="20"/>
        </w:rPr>
        <w:t xml:space="preserve"> 예를 들어, 국제 </w:t>
      </w:r>
      <w:r w:rsidRPr="00A03B36">
        <w:rPr>
          <w:rFonts w:ascii="휴먼명조" w:eastAsia="휴먼명조" w:hAnsi="굴림" w:cs="굴림" w:hint="eastAsia"/>
          <w:color w:val="000000"/>
          <w:spacing w:val="-10"/>
          <w:kern w:val="0"/>
          <w:szCs w:val="20"/>
        </w:rPr>
        <w:t>또는 혼합 형사 법원에서 내린 판결은 그 자체만으로 사회 내 인식을 바꾸기에 충분하지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않다.</w:t>
      </w:r>
      <w:r w:rsidR="00574A3D">
        <w:rPr>
          <w:rStyle w:val="a6"/>
          <w:rFonts w:ascii="휴먼명조" w:eastAsia="휴먼명조" w:hAnsi="굴림" w:cs="굴림"/>
          <w:color w:val="000000"/>
          <w:spacing w:val="-8"/>
          <w:kern w:val="0"/>
          <w:szCs w:val="20"/>
        </w:rPr>
        <w:footnoteReference w:id="184"/>
      </w:r>
      <w:r w:rsidRPr="00A03B36">
        <w:rPr>
          <w:rFonts w:ascii="휴먼명조" w:eastAsia="휴먼명조" w:hAnsi="굴림" w:cs="굴림" w:hint="eastAsia"/>
          <w:color w:val="000000"/>
          <w:spacing w:val="-8"/>
          <w:kern w:val="0"/>
          <w:szCs w:val="20"/>
        </w:rPr>
        <w:t xml:space="preserve"> 또한, 기억과 진실은 특히 사회 붕괴 이후 효과적인 정의를 위해 필요하다.</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Ⅷ</w:t>
      </w:r>
      <w:proofErr w:type="spellEnd"/>
      <w:r w:rsidRPr="00A03B36">
        <w:rPr>
          <w:rFonts w:ascii="휴먼명조" w:eastAsia="휴먼명조" w:hAnsi="굴림" w:cs="굴림" w:hint="eastAsia"/>
          <w:b/>
          <w:bCs/>
          <w:color w:val="000000"/>
          <w:kern w:val="0"/>
          <w:sz w:val="26"/>
          <w:szCs w:val="26"/>
        </w:rPr>
        <w:t>. 재발 방지 보장</w:t>
      </w:r>
    </w:p>
    <w:p w:rsidR="00A03B36" w:rsidRPr="00A03B36" w:rsidRDefault="00A03B36" w:rsidP="00A03B36">
      <w:pPr>
        <w:spacing w:after="0" w:line="384" w:lineRule="auto"/>
        <w:jc w:val="center"/>
        <w:textAlignment w:val="baseline"/>
        <w:rPr>
          <w:rFonts w:ascii="함초롬바탕" w:eastAsia="굴림" w:hAnsi="굴림" w:cs="굴림"/>
          <w:b/>
          <w:bCs/>
          <w:color w:val="000000"/>
          <w:kern w:val="0"/>
          <w:sz w:val="26"/>
          <w:szCs w:val="26"/>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A. 일반적 고려</w:t>
      </w:r>
    </w:p>
    <w:p w:rsidR="00A03B36" w:rsidRPr="00A03B36" w:rsidRDefault="00A03B36" w:rsidP="00A03B36">
      <w:pPr>
        <w:spacing w:after="0" w:line="384" w:lineRule="auto"/>
        <w:ind w:left="282" w:right="588"/>
        <w:textAlignment w:val="baseline"/>
        <w:rPr>
          <w:rFonts w:ascii="함초롬바탕" w:eastAsia="굴림" w:hAnsi="굴림" w:cs="굴림"/>
          <w:color w:val="000000"/>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t>국가는 중대한 범죄의 재발 방지를 보장하여 피해자가 다시는 권리 침해를 당하지 않도록</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해야 한다.</w:t>
      </w:r>
      <w:r w:rsidR="00574A3D">
        <w:rPr>
          <w:rStyle w:val="a6"/>
          <w:rFonts w:ascii="휴먼명조" w:eastAsia="휴먼명조" w:hAnsi="굴림" w:cs="굴림"/>
          <w:color w:val="000000"/>
          <w:spacing w:val="-10"/>
          <w:kern w:val="0"/>
          <w:szCs w:val="20"/>
        </w:rPr>
        <w:footnoteReference w:id="185"/>
      </w:r>
      <w:r w:rsidRPr="00A03B36">
        <w:rPr>
          <w:rFonts w:ascii="휴먼명조" w:eastAsia="휴먼명조" w:hAnsi="굴림" w:cs="굴림" w:hint="eastAsia"/>
          <w:color w:val="000000"/>
          <w:spacing w:val="-10"/>
          <w:kern w:val="0"/>
          <w:szCs w:val="20"/>
        </w:rPr>
        <w:t xml:space="preserve"> 국가는 사회적 갈등을 예방 및 감시하고 해결을 보장하는 메커니즘을 촉진</w:t>
      </w:r>
      <w:r w:rsidRPr="00A03B36">
        <w:rPr>
          <w:rFonts w:ascii="휴먼명조" w:eastAsia="휴먼명조" w:hAnsi="굴림" w:cs="굴림" w:hint="eastAsia"/>
          <w:color w:val="000000"/>
          <w:spacing w:val="-14"/>
          <w:kern w:val="0"/>
          <w:szCs w:val="20"/>
        </w:rPr>
        <w:t>해야 하며, 이를 위해 법치 존중, 인권 존중 문화의 조성과 유지, 정부 기관에 대한 대중의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신뢰 회복 또는 확립에 필요한 제도 개혁과 기타 조치를 취해야 한다.</w:t>
      </w:r>
      <w:r w:rsidR="00574A3D">
        <w:rPr>
          <w:rStyle w:val="a6"/>
          <w:rFonts w:ascii="휴먼명조" w:eastAsia="휴먼명조" w:hAnsi="굴림" w:cs="굴림"/>
          <w:color w:val="000000"/>
          <w:spacing w:val="-8"/>
          <w:kern w:val="0"/>
          <w:szCs w:val="20"/>
        </w:rPr>
        <w:footnoteReference w:id="186"/>
      </w:r>
      <w:r w:rsidRPr="00A03B36">
        <w:rPr>
          <w:rFonts w:ascii="휴먼명조" w:eastAsia="휴먼명조" w:hAnsi="굴림" w:cs="굴림" w:hint="eastAsia"/>
          <w:color w:val="000000"/>
          <w:spacing w:val="-8"/>
          <w:kern w:val="0"/>
          <w:szCs w:val="20"/>
        </w:rPr>
        <w:t xml:space="preserve"> 재발 방지의 </w:t>
      </w:r>
      <w:r w:rsidRPr="00A03B36">
        <w:rPr>
          <w:rFonts w:ascii="휴먼명조" w:eastAsia="휴먼명조" w:hAnsi="굴림" w:cs="굴림" w:hint="eastAsia"/>
          <w:color w:val="000000"/>
          <w:spacing w:val="-10"/>
          <w:kern w:val="0"/>
          <w:szCs w:val="20"/>
        </w:rPr>
        <w:t>전반적인 목표는 사회적 폭력</w:t>
      </w:r>
      <w:r w:rsidR="00574A3D">
        <w:rPr>
          <w:rStyle w:val="a6"/>
          <w:rFonts w:ascii="휴먼명조" w:eastAsia="휴먼명조" w:hAnsi="굴림" w:cs="굴림"/>
          <w:color w:val="000000"/>
          <w:spacing w:val="-10"/>
          <w:kern w:val="0"/>
          <w:szCs w:val="20"/>
        </w:rPr>
        <w:footnoteReference w:id="187"/>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및</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조직적</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인권침해의</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구조적</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원인을</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차단하는</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데</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있다</w:t>
      </w:r>
      <w:r w:rsidRPr="00A03B36">
        <w:rPr>
          <w:rFonts w:ascii="휴먼명조" w:eastAsia="휴먼명조" w:hAnsi="굴림" w:cs="굴림" w:hint="eastAsia"/>
          <w:color w:val="000000"/>
          <w:spacing w:val="-8"/>
          <w:kern w:val="0"/>
          <w:szCs w:val="20"/>
        </w:rPr>
        <w:t>. 모든 기둥과 마찬가지로, 이러한 조치가 효과적이기 위해서는 여성과 소수집단의 적절한 대표성이 필수적이다.</w:t>
      </w:r>
      <w:r w:rsidR="00574A3D">
        <w:rPr>
          <w:rStyle w:val="a6"/>
          <w:rFonts w:ascii="휴먼명조" w:eastAsia="휴먼명조" w:hAnsi="굴림" w:cs="굴림"/>
          <w:color w:val="000000"/>
          <w:spacing w:val="-8"/>
          <w:kern w:val="0"/>
          <w:szCs w:val="20"/>
        </w:rPr>
        <w:footnoteReference w:id="188"/>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4"/>
          <w:szCs w:val="24"/>
        </w:rPr>
        <w:t>B. 구체적 고려</w:t>
      </w:r>
    </w:p>
    <w:p w:rsidR="00A03B36" w:rsidRPr="00A03B36" w:rsidRDefault="00A03B36" w:rsidP="00A03B36">
      <w:pPr>
        <w:spacing w:after="0" w:line="384" w:lineRule="auto"/>
        <w:ind w:left="282" w:right="588"/>
        <w:jc w:val="center"/>
        <w:textAlignment w:val="baseline"/>
        <w:rPr>
          <w:rFonts w:ascii="함초롬바탕" w:eastAsia="굴림" w:hAnsi="굴림" w:cs="굴림"/>
          <w:color w:val="000000"/>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1. 국제기준에 따른 법률의 개정 또는 채택</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6"/>
          <w:kern w:val="0"/>
          <w:szCs w:val="20"/>
        </w:rPr>
        <w:t>대부분의 국제인권조약</w:t>
      </w:r>
      <w:r w:rsidR="00574A3D">
        <w:rPr>
          <w:rStyle w:val="a6"/>
          <w:rFonts w:ascii="휴먼명조" w:eastAsia="휴먼명조" w:hAnsi="굴림" w:cs="굴림"/>
          <w:color w:val="000000"/>
          <w:spacing w:val="-6"/>
          <w:kern w:val="0"/>
          <w:szCs w:val="20"/>
        </w:rPr>
        <w:footnoteReference w:id="189"/>
      </w:r>
      <w:r w:rsidRPr="00A03B36">
        <w:rPr>
          <w:rFonts w:ascii="휴먼명조" w:eastAsia="휴먼명조" w:hAnsi="굴림" w:cs="굴림" w:hint="eastAsia"/>
          <w:color w:val="000000"/>
          <w:spacing w:val="-6"/>
          <w:kern w:val="0"/>
          <w:szCs w:val="20"/>
        </w:rPr>
        <w:t xml:space="preserve">과 </w:t>
      </w:r>
      <w:proofErr w:type="spellStart"/>
      <w:r w:rsidRPr="00A03B36">
        <w:rPr>
          <w:rFonts w:ascii="휴먼명조" w:eastAsia="휴먼명조" w:hAnsi="굴림" w:cs="굴림" w:hint="eastAsia"/>
          <w:color w:val="000000"/>
          <w:spacing w:val="-6"/>
          <w:kern w:val="0"/>
          <w:szCs w:val="20"/>
        </w:rPr>
        <w:t>연성법</w:t>
      </w:r>
      <w:proofErr w:type="spellEnd"/>
      <w:r w:rsidR="00574A3D">
        <w:rPr>
          <w:rStyle w:val="a6"/>
          <w:rFonts w:ascii="휴먼명조" w:eastAsia="휴먼명조" w:hAnsi="굴림" w:cs="굴림"/>
          <w:color w:val="000000"/>
          <w:spacing w:val="-6"/>
          <w:kern w:val="0"/>
          <w:szCs w:val="20"/>
        </w:rPr>
        <w:footnoteReference w:id="190"/>
      </w:r>
      <w:r w:rsidRPr="00A03B36">
        <w:rPr>
          <w:rFonts w:ascii="휴먼명조" w:eastAsia="휴먼명조" w:hAnsi="굴림" w:cs="굴림" w:hint="eastAsia"/>
          <w:color w:val="000000"/>
          <w:spacing w:val="-6"/>
          <w:kern w:val="0"/>
          <w:szCs w:val="20"/>
        </w:rPr>
        <w:t>은 개인의 권리에 영향을 미치거나 중대한 인권</w:t>
      </w:r>
      <w:r w:rsidRPr="00A03B36">
        <w:rPr>
          <w:rFonts w:ascii="휴먼명조" w:eastAsia="휴먼명조" w:hAnsi="굴림" w:cs="굴림" w:hint="eastAsia"/>
          <w:color w:val="000000"/>
          <w:spacing w:val="-12"/>
          <w:kern w:val="0"/>
          <w:szCs w:val="20"/>
        </w:rPr>
        <w:t>침해에 기여 또는 이를 허용하는 규칙을 제거하는 법률이나 기타 조치를 채택, 검토, 개정</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또는 폐지하고, 필요한 조치를 취할 국가의 의무를 포함한다. 유엔 시민적 및 정치적 권리</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2"/>
          <w:kern w:val="0"/>
          <w:szCs w:val="20"/>
        </w:rPr>
        <w:t>위원회</w:t>
      </w:r>
      <w:r w:rsidR="00574A3D">
        <w:rPr>
          <w:rStyle w:val="a6"/>
          <w:rFonts w:ascii="휴먼명조" w:eastAsia="휴먼명조" w:hAnsi="굴림" w:cs="굴림"/>
          <w:color w:val="000000"/>
          <w:spacing w:val="-12"/>
          <w:kern w:val="0"/>
          <w:szCs w:val="20"/>
        </w:rPr>
        <w:footnoteReference w:id="191"/>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및</w:t>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미주인권재판소는</w:t>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국가가</w:t>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심각한</w:t>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인권</w:t>
      </w:r>
      <w:r w:rsidRPr="00A03B36">
        <w:rPr>
          <w:rFonts w:ascii="함초롬바탕" w:eastAsia="휴먼명조" w:hAnsi="굴림" w:cs="굴림"/>
          <w:color w:val="000000"/>
          <w:spacing w:val="-12"/>
          <w:kern w:val="0"/>
          <w:szCs w:val="20"/>
        </w:rPr>
        <w:t xml:space="preserve"> </w:t>
      </w:r>
      <w:r w:rsidRPr="00A03B36">
        <w:rPr>
          <w:rFonts w:ascii="함초롬바탕" w:eastAsia="휴먼명조" w:hAnsi="굴림" w:cs="굴림"/>
          <w:color w:val="000000"/>
          <w:spacing w:val="-12"/>
          <w:kern w:val="0"/>
          <w:szCs w:val="20"/>
        </w:rPr>
        <w:t>침해를</w:t>
      </w:r>
      <w:r w:rsidRPr="00A03B36">
        <w:rPr>
          <w:rFonts w:ascii="함초롬바탕" w:eastAsia="휴먼명조" w:hAnsi="굴림" w:cs="굴림"/>
          <w:color w:val="000000"/>
          <w:spacing w:val="-12"/>
          <w:kern w:val="0"/>
          <w:szCs w:val="20"/>
        </w:rPr>
        <w:t xml:space="preserve"> </w:t>
      </w:r>
      <w:proofErr w:type="spellStart"/>
      <w:r w:rsidRPr="00A03B36">
        <w:rPr>
          <w:rFonts w:ascii="함초롬바탕" w:eastAsia="휴먼명조" w:hAnsi="굴림" w:cs="굴림"/>
          <w:color w:val="000000"/>
          <w:spacing w:val="-12"/>
          <w:kern w:val="0"/>
          <w:szCs w:val="20"/>
        </w:rPr>
        <w:t>성문화하거나</w:t>
      </w:r>
      <w:proofErr w:type="spellEnd"/>
      <w:r w:rsidRPr="00A03B36">
        <w:rPr>
          <w:rFonts w:ascii="휴먼명조" w:eastAsia="휴먼명조" w:hAnsi="굴림" w:cs="굴림" w:hint="eastAsia"/>
          <w:color w:val="000000"/>
          <w:spacing w:val="-12"/>
          <w:kern w:val="0"/>
          <w:szCs w:val="20"/>
        </w:rPr>
        <w:t>,</w:t>
      </w:r>
      <w:r w:rsidR="00574A3D">
        <w:rPr>
          <w:rStyle w:val="a6"/>
          <w:rFonts w:ascii="휴먼명조" w:eastAsia="휴먼명조" w:hAnsi="굴림" w:cs="굴림"/>
          <w:color w:val="000000"/>
          <w:spacing w:val="-12"/>
          <w:kern w:val="0"/>
          <w:szCs w:val="20"/>
        </w:rPr>
        <w:footnoteReference w:id="192"/>
      </w:r>
      <w:r w:rsidRPr="00A03B36">
        <w:rPr>
          <w:rFonts w:ascii="휴먼명조" w:eastAsia="휴먼명조" w:hAnsi="굴림" w:cs="굴림" w:hint="eastAsia"/>
          <w:color w:val="000000"/>
          <w:spacing w:val="-12"/>
          <w:kern w:val="0"/>
          <w:szCs w:val="20"/>
        </w:rPr>
        <w:t xml:space="preserve"> 특정 협약을</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비준하는 데 필요한 조치를 취해야 </w:t>
      </w:r>
      <w:r w:rsidRPr="00A03B36">
        <w:rPr>
          <w:rFonts w:ascii="휴먼명조" w:eastAsia="휴먼명조" w:hAnsi="굴림" w:cs="굴림" w:hint="eastAsia"/>
          <w:color w:val="000000"/>
          <w:spacing w:val="-8"/>
          <w:kern w:val="0"/>
          <w:szCs w:val="20"/>
        </w:rPr>
        <w:lastRenderedPageBreak/>
        <w:t>한다고 지적했다.</w:t>
      </w:r>
      <w:r w:rsidR="00574A3D">
        <w:rPr>
          <w:rStyle w:val="a6"/>
          <w:rFonts w:ascii="휴먼명조" w:eastAsia="휴먼명조" w:hAnsi="굴림" w:cs="굴림"/>
          <w:color w:val="000000"/>
          <w:spacing w:val="-8"/>
          <w:kern w:val="0"/>
          <w:szCs w:val="20"/>
        </w:rPr>
        <w:footnoteReference w:id="193"/>
      </w:r>
    </w:p>
    <w:p w:rsidR="00A03B36" w:rsidRPr="00A03B36" w:rsidRDefault="00A03B36" w:rsidP="00A03B36">
      <w:pPr>
        <w:spacing w:after="0" w:line="384" w:lineRule="auto"/>
        <w:ind w:left="282" w:right="588"/>
        <w:jc w:val="center"/>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2. 인권 존중 문화를 강화하기 위한 제도 개편 및 행동 규칙 시행</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6"/>
          <w:kern w:val="0"/>
          <w:szCs w:val="20"/>
        </w:rPr>
        <w:t xml:space="preserve">적절한 제도적 대응은 화해에 필요한 공공기관에 대한 신뢰를 형성하는데, 이는 특정 </w:t>
      </w:r>
      <w:r w:rsidRPr="00A03B36">
        <w:rPr>
          <w:rFonts w:ascii="휴먼명조" w:eastAsia="휴먼명조" w:hAnsi="굴림" w:cs="굴림" w:hint="eastAsia"/>
          <w:color w:val="000000"/>
          <w:spacing w:val="-8"/>
          <w:kern w:val="0"/>
          <w:szCs w:val="20"/>
        </w:rPr>
        <w:t xml:space="preserve">국가의 </w:t>
      </w:r>
      <w:proofErr w:type="spellStart"/>
      <w:r w:rsidRPr="00A03B36">
        <w:rPr>
          <w:rFonts w:ascii="휴먼명조" w:eastAsia="휴먼명조" w:hAnsi="굴림" w:cs="굴림" w:hint="eastAsia"/>
          <w:color w:val="000000"/>
          <w:spacing w:val="-8"/>
          <w:kern w:val="0"/>
          <w:szCs w:val="20"/>
        </w:rPr>
        <w:t>관할하에</w:t>
      </w:r>
      <w:proofErr w:type="spellEnd"/>
      <w:r w:rsidRPr="00A03B36">
        <w:rPr>
          <w:rFonts w:ascii="휴먼명조" w:eastAsia="휴먼명조" w:hAnsi="굴림" w:cs="굴림" w:hint="eastAsia"/>
          <w:color w:val="000000"/>
          <w:spacing w:val="-8"/>
          <w:kern w:val="0"/>
          <w:szCs w:val="20"/>
        </w:rPr>
        <w:t xml:space="preserve"> 있는 개인이 통치 기관에 동기를 부여하는 규범과 가치에 충분히 전념</w:t>
      </w:r>
      <w:r w:rsidRPr="00A03B36">
        <w:rPr>
          <w:rFonts w:ascii="휴먼명조" w:eastAsia="휴먼명조" w:hAnsi="굴림" w:cs="굴림" w:hint="eastAsia"/>
          <w:color w:val="000000"/>
          <w:spacing w:val="-10"/>
          <w:kern w:val="0"/>
          <w:szCs w:val="20"/>
        </w:rPr>
        <w:t>하고 해당 기관을 운영하는 사람들이 마찬가지로 헌신하고 있다는 확신을 보장하기 때문</w:t>
      </w:r>
      <w:r w:rsidRPr="00A03B36">
        <w:rPr>
          <w:rFonts w:ascii="휴먼명조" w:eastAsia="휴먼명조" w:hAnsi="굴림" w:cs="굴림" w:hint="eastAsia"/>
          <w:color w:val="000000"/>
          <w:spacing w:val="-8"/>
          <w:kern w:val="0"/>
          <w:szCs w:val="20"/>
        </w:rPr>
        <w:t>이다.</w:t>
      </w:r>
      <w:r w:rsidR="00574A3D">
        <w:rPr>
          <w:rStyle w:val="a6"/>
          <w:rFonts w:ascii="휴먼명조" w:eastAsia="휴먼명조" w:hAnsi="굴림" w:cs="굴림"/>
          <w:color w:val="000000"/>
          <w:spacing w:val="-8"/>
          <w:kern w:val="0"/>
          <w:szCs w:val="20"/>
        </w:rPr>
        <w:footnoteReference w:id="194"/>
      </w:r>
      <w:r w:rsidRPr="00A03B36">
        <w:rPr>
          <w:rFonts w:ascii="휴먼명조" w:eastAsia="휴먼명조" w:hAnsi="굴림" w:cs="굴림" w:hint="eastAsia"/>
          <w:color w:val="000000"/>
          <w:spacing w:val="-8"/>
          <w:kern w:val="0"/>
          <w:szCs w:val="20"/>
        </w:rPr>
        <w:t xml:space="preserve"> 특정 집단이 당국의 지원을 받는 반면, 다른 집단은 소외되는 상황은 과거의 </w:t>
      </w:r>
      <w:r w:rsidRPr="00A03B36">
        <w:rPr>
          <w:rFonts w:ascii="휴먼명조" w:eastAsia="휴먼명조" w:hAnsi="굴림" w:cs="굴림" w:hint="eastAsia"/>
          <w:color w:val="000000"/>
          <w:spacing w:val="-2"/>
          <w:kern w:val="0"/>
          <w:szCs w:val="20"/>
        </w:rPr>
        <w:t xml:space="preserve">상처를 다시 열고 증오를 강화하며 새로운 폭력 행위를 부추길 수 있으므로 피해야 </w:t>
      </w:r>
      <w:r w:rsidRPr="00A03B36">
        <w:rPr>
          <w:rFonts w:ascii="휴먼명조" w:eastAsia="휴먼명조" w:hAnsi="굴림" w:cs="굴림" w:hint="eastAsia"/>
          <w:color w:val="000000"/>
          <w:spacing w:val="-8"/>
          <w:kern w:val="0"/>
          <w:szCs w:val="20"/>
        </w:rPr>
        <w:t>한다.</w:t>
      </w:r>
      <w:r w:rsidR="00574A3D">
        <w:rPr>
          <w:rStyle w:val="a6"/>
          <w:rFonts w:ascii="휴먼명조" w:eastAsia="휴먼명조" w:hAnsi="굴림" w:cs="굴림"/>
          <w:color w:val="000000"/>
          <w:spacing w:val="-8"/>
          <w:kern w:val="0"/>
          <w:szCs w:val="20"/>
        </w:rPr>
        <w:footnoteReference w:id="195"/>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t>국가는 중대한 인권침해에 개인적으로 책임이 있는 공무원과 직원, 특히 군사, 보안, 경찰,</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4"/>
          <w:kern w:val="0"/>
          <w:szCs w:val="20"/>
        </w:rPr>
        <w:t xml:space="preserve">정보 및 사법 부문에 종사하는 공무원이 형사 또는 징계 절차 중에 국가기관에 계속 </w:t>
      </w:r>
      <w:r w:rsidRPr="00A03B36">
        <w:rPr>
          <w:rFonts w:ascii="휴먼명조" w:eastAsia="휴먼명조" w:hAnsi="굴림" w:cs="굴림" w:hint="eastAsia"/>
          <w:color w:val="000000"/>
          <w:spacing w:val="-10"/>
          <w:kern w:val="0"/>
          <w:szCs w:val="20"/>
        </w:rPr>
        <w:t>근무하지 않고 공무가 정지되도록 보장해야 한다. 이들의 해임은 적법한 법 절차 및 차별</w:t>
      </w:r>
      <w:r w:rsidRPr="00A03B36">
        <w:rPr>
          <w:rFonts w:ascii="휴먼명조" w:eastAsia="휴먼명조" w:hAnsi="굴림" w:cs="굴림" w:hint="eastAsia"/>
          <w:color w:val="000000"/>
          <w:spacing w:val="-8"/>
          <w:kern w:val="0"/>
          <w:szCs w:val="20"/>
        </w:rPr>
        <w:t>금지 원칙의 요건을 준수해야 한다.</w:t>
      </w:r>
      <w:r w:rsidR="00574A3D">
        <w:rPr>
          <w:rStyle w:val="a6"/>
          <w:rFonts w:ascii="휴먼명조" w:eastAsia="휴먼명조" w:hAnsi="굴림" w:cs="굴림"/>
          <w:color w:val="000000"/>
          <w:spacing w:val="-8"/>
          <w:kern w:val="0"/>
          <w:szCs w:val="20"/>
        </w:rPr>
        <w:footnoteReference w:id="196"/>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특별보고관은 국가가 공정하고 투명한 인사 검증 절차를 채택하여 사법, 안보 및 군대 부문을 개혁할 것을 권고했다.</w:t>
      </w:r>
      <w:r w:rsidR="00574A3D">
        <w:rPr>
          <w:rStyle w:val="a6"/>
          <w:rFonts w:ascii="휴먼명조" w:eastAsia="휴먼명조" w:hAnsi="굴림" w:cs="굴림"/>
          <w:color w:val="000000"/>
          <w:spacing w:val="-8"/>
          <w:kern w:val="0"/>
          <w:szCs w:val="20"/>
        </w:rPr>
        <w:footnoteReference w:id="197"/>
      </w:r>
      <w:r w:rsidRPr="00A03B36">
        <w:rPr>
          <w:rFonts w:ascii="휴먼명조" w:eastAsia="휴먼명조" w:hAnsi="굴림" w:cs="굴림" w:hint="eastAsia"/>
          <w:color w:val="000000"/>
          <w:spacing w:val="-8"/>
          <w:kern w:val="0"/>
          <w:szCs w:val="20"/>
        </w:rPr>
        <w:t xml:space="preserve"> 공직자 인사 검증은 직원의 채용 및 유지, 징계 감독 및 정실주의 예방을 관리하는 제도적 규범에 대한 의지를 보여줌으로써 확신과 신뢰를 </w:t>
      </w:r>
      <w:r w:rsidRPr="00A03B36">
        <w:rPr>
          <w:rFonts w:ascii="휴먼명조" w:eastAsia="휴먼명조" w:hAnsi="굴림" w:cs="굴림" w:hint="eastAsia"/>
          <w:color w:val="000000"/>
          <w:spacing w:val="-10"/>
          <w:kern w:val="0"/>
          <w:szCs w:val="20"/>
        </w:rPr>
        <w:t>유도할 수 있다.</w:t>
      </w:r>
      <w:r w:rsidR="00574A3D">
        <w:rPr>
          <w:rStyle w:val="a6"/>
          <w:rFonts w:ascii="휴먼명조" w:eastAsia="휴먼명조" w:hAnsi="굴림" w:cs="굴림"/>
          <w:color w:val="000000"/>
          <w:spacing w:val="-10"/>
          <w:kern w:val="0"/>
          <w:szCs w:val="20"/>
        </w:rPr>
        <w:footnoteReference w:id="198"/>
      </w:r>
      <w:r w:rsidRPr="00A03B36">
        <w:rPr>
          <w:rFonts w:ascii="휴먼명조" w:eastAsia="휴먼명조" w:hAnsi="굴림" w:cs="굴림" w:hint="eastAsia"/>
          <w:color w:val="000000"/>
          <w:spacing w:val="-10"/>
          <w:kern w:val="0"/>
          <w:szCs w:val="20"/>
        </w:rPr>
        <w:t xml:space="preserve"> 인사 검증은 </w:t>
      </w:r>
      <w:proofErr w:type="spellStart"/>
      <w:r w:rsidRPr="00A03B36">
        <w:rPr>
          <w:rFonts w:ascii="휴먼명조" w:eastAsia="휴먼명조" w:hAnsi="굴림" w:cs="굴림" w:hint="eastAsia"/>
          <w:color w:val="000000"/>
          <w:spacing w:val="-10"/>
          <w:kern w:val="0"/>
          <w:szCs w:val="20"/>
        </w:rPr>
        <w:t>개인과</w:t>
      </w:r>
      <w:proofErr w:type="spellEnd"/>
      <w:r w:rsidRPr="00A03B36">
        <w:rPr>
          <w:rFonts w:ascii="휴먼명조" w:eastAsia="휴먼명조" w:hAnsi="굴림" w:cs="굴림" w:hint="eastAsia"/>
          <w:color w:val="000000"/>
          <w:spacing w:val="-10"/>
          <w:kern w:val="0"/>
          <w:szCs w:val="20"/>
        </w:rPr>
        <w:t xml:space="preserve"> 당국이 동등한 권리 보유자로서 신뢰의 맥락에서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서로 관계를 맺을 수 있는 조건을 보장한다는 개념에서 출발해야 한다.</w:t>
      </w:r>
      <w:r w:rsidR="00574A3D">
        <w:rPr>
          <w:rStyle w:val="a6"/>
          <w:rFonts w:ascii="휴먼명조" w:eastAsia="휴먼명조" w:hAnsi="굴림" w:cs="굴림"/>
          <w:color w:val="000000"/>
          <w:spacing w:val="-10"/>
          <w:kern w:val="0"/>
          <w:szCs w:val="20"/>
        </w:rPr>
        <w:footnoteReference w:id="199"/>
      </w:r>
      <w:r w:rsidRPr="00A03B36">
        <w:rPr>
          <w:rFonts w:ascii="휴먼명조" w:eastAsia="휴먼명조" w:hAnsi="굴림" w:cs="굴림" w:hint="eastAsia"/>
          <w:color w:val="000000"/>
          <w:spacing w:val="-10"/>
          <w:kern w:val="0"/>
          <w:szCs w:val="20"/>
        </w:rPr>
        <w:t xml:space="preserve"> 직위를 남용한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2"/>
          <w:kern w:val="0"/>
          <w:szCs w:val="20"/>
        </w:rPr>
        <w:t xml:space="preserve">자를 선별하고 해임하는 것만으로 구성된 기본적인 개혁조차도 법의 지배 시스템의 </w:t>
      </w:r>
      <w:r w:rsidRPr="00A03B36">
        <w:rPr>
          <w:rFonts w:ascii="휴먼명조" w:eastAsia="휴먼명조" w:hAnsi="굴림" w:cs="굴림" w:hint="eastAsia"/>
          <w:color w:val="000000"/>
          <w:spacing w:val="-8"/>
          <w:kern w:val="0"/>
          <w:szCs w:val="20"/>
        </w:rPr>
        <w:t>완전성을 높인다.</w:t>
      </w:r>
      <w:r w:rsidR="00574A3D">
        <w:rPr>
          <w:rStyle w:val="a6"/>
          <w:rFonts w:ascii="휴먼명조" w:eastAsia="휴먼명조" w:hAnsi="굴림" w:cs="굴림"/>
          <w:color w:val="000000"/>
          <w:spacing w:val="-8"/>
          <w:kern w:val="0"/>
          <w:szCs w:val="20"/>
        </w:rPr>
        <w:footnoteReference w:id="200"/>
      </w:r>
      <w:r w:rsidRPr="00A03B36">
        <w:rPr>
          <w:rFonts w:ascii="휴먼명조" w:eastAsia="휴먼명조" w:hAnsi="굴림" w:cs="굴림" w:hint="eastAsia"/>
          <w:color w:val="000000"/>
          <w:spacing w:val="-8"/>
          <w:kern w:val="0"/>
          <w:szCs w:val="20"/>
        </w:rPr>
        <w:t xml:space="preserve"> 그러나 다른 배상 메커니즘이 없는 경우 검증은 기관이 대응하고자 </w:t>
      </w:r>
      <w:r w:rsidRPr="00A03B36">
        <w:rPr>
          <w:rFonts w:ascii="휴먼명조" w:eastAsia="휴먼명조" w:hAnsi="굴림" w:cs="굴림" w:hint="eastAsia"/>
          <w:color w:val="000000"/>
          <w:spacing w:val="-12"/>
          <w:kern w:val="0"/>
          <w:szCs w:val="20"/>
        </w:rPr>
        <w:t>하는 위반에 대응하기에 부적절할 뿐만 아니라 재발 보장에 충분치 않다는 점에 유의해야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한다.</w:t>
      </w:r>
      <w:r w:rsidR="00574A3D">
        <w:rPr>
          <w:rStyle w:val="a6"/>
          <w:rFonts w:ascii="휴먼명조" w:eastAsia="휴먼명조" w:hAnsi="굴림" w:cs="굴림"/>
          <w:color w:val="000000"/>
          <w:spacing w:val="-8"/>
          <w:kern w:val="0"/>
          <w:szCs w:val="20"/>
        </w:rPr>
        <w:footnoteReference w:id="201"/>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2"/>
          <w:kern w:val="0"/>
          <w:szCs w:val="20"/>
        </w:rPr>
        <w:lastRenderedPageBreak/>
        <w:t>교육 조치는 심각한 범죄와 중대한 인권침해 재발을 막기 위해 필요한 개혁의 일부이기</w:t>
      </w:r>
      <w:r w:rsidRPr="00A03B36">
        <w:rPr>
          <w:rFonts w:ascii="휴먼명조" w:eastAsia="휴먼명조" w:hAnsi="굴림" w:cs="굴림" w:hint="eastAsia"/>
          <w:color w:val="000000"/>
          <w:spacing w:val="-8"/>
          <w:kern w:val="0"/>
          <w:szCs w:val="20"/>
        </w:rPr>
        <w:t>도 하다. 교육 정책은 대화, 민주적 시민 의식, 인권 존중을 키우는 데 도움이 되어야 한다. 국가는 사회의 모든 부문에 인권 교육을 제공하고 공공 및 법 집행 공무원, 군대와 보안군에 인권 교육을 제공해야 한다.</w:t>
      </w:r>
      <w:r w:rsidR="00574A3D">
        <w:rPr>
          <w:rStyle w:val="a6"/>
          <w:rFonts w:ascii="휴먼명조" w:eastAsia="휴먼명조" w:hAnsi="굴림" w:cs="굴림"/>
          <w:color w:val="000000"/>
          <w:spacing w:val="-8"/>
          <w:kern w:val="0"/>
          <w:szCs w:val="20"/>
        </w:rPr>
        <w:footnoteReference w:id="202"/>
      </w:r>
      <w:r w:rsidRPr="00A03B36">
        <w:rPr>
          <w:rFonts w:ascii="휴먼명조" w:eastAsia="휴먼명조" w:hAnsi="굴림" w:cs="굴림" w:hint="eastAsia"/>
          <w:color w:val="000000"/>
          <w:spacing w:val="-8"/>
          <w:kern w:val="0"/>
          <w:szCs w:val="20"/>
        </w:rPr>
        <w:t xml:space="preserve"> 한 대학살의 맥락에서, 미주인권재판소는 국가가 </w:t>
      </w:r>
      <w:r w:rsidRPr="00A03B36">
        <w:rPr>
          <w:rFonts w:ascii="휴먼명조" w:eastAsia="휴먼명조" w:hAnsi="굴림" w:cs="굴림" w:hint="eastAsia"/>
          <w:color w:val="000000"/>
          <w:spacing w:val="-12"/>
          <w:kern w:val="0"/>
          <w:szCs w:val="20"/>
        </w:rPr>
        <w:t>모든 계층의 군대와 안보 기관의 구성원들에게 인권 및 국제인도법의 보호 원칙과 조항에</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대해 영구적으로 훈련하는 조치를 취하도록 주문했다.</w:t>
      </w:r>
      <w:r w:rsidR="00574A3D">
        <w:rPr>
          <w:rStyle w:val="a6"/>
          <w:rFonts w:ascii="휴먼명조" w:eastAsia="휴먼명조" w:hAnsi="굴림" w:cs="굴림"/>
          <w:color w:val="000000"/>
          <w:spacing w:val="-8"/>
          <w:kern w:val="0"/>
          <w:szCs w:val="20"/>
        </w:rPr>
        <w:footnoteReference w:id="203"/>
      </w:r>
      <w:r w:rsidRPr="00A03B36">
        <w:rPr>
          <w:rFonts w:ascii="휴먼명조" w:eastAsia="휴먼명조" w:hAnsi="굴림" w:cs="굴림" w:hint="eastAsia"/>
          <w:color w:val="000000"/>
          <w:spacing w:val="-8"/>
          <w:kern w:val="0"/>
          <w:szCs w:val="20"/>
        </w:rPr>
        <w:t xml:space="preserve"> 또 다른 사례에서, 재판소는 고문 및 기타 잔인하고 비인도적이거나 굴욕적인 대우 또는 처벌의 효과적인 조사 및 문서화에 관한 매뉴얼(이스탄불 의정서)과 비사법적, 즉결 또는 자의적 처형의 효과적인 </w:t>
      </w:r>
      <w:r w:rsidRPr="00A03B36">
        <w:rPr>
          <w:rFonts w:ascii="휴먼명조" w:eastAsia="휴먼명조" w:hAnsi="굴림" w:cs="굴림" w:hint="eastAsia"/>
          <w:color w:val="000000"/>
          <w:spacing w:val="2"/>
          <w:kern w:val="0"/>
          <w:szCs w:val="20"/>
        </w:rPr>
        <w:t>예방과 조사에 관한 유엔 매뉴얼에 관한 연구를 포함하는 프로그램의 이행을 명령</w:t>
      </w:r>
      <w:r w:rsidRPr="00A03B36">
        <w:rPr>
          <w:rFonts w:ascii="휴먼명조" w:eastAsia="휴먼명조" w:hAnsi="굴림" w:cs="굴림" w:hint="eastAsia"/>
          <w:color w:val="000000"/>
          <w:spacing w:val="8"/>
          <w:kern w:val="0"/>
          <w:szCs w:val="20"/>
        </w:rPr>
        <w:t>했</w:t>
      </w:r>
      <w:r w:rsidRPr="00A03B36">
        <w:rPr>
          <w:rFonts w:ascii="휴먼명조" w:eastAsia="휴먼명조" w:hAnsi="굴림" w:cs="굴림" w:hint="eastAsia"/>
          <w:color w:val="000000"/>
          <w:spacing w:val="-2"/>
          <w:kern w:val="0"/>
          <w:szCs w:val="20"/>
        </w:rPr>
        <w:t>다.</w:t>
      </w:r>
      <w:r w:rsidR="00574A3D">
        <w:rPr>
          <w:rStyle w:val="a6"/>
          <w:rFonts w:ascii="휴먼명조" w:eastAsia="휴먼명조" w:hAnsi="굴림" w:cs="굴림"/>
          <w:color w:val="000000"/>
          <w:spacing w:val="-2"/>
          <w:kern w:val="0"/>
          <w:szCs w:val="20"/>
        </w:rPr>
        <w:footnoteReference w:id="204"/>
      </w:r>
      <w:r w:rsidRPr="00A03B36">
        <w:rPr>
          <w:rFonts w:ascii="휴먼명조" w:eastAsia="휴먼명조" w:hAnsi="굴림" w:cs="굴림" w:hint="eastAsia"/>
          <w:color w:val="000000"/>
          <w:spacing w:val="-2"/>
          <w:kern w:val="0"/>
          <w:szCs w:val="20"/>
        </w:rPr>
        <w:t xml:space="preserve"> 특별보고관은 젠더 관점을 고려한 교육 프로그램 개발을 권고했다.</w:t>
      </w:r>
      <w:r w:rsidR="00574A3D">
        <w:rPr>
          <w:rStyle w:val="a6"/>
          <w:rFonts w:ascii="휴먼명조" w:eastAsia="휴먼명조" w:hAnsi="굴림" w:cs="굴림"/>
          <w:color w:val="000000"/>
          <w:spacing w:val="-2"/>
          <w:kern w:val="0"/>
          <w:szCs w:val="20"/>
        </w:rPr>
        <w:footnoteReference w:id="205"/>
      </w:r>
      <w:r w:rsidRPr="00A03B36">
        <w:rPr>
          <w:rFonts w:ascii="휴먼명조" w:eastAsia="휴먼명조" w:hAnsi="굴림" w:cs="굴림" w:hint="eastAsia"/>
          <w:color w:val="000000"/>
          <w:spacing w:val="-2"/>
          <w:kern w:val="0"/>
          <w:szCs w:val="20"/>
        </w:rPr>
        <w:t xml:space="preserve"> 특별</w:t>
      </w:r>
      <w:r w:rsidRPr="00A03B36">
        <w:rPr>
          <w:rFonts w:ascii="휴먼명조" w:eastAsia="휴먼명조" w:hAnsi="굴림" w:cs="굴림" w:hint="eastAsia"/>
          <w:color w:val="000000"/>
          <w:spacing w:val="-10"/>
          <w:kern w:val="0"/>
          <w:szCs w:val="20"/>
        </w:rPr>
        <w:t>보고관은 현대 민주국가의 주요 목적은 이러한 권리를 정당하게 보장하는 것이기 때문에</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4"/>
          <w:kern w:val="0"/>
          <w:szCs w:val="20"/>
        </w:rPr>
        <w:t xml:space="preserve">모든 국가기관에서 직무를 수행하는 모든 사람은 인권에 대한 교육과 훈련을 받아야 </w:t>
      </w:r>
      <w:r w:rsidRPr="00A03B36">
        <w:rPr>
          <w:rFonts w:ascii="휴먼명조" w:eastAsia="휴먼명조" w:hAnsi="굴림" w:cs="굴림" w:hint="eastAsia"/>
          <w:color w:val="000000"/>
          <w:spacing w:val="-2"/>
          <w:kern w:val="0"/>
          <w:szCs w:val="20"/>
        </w:rPr>
        <w:t xml:space="preserve">한다고 여긴다. 또한 국가는 문화 및 미디어 분야에서 상호 이해, 문화적 다양성 및 </w:t>
      </w:r>
      <w:r w:rsidRPr="00A03B36">
        <w:rPr>
          <w:rFonts w:ascii="휴먼명조" w:eastAsia="휴먼명조" w:hAnsi="굴림" w:cs="굴림" w:hint="eastAsia"/>
          <w:color w:val="000000"/>
          <w:spacing w:val="-8"/>
          <w:kern w:val="0"/>
          <w:szCs w:val="20"/>
        </w:rPr>
        <w:t>공존을 증진하기 위한 정책을 채택해야 한다.</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3. 피해자의 포용적이고 차별 없는 참여와 공공 기관에 대한 민간인 감독</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인권침해 재발 방지를 위한 제도적 개혁은 피해자와 시민사회의 다른 부문이 참여하는 등 광범위한 공론화 과정을 통해 이루어져야 한다.</w:t>
      </w:r>
      <w:r w:rsidR="00574A3D">
        <w:rPr>
          <w:rStyle w:val="a6"/>
          <w:rFonts w:ascii="휴먼명조" w:eastAsia="휴먼명조" w:hAnsi="굴림" w:cs="굴림"/>
          <w:color w:val="000000"/>
          <w:spacing w:val="-8"/>
          <w:kern w:val="0"/>
          <w:szCs w:val="20"/>
        </w:rPr>
        <w:footnoteReference w:id="206"/>
      </w:r>
      <w:r w:rsidRPr="00A03B36">
        <w:rPr>
          <w:rFonts w:ascii="휴먼명조" w:eastAsia="휴먼명조" w:hAnsi="굴림" w:cs="굴림" w:hint="eastAsia"/>
          <w:color w:val="000000"/>
          <w:spacing w:val="-8"/>
          <w:kern w:val="0"/>
          <w:szCs w:val="20"/>
        </w:rPr>
        <w:t xml:space="preserve"> 이러한 방식으로 진행되는 과정은 </w:t>
      </w:r>
      <w:r w:rsidRPr="00A03B36">
        <w:rPr>
          <w:rFonts w:ascii="휴먼명조" w:eastAsia="휴먼명조" w:hAnsi="굴림" w:cs="굴림" w:hint="eastAsia"/>
          <w:color w:val="000000"/>
          <w:spacing w:val="-10"/>
          <w:kern w:val="0"/>
          <w:szCs w:val="20"/>
        </w:rPr>
        <w:t>부정주의, 수정주의 및 조작 시도에 대응하는 데 도움이 된다.</w:t>
      </w:r>
      <w:r w:rsidR="008F55F0">
        <w:rPr>
          <w:rStyle w:val="a6"/>
          <w:rFonts w:ascii="휴먼명조" w:eastAsia="휴먼명조" w:hAnsi="굴림" w:cs="굴림"/>
          <w:color w:val="000000"/>
          <w:spacing w:val="-10"/>
          <w:kern w:val="0"/>
          <w:szCs w:val="20"/>
        </w:rPr>
        <w:footnoteReference w:id="207"/>
      </w:r>
      <w:r w:rsidRPr="00A03B36">
        <w:rPr>
          <w:rFonts w:ascii="휴먼명조" w:eastAsia="휴먼명조" w:hAnsi="굴림" w:cs="굴림" w:hint="eastAsia"/>
          <w:color w:val="000000"/>
          <w:spacing w:val="-10"/>
          <w:kern w:val="0"/>
          <w:szCs w:val="20"/>
        </w:rPr>
        <w:t xml:space="preserve"> 이러한 </w:t>
      </w:r>
      <w:proofErr w:type="spellStart"/>
      <w:r w:rsidRPr="00A03B36">
        <w:rPr>
          <w:rFonts w:ascii="휴먼명조" w:eastAsia="휴먼명조" w:hAnsi="굴림" w:cs="굴림" w:hint="eastAsia"/>
          <w:color w:val="000000"/>
          <w:spacing w:val="-10"/>
          <w:kern w:val="0"/>
          <w:szCs w:val="20"/>
        </w:rPr>
        <w:t>제도적·인사적</w:t>
      </w:r>
      <w:proofErr w:type="spellEnd"/>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4"/>
          <w:kern w:val="0"/>
          <w:szCs w:val="20"/>
        </w:rPr>
        <w:t xml:space="preserve">개혁 조치는 국민, 특히 피해자의 관점에 확고한 기반을 두어야 하며, 피해자는 향후 </w:t>
      </w:r>
      <w:r w:rsidRPr="00A03B36">
        <w:rPr>
          <w:rFonts w:ascii="휴먼명조" w:eastAsia="휴먼명조" w:hAnsi="굴림" w:cs="굴림" w:hint="eastAsia"/>
          <w:color w:val="000000"/>
          <w:spacing w:val="-8"/>
          <w:kern w:val="0"/>
          <w:szCs w:val="20"/>
        </w:rPr>
        <w:t>위반을 방지할 수 있는 법률과 제도를 구축하고 법의 지배 원칙이 적용되는 방식으로 공직자가 선발되도록 관련 과정에 적극적으로 참여해야 한다.</w:t>
      </w:r>
      <w:r w:rsidR="008F55F0">
        <w:rPr>
          <w:rStyle w:val="a6"/>
          <w:rFonts w:ascii="휴먼명조" w:eastAsia="휴먼명조" w:hAnsi="굴림" w:cs="굴림"/>
          <w:color w:val="000000"/>
          <w:spacing w:val="-8"/>
          <w:kern w:val="0"/>
          <w:szCs w:val="20"/>
        </w:rPr>
        <w:footnoteReference w:id="208"/>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또한, 국가는 군대와 </w:t>
      </w:r>
      <w:proofErr w:type="spellStart"/>
      <w:r w:rsidRPr="00A03B36">
        <w:rPr>
          <w:rFonts w:ascii="휴먼명조" w:eastAsia="휴먼명조" w:hAnsi="굴림" w:cs="굴림" w:hint="eastAsia"/>
          <w:color w:val="000000"/>
          <w:spacing w:val="-8"/>
          <w:kern w:val="0"/>
          <w:szCs w:val="20"/>
        </w:rPr>
        <w:t>보안군</w:t>
      </w:r>
      <w:proofErr w:type="spellEnd"/>
      <w:r w:rsidRPr="00A03B36">
        <w:rPr>
          <w:rFonts w:ascii="휴먼명조" w:eastAsia="휴먼명조" w:hAnsi="굴림" w:cs="굴림" w:hint="eastAsia"/>
          <w:color w:val="000000"/>
          <w:spacing w:val="-8"/>
          <w:kern w:val="0"/>
          <w:szCs w:val="20"/>
        </w:rPr>
        <w:t>,</w:t>
      </w:r>
      <w:r w:rsidR="008F55F0">
        <w:rPr>
          <w:rStyle w:val="a6"/>
          <w:rFonts w:ascii="휴먼명조" w:eastAsia="휴먼명조" w:hAnsi="굴림" w:cs="굴림"/>
          <w:color w:val="000000"/>
          <w:spacing w:val="-8"/>
          <w:kern w:val="0"/>
          <w:szCs w:val="20"/>
        </w:rPr>
        <w:footnoteReference w:id="209"/>
      </w:r>
      <w:r w:rsidRPr="00A03B36">
        <w:rPr>
          <w:rFonts w:ascii="휴먼명조" w:eastAsia="휴먼명조" w:hAnsi="굴림" w:cs="굴림" w:hint="eastAsia"/>
          <w:color w:val="000000"/>
          <w:spacing w:val="-8"/>
          <w:kern w:val="0"/>
          <w:szCs w:val="20"/>
        </w:rPr>
        <w:t xml:space="preserve"> 그리고 정보기관에 대한 효과적인 민간인 통제를 보장해야 </w:t>
      </w:r>
      <w:r w:rsidRPr="00A03B36">
        <w:rPr>
          <w:rFonts w:ascii="휴먼명조" w:eastAsia="휴먼명조" w:hAnsi="굴림" w:cs="굴림" w:hint="eastAsia"/>
          <w:color w:val="000000"/>
          <w:spacing w:val="-8"/>
          <w:kern w:val="0"/>
          <w:szCs w:val="20"/>
        </w:rPr>
        <w:lastRenderedPageBreak/>
        <w:t>하며, 필요한 경우 그러한 통제를 확립하거나 복원해야 한다.</w:t>
      </w:r>
      <w:r w:rsidR="008F55F0">
        <w:rPr>
          <w:rStyle w:val="a6"/>
          <w:rFonts w:ascii="휴먼명조" w:eastAsia="휴먼명조" w:hAnsi="굴림" w:cs="굴림"/>
          <w:color w:val="000000"/>
          <w:spacing w:val="-8"/>
          <w:kern w:val="0"/>
          <w:szCs w:val="20"/>
        </w:rPr>
        <w:footnoteReference w:id="210"/>
      </w:r>
      <w:r w:rsidRPr="00A03B36">
        <w:rPr>
          <w:rFonts w:ascii="휴먼명조" w:eastAsia="휴먼명조" w:hAnsi="굴림" w:cs="굴림" w:hint="eastAsia"/>
          <w:color w:val="000000"/>
          <w:spacing w:val="-8"/>
          <w:kern w:val="0"/>
          <w:szCs w:val="20"/>
        </w:rPr>
        <w:t xml:space="preserve"> 이를 위해 국가는 입법 감독 기관을 포함한 효과적인 민간인 통제 기관을 설립해야 한다.</w:t>
      </w:r>
      <w:r w:rsidR="008F55F0">
        <w:rPr>
          <w:rStyle w:val="a6"/>
          <w:rFonts w:ascii="휴먼명조" w:eastAsia="휴먼명조" w:hAnsi="굴림" w:cs="굴림"/>
          <w:color w:val="000000"/>
          <w:spacing w:val="-8"/>
          <w:kern w:val="0"/>
          <w:szCs w:val="20"/>
        </w:rPr>
        <w:footnoteReference w:id="211"/>
      </w:r>
      <w:r w:rsidRPr="00A03B36">
        <w:rPr>
          <w:rFonts w:ascii="휴먼명조" w:eastAsia="휴먼명조" w:hAnsi="굴림" w:cs="굴림" w:hint="eastAsia"/>
          <w:color w:val="000000"/>
          <w:spacing w:val="-8"/>
          <w:kern w:val="0"/>
          <w:szCs w:val="20"/>
        </w:rPr>
        <w:t xml:space="preserve"> 민원 절차를 </w:t>
      </w:r>
      <w:r w:rsidRPr="00A03B36">
        <w:rPr>
          <w:rFonts w:ascii="휴먼명조" w:eastAsia="휴먼명조" w:hAnsi="굴림" w:cs="굴림" w:hint="eastAsia"/>
          <w:color w:val="000000"/>
          <w:spacing w:val="-12"/>
          <w:kern w:val="0"/>
          <w:szCs w:val="20"/>
        </w:rPr>
        <w:t>수립하고 효과적인 운영을 보장해야 한다.</w:t>
      </w:r>
      <w:r w:rsidR="008F55F0">
        <w:rPr>
          <w:rStyle w:val="a6"/>
          <w:rFonts w:ascii="휴먼명조" w:eastAsia="휴먼명조" w:hAnsi="굴림" w:cs="굴림"/>
          <w:color w:val="000000"/>
          <w:spacing w:val="-12"/>
          <w:kern w:val="0"/>
          <w:szCs w:val="20"/>
        </w:rPr>
        <w:footnoteReference w:id="212"/>
      </w:r>
      <w:r w:rsidRPr="00A03B36">
        <w:rPr>
          <w:rFonts w:ascii="휴먼명조" w:eastAsia="휴먼명조" w:hAnsi="굴림" w:cs="굴림" w:hint="eastAsia"/>
          <w:color w:val="000000"/>
          <w:spacing w:val="-12"/>
          <w:kern w:val="0"/>
          <w:szCs w:val="20"/>
        </w:rPr>
        <w:t xml:space="preserve"> 또한 모든 민간인 및 군사 절차가 적법절차</w:t>
      </w:r>
      <w:r w:rsidRPr="00A03B36">
        <w:rPr>
          <w:rFonts w:ascii="휴먼명조" w:eastAsia="휴먼명조" w:hAnsi="굴림" w:cs="굴림" w:hint="eastAsia"/>
          <w:color w:val="000000"/>
          <w:spacing w:val="-8"/>
          <w:kern w:val="0"/>
          <w:szCs w:val="20"/>
        </w:rPr>
        <w:t xml:space="preserve">, </w:t>
      </w:r>
      <w:r w:rsidRPr="00A03B36">
        <w:rPr>
          <w:rFonts w:ascii="휴먼명조" w:eastAsia="휴먼명조" w:hAnsi="굴림" w:cs="굴림" w:hint="eastAsia"/>
          <w:color w:val="000000"/>
          <w:spacing w:val="-10"/>
          <w:kern w:val="0"/>
          <w:szCs w:val="20"/>
        </w:rPr>
        <w:t>공정성 및 공평성의 기준을 준수하도록 국제기준</w:t>
      </w:r>
      <w:r w:rsidR="008F55F0">
        <w:rPr>
          <w:rStyle w:val="a6"/>
          <w:rFonts w:ascii="휴먼명조" w:eastAsia="휴먼명조" w:hAnsi="굴림" w:cs="굴림"/>
          <w:color w:val="000000"/>
          <w:spacing w:val="-10"/>
          <w:kern w:val="0"/>
          <w:szCs w:val="20"/>
        </w:rPr>
        <w:footnoteReference w:id="213"/>
      </w:r>
      <w:r w:rsidRPr="00A03B36">
        <w:rPr>
          <w:rFonts w:ascii="휴먼명조" w:eastAsia="휴먼명조" w:hAnsi="굴림" w:cs="굴림" w:hint="eastAsia"/>
          <w:color w:val="000000"/>
          <w:spacing w:val="-10"/>
          <w:kern w:val="0"/>
          <w:szCs w:val="20"/>
        </w:rPr>
        <w:t>에 따라 법원의 독립적이고 공정하며</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효과적인 운영을 보장하는 데 필요한 기타 모든 조치를 취해야 한다.</w:t>
      </w:r>
      <w:r w:rsidR="008F55F0">
        <w:rPr>
          <w:rStyle w:val="a6"/>
          <w:rFonts w:ascii="휴먼명조" w:eastAsia="휴먼명조" w:hAnsi="굴림" w:cs="굴림"/>
          <w:color w:val="000000"/>
          <w:spacing w:val="-8"/>
          <w:kern w:val="0"/>
          <w:szCs w:val="20"/>
        </w:rPr>
        <w:footnoteReference w:id="214"/>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r w:rsidRPr="00A03B36">
        <w:rPr>
          <w:rFonts w:ascii="휴먼명조" w:eastAsia="휴먼명조" w:hAnsi="굴림" w:cs="굴림" w:hint="eastAsia"/>
          <w:b/>
          <w:bCs/>
          <w:color w:val="000000"/>
          <w:kern w:val="0"/>
          <w:sz w:val="22"/>
        </w:rPr>
        <w:t>4. 언론의 자유에 대한 법적 제한</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폭력에 기여하고 폭력을 조장하는 메시지를 방지하기 위해, 국가는 이데올로기와 혐오 </w:t>
      </w:r>
      <w:r w:rsidRPr="00A03B36">
        <w:rPr>
          <w:rFonts w:ascii="휴먼명조" w:eastAsia="휴먼명조" w:hAnsi="굴림" w:cs="굴림" w:hint="eastAsia"/>
          <w:color w:val="000000"/>
          <w:spacing w:val="-14"/>
          <w:kern w:val="0"/>
          <w:szCs w:val="20"/>
        </w:rPr>
        <w:t>및 차별적 발언을 유포하는 자의 행위를 규제해야 한다. 이는 국제인권법에 따라 비례성과</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필요성을 검토한 후 이루어져야 한다.</w:t>
      </w:r>
      <w:r w:rsidR="008F55F0">
        <w:rPr>
          <w:rStyle w:val="a6"/>
          <w:rFonts w:ascii="휴먼명조" w:eastAsia="휴먼명조" w:hAnsi="굴림" w:cs="굴림"/>
          <w:color w:val="000000"/>
          <w:spacing w:val="-10"/>
          <w:kern w:val="0"/>
          <w:szCs w:val="20"/>
        </w:rPr>
        <w:footnoteReference w:id="215"/>
      </w:r>
      <w:r w:rsidRPr="00A03B36">
        <w:rPr>
          <w:rFonts w:ascii="휴먼명조" w:eastAsia="휴먼명조" w:hAnsi="굴림" w:cs="굴림" w:hint="eastAsia"/>
          <w:color w:val="000000"/>
          <w:spacing w:val="-10"/>
          <w:kern w:val="0"/>
          <w:szCs w:val="20"/>
        </w:rPr>
        <w:t xml:space="preserve"> 이 기준은 지역인권법원</w:t>
      </w:r>
      <w:r w:rsidR="008F55F0">
        <w:rPr>
          <w:rStyle w:val="a6"/>
          <w:rFonts w:ascii="휴먼명조" w:eastAsia="휴먼명조" w:hAnsi="굴림" w:cs="굴림"/>
          <w:color w:val="000000"/>
          <w:spacing w:val="-10"/>
          <w:kern w:val="0"/>
          <w:szCs w:val="20"/>
        </w:rPr>
        <w:footnoteReference w:id="216"/>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뿐만</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아니라</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르완다</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국제형사재판소</w:t>
      </w:r>
      <w:r w:rsidR="008F55F0">
        <w:rPr>
          <w:rStyle w:val="a6"/>
          <w:rFonts w:ascii="휴먼명조" w:eastAsia="휴먼명조" w:hAnsi="굴림" w:cs="굴림"/>
          <w:color w:val="000000"/>
          <w:spacing w:val="-10"/>
          <w:kern w:val="0"/>
          <w:szCs w:val="20"/>
        </w:rPr>
        <w:footnoteReference w:id="217"/>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및</w:t>
      </w:r>
      <w:r w:rsidRPr="00A03B36">
        <w:rPr>
          <w:rFonts w:ascii="함초롬바탕" w:eastAsia="휴먼명조" w:hAnsi="굴림" w:cs="굴림"/>
          <w:color w:val="000000"/>
          <w:spacing w:val="-10"/>
          <w:kern w:val="0"/>
          <w:szCs w:val="20"/>
        </w:rPr>
        <w:t xml:space="preserve"> </w:t>
      </w:r>
      <w:r w:rsidRPr="00A03B36">
        <w:rPr>
          <w:rFonts w:ascii="함초롬바탕" w:eastAsia="휴먼명조" w:hAnsi="굴림" w:cs="굴림"/>
          <w:color w:val="000000"/>
          <w:spacing w:val="-10"/>
          <w:kern w:val="0"/>
          <w:szCs w:val="20"/>
        </w:rPr>
        <w:t>국제군사재판소</w:t>
      </w:r>
      <w:r w:rsidRPr="00A03B36">
        <w:rPr>
          <w:rFonts w:ascii="휴먼명조" w:eastAsia="휴먼명조" w:hAnsi="굴림" w:cs="굴림" w:hint="eastAsia"/>
          <w:color w:val="000000"/>
          <w:spacing w:val="-10"/>
          <w:kern w:val="0"/>
          <w:szCs w:val="20"/>
        </w:rPr>
        <w:t>(뉘른베르크)</w:t>
      </w:r>
      <w:r w:rsidR="008F55F0">
        <w:rPr>
          <w:rStyle w:val="a6"/>
          <w:rFonts w:ascii="휴먼명조" w:eastAsia="휴먼명조" w:hAnsi="굴림" w:cs="굴림"/>
          <w:color w:val="000000"/>
          <w:spacing w:val="-10"/>
          <w:kern w:val="0"/>
          <w:szCs w:val="20"/>
        </w:rPr>
        <w:footnoteReference w:id="218"/>
      </w:r>
      <w:r w:rsidRPr="00A03B36">
        <w:rPr>
          <w:rFonts w:ascii="휴먼명조" w:eastAsia="휴먼명조" w:hAnsi="굴림" w:cs="굴림" w:hint="eastAsia"/>
          <w:color w:val="000000"/>
          <w:spacing w:val="-10"/>
          <w:kern w:val="0"/>
          <w:szCs w:val="20"/>
        </w:rPr>
        <w:t>와 같은 국제재판소에서 인정되었다.</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르완다 국제형사재판소는 판결문에서 선동은 타인이 범죄를 저지르도록 선동하는 것(actus </w:t>
      </w:r>
      <w:proofErr w:type="spellStart"/>
      <w:r w:rsidRPr="00A03B36">
        <w:rPr>
          <w:rFonts w:ascii="휴먼명조" w:eastAsia="휴먼명조" w:hAnsi="굴림" w:cs="굴림" w:hint="eastAsia"/>
          <w:color w:val="000000"/>
          <w:spacing w:val="-8"/>
          <w:kern w:val="0"/>
          <w:szCs w:val="20"/>
        </w:rPr>
        <w:t>reus</w:t>
      </w:r>
      <w:proofErr w:type="spellEnd"/>
      <w:r w:rsidRPr="00A03B36">
        <w:rPr>
          <w:rFonts w:ascii="휴먼명조" w:eastAsia="휴먼명조" w:hAnsi="굴림" w:cs="굴림" w:hint="eastAsia"/>
          <w:color w:val="000000"/>
          <w:spacing w:val="-8"/>
          <w:kern w:val="0"/>
          <w:szCs w:val="20"/>
        </w:rPr>
        <w:t>) 뿐만 아니라 직접적이고 공개적으로 타인을 선동하려는 의도(</w:t>
      </w:r>
      <w:proofErr w:type="spellStart"/>
      <w:r w:rsidRPr="00A03B36">
        <w:rPr>
          <w:rFonts w:ascii="휴먼명조" w:eastAsia="휴먼명조" w:hAnsi="굴림" w:cs="굴림" w:hint="eastAsia"/>
          <w:color w:val="000000"/>
          <w:spacing w:val="-8"/>
          <w:kern w:val="0"/>
          <w:szCs w:val="20"/>
        </w:rPr>
        <w:t>mens</w:t>
      </w:r>
      <w:proofErr w:type="spellEnd"/>
      <w:r w:rsidRPr="00A03B36">
        <w:rPr>
          <w:rFonts w:ascii="휴먼명조" w:eastAsia="휴먼명조" w:hAnsi="굴림" w:cs="굴림" w:hint="eastAsia"/>
          <w:color w:val="000000"/>
          <w:spacing w:val="-8"/>
          <w:kern w:val="0"/>
          <w:szCs w:val="20"/>
        </w:rPr>
        <w:t xml:space="preserve"> rea)가 있어야 한다고 판단했다.</w:t>
      </w:r>
      <w:r w:rsidR="008F55F0">
        <w:rPr>
          <w:rStyle w:val="a6"/>
          <w:rFonts w:ascii="휴먼명조" w:eastAsia="휴먼명조" w:hAnsi="굴림" w:cs="굴림"/>
          <w:color w:val="000000"/>
          <w:spacing w:val="-8"/>
          <w:kern w:val="0"/>
          <w:szCs w:val="20"/>
        </w:rPr>
        <w:footnoteReference w:id="219"/>
      </w:r>
      <w:r w:rsidRPr="00A03B36">
        <w:rPr>
          <w:rFonts w:ascii="휴먼명조" w:eastAsia="휴먼명조" w:hAnsi="굴림" w:cs="굴림" w:hint="eastAsia"/>
          <w:color w:val="000000"/>
          <w:spacing w:val="-8"/>
          <w:kern w:val="0"/>
          <w:szCs w:val="20"/>
        </w:rPr>
        <w:t xml:space="preserve"> 또한 증오 표현을 규제할 때 국가와 기술 기업은 미얀마에서 발생한 것처럼 </w:t>
      </w:r>
      <w:proofErr w:type="spellStart"/>
      <w:r w:rsidRPr="00A03B36">
        <w:rPr>
          <w:rFonts w:ascii="휴먼명조" w:eastAsia="휴먼명조" w:hAnsi="굴림" w:cs="굴림" w:hint="eastAsia"/>
          <w:color w:val="000000"/>
          <w:spacing w:val="-8"/>
          <w:kern w:val="0"/>
          <w:szCs w:val="20"/>
        </w:rPr>
        <w:t>로힝야족에</w:t>
      </w:r>
      <w:proofErr w:type="spellEnd"/>
      <w:r w:rsidRPr="00A03B36">
        <w:rPr>
          <w:rFonts w:ascii="휴먼명조" w:eastAsia="휴먼명조" w:hAnsi="굴림" w:cs="굴림" w:hint="eastAsia"/>
          <w:color w:val="000000"/>
          <w:spacing w:val="-8"/>
          <w:kern w:val="0"/>
          <w:szCs w:val="20"/>
        </w:rPr>
        <w:t xml:space="preserve"> 대한 폭력 행위를 일으킬 수 있는 방식으로 그들의 네트워크가 사용되는 것을 피하도록 함께 노력해야 한다.</w:t>
      </w:r>
      <w:r w:rsidR="008F55F0">
        <w:rPr>
          <w:rStyle w:val="a6"/>
          <w:rFonts w:ascii="휴먼명조" w:eastAsia="휴먼명조" w:hAnsi="굴림" w:cs="굴림"/>
          <w:color w:val="000000"/>
          <w:spacing w:val="-8"/>
          <w:kern w:val="0"/>
          <w:szCs w:val="20"/>
        </w:rPr>
        <w:footnoteReference w:id="220"/>
      </w:r>
      <w:r w:rsidRPr="00A03B36">
        <w:rPr>
          <w:rFonts w:ascii="휴먼명조" w:eastAsia="휴먼명조" w:hAnsi="굴림" w:cs="굴림" w:hint="eastAsia"/>
          <w:color w:val="000000"/>
          <w:spacing w:val="-8"/>
          <w:kern w:val="0"/>
          <w:szCs w:val="20"/>
        </w:rPr>
        <w:t xml:space="preserve"> 특별보고관은 국가가 </w:t>
      </w:r>
      <w:r w:rsidRPr="00A03B36">
        <w:rPr>
          <w:rFonts w:ascii="휴먼명조" w:eastAsia="휴먼명조" w:hAnsi="굴림" w:cs="굴림" w:hint="eastAsia"/>
          <w:color w:val="000000"/>
          <w:spacing w:val="-8"/>
          <w:kern w:val="0"/>
          <w:szCs w:val="20"/>
        </w:rPr>
        <w:lastRenderedPageBreak/>
        <w:t>차별적인 발언에 대해 적극 대응하고, 국제인권법에 따라 처벌해야 한다고 믿는다.</w:t>
      </w:r>
    </w:p>
    <w:p w:rsidR="00A03B36" w:rsidRPr="00A03B36" w:rsidRDefault="00A03B36" w:rsidP="00A03B36">
      <w:pPr>
        <w:spacing w:after="0" w:line="384" w:lineRule="auto"/>
        <w:ind w:left="282" w:right="588"/>
        <w:jc w:val="center"/>
        <w:textAlignment w:val="baseline"/>
        <w:rPr>
          <w:rFonts w:ascii="함초롬바탕" w:eastAsia="굴림" w:hAnsi="굴림" w:cs="굴림"/>
          <w:color w:val="000000"/>
          <w:spacing w:val="-8"/>
          <w:kern w:val="0"/>
          <w:szCs w:val="20"/>
        </w:rPr>
      </w:pPr>
    </w:p>
    <w:p w:rsidR="00A03B36" w:rsidRPr="00A03B36" w:rsidRDefault="00A03B36" w:rsidP="00A03B36">
      <w:pPr>
        <w:spacing w:after="0" w:line="384" w:lineRule="auto"/>
        <w:jc w:val="center"/>
        <w:textAlignment w:val="baseline"/>
        <w:rPr>
          <w:rFonts w:ascii="함초롬바탕" w:eastAsia="굴림" w:hAnsi="굴림" w:cs="굴림"/>
          <w:color w:val="000000"/>
          <w:kern w:val="0"/>
          <w:szCs w:val="20"/>
        </w:rPr>
      </w:pPr>
      <w:proofErr w:type="spellStart"/>
      <w:r w:rsidRPr="00A03B36">
        <w:rPr>
          <w:rFonts w:ascii="휴먼명조" w:eastAsia="휴먼명조" w:hAnsi="휴먼명조" w:cs="굴림" w:hint="eastAsia"/>
          <w:b/>
          <w:bCs/>
          <w:color w:val="000000"/>
          <w:kern w:val="0"/>
          <w:sz w:val="26"/>
          <w:szCs w:val="26"/>
        </w:rPr>
        <w:t>Ⅸ</w:t>
      </w:r>
      <w:proofErr w:type="spellEnd"/>
      <w:r w:rsidRPr="00A03B36">
        <w:rPr>
          <w:rFonts w:ascii="휴먼명조" w:eastAsia="휴먼명조" w:hAnsi="굴림" w:cs="굴림" w:hint="eastAsia"/>
          <w:b/>
          <w:bCs/>
          <w:color w:val="000000"/>
          <w:kern w:val="0"/>
          <w:sz w:val="26"/>
          <w:szCs w:val="26"/>
        </w:rPr>
        <w:t>. 결론 및 권고</w:t>
      </w:r>
    </w:p>
    <w:p w:rsidR="00A03B36" w:rsidRPr="00A03B36" w:rsidRDefault="00A03B36" w:rsidP="00A03B36">
      <w:pPr>
        <w:spacing w:after="0" w:line="384" w:lineRule="auto"/>
        <w:ind w:left="282" w:right="588"/>
        <w:textAlignment w:val="baseline"/>
        <w:rPr>
          <w:rFonts w:ascii="함초롬바탕" w:eastAsia="굴림" w:hAnsi="굴림" w:cs="굴림"/>
          <w:color w:val="000000"/>
          <w:spacing w:val="-8"/>
          <w:kern w:val="0"/>
          <w:szCs w:val="20"/>
        </w:rPr>
      </w:pP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이행기 정의 절차는 무력 분쟁이나 권위주의 통치로부터의 전환이라는 맥락에서 심각한 </w:t>
      </w:r>
      <w:r w:rsidRPr="00A03B36">
        <w:rPr>
          <w:rFonts w:ascii="휴먼명조" w:eastAsia="휴먼명조" w:hAnsi="굴림" w:cs="굴림" w:hint="eastAsia"/>
          <w:color w:val="000000"/>
          <w:spacing w:val="-4"/>
          <w:kern w:val="0"/>
          <w:szCs w:val="20"/>
        </w:rPr>
        <w:t xml:space="preserve">인권 및 </w:t>
      </w:r>
      <w:proofErr w:type="spellStart"/>
      <w:r w:rsidRPr="00A03B36">
        <w:rPr>
          <w:rFonts w:ascii="휴먼명조" w:eastAsia="휴먼명조" w:hAnsi="굴림" w:cs="굴림" w:hint="eastAsia"/>
          <w:color w:val="000000"/>
          <w:spacing w:val="-4"/>
          <w:kern w:val="0"/>
          <w:szCs w:val="20"/>
        </w:rPr>
        <w:t>인도법</w:t>
      </w:r>
      <w:proofErr w:type="spellEnd"/>
      <w:r w:rsidRPr="00A03B36">
        <w:rPr>
          <w:rFonts w:ascii="휴먼명조" w:eastAsia="휴먼명조" w:hAnsi="굴림" w:cs="굴림" w:hint="eastAsia"/>
          <w:color w:val="000000"/>
          <w:spacing w:val="-4"/>
          <w:kern w:val="0"/>
          <w:szCs w:val="20"/>
        </w:rPr>
        <w:t xml:space="preserve"> 위반의 유산을 해결하기 위해 수립된다. 국제인권법과 국제인도법에 대한 존중과 준수, 그리고 이러한 규범적 체제에 확립된 의무는 이행기 정의 절차의 </w:t>
      </w:r>
      <w:r w:rsidRPr="00A03B36">
        <w:rPr>
          <w:rFonts w:ascii="휴먼명조" w:eastAsia="휴먼명조" w:hAnsi="굴림" w:cs="굴림" w:hint="eastAsia"/>
          <w:color w:val="000000"/>
          <w:spacing w:val="-8"/>
          <w:kern w:val="0"/>
          <w:szCs w:val="20"/>
        </w:rPr>
        <w:t>정당성을 측정하는 기준이 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위반 행위는 국가에 대한 명확한 법적 의무를 발생시키며, 이는 진실, 정의, 배상, 재발 </w:t>
      </w:r>
      <w:r w:rsidRPr="00A03B36">
        <w:rPr>
          <w:rFonts w:ascii="휴먼명조" w:eastAsia="휴먼명조" w:hAnsi="굴림" w:cs="굴림" w:hint="eastAsia"/>
          <w:color w:val="000000"/>
          <w:spacing w:val="-6"/>
          <w:kern w:val="0"/>
          <w:szCs w:val="20"/>
        </w:rPr>
        <w:t xml:space="preserve">방지 보장 및 추모의 다섯 가지 기둥과 관련하여 식별된다. 이러한 법적 의무는 모든 </w:t>
      </w:r>
      <w:r w:rsidRPr="00A03B36">
        <w:rPr>
          <w:rFonts w:ascii="휴먼명조" w:eastAsia="휴먼명조" w:hAnsi="굴림" w:cs="굴림" w:hint="eastAsia"/>
          <w:color w:val="000000"/>
          <w:spacing w:val="-14"/>
          <w:kern w:val="0"/>
          <w:szCs w:val="20"/>
        </w:rPr>
        <w:t>국가에 적용되는 일반적인 인권 존중 및 보장 의무에서 파생되며, 조약의 조항 및 그 밖의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제2차 법원(secondary sources of law)에 포함되어 있다.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4"/>
          <w:kern w:val="0"/>
          <w:szCs w:val="20"/>
        </w:rPr>
        <w:t xml:space="preserve">특별보고관은 진실 규명 절차의 위임화, </w:t>
      </w:r>
      <w:proofErr w:type="spellStart"/>
      <w:r w:rsidRPr="00A03B36">
        <w:rPr>
          <w:rFonts w:ascii="휴먼명조" w:eastAsia="휴먼명조" w:hAnsi="굴림" w:cs="굴림" w:hint="eastAsia"/>
          <w:color w:val="000000"/>
          <w:spacing w:val="-4"/>
          <w:kern w:val="0"/>
          <w:szCs w:val="20"/>
        </w:rPr>
        <w:t>불처벌</w:t>
      </w:r>
      <w:proofErr w:type="spellEnd"/>
      <w:r w:rsidRPr="00A03B36">
        <w:rPr>
          <w:rFonts w:ascii="휴먼명조" w:eastAsia="휴먼명조" w:hAnsi="굴림" w:cs="굴림" w:hint="eastAsia"/>
          <w:color w:val="000000"/>
          <w:spacing w:val="-4"/>
          <w:kern w:val="0"/>
          <w:szCs w:val="20"/>
        </w:rPr>
        <w:t xml:space="preserve">, 피해자에 대한 포괄적 배상의 부재, </w:t>
      </w:r>
      <w:r w:rsidRPr="00A03B36">
        <w:rPr>
          <w:rFonts w:ascii="휴먼명조" w:eastAsia="휴먼명조" w:hAnsi="굴림" w:cs="굴림" w:hint="eastAsia"/>
          <w:color w:val="000000"/>
          <w:spacing w:val="-8"/>
          <w:kern w:val="0"/>
          <w:szCs w:val="20"/>
        </w:rPr>
        <w:t xml:space="preserve">인권침해에 유리한 제도적 틀의 유지, 과거에 저지른 인권침해의 옹호, 기억 프로그램의 부재 또는 보이콧을 초래하는 정치적 결정으로 인해 많은 이행기 정의 절차가 망가진 </w:t>
      </w:r>
      <w:r w:rsidRPr="00A03B36">
        <w:rPr>
          <w:rFonts w:ascii="휴먼명조" w:eastAsia="휴먼명조" w:hAnsi="굴림" w:cs="굴림" w:hint="eastAsia"/>
          <w:color w:val="000000"/>
          <w:spacing w:val="-10"/>
          <w:kern w:val="0"/>
          <w:szCs w:val="20"/>
        </w:rPr>
        <w:t>현실에 큰 우려를 표명한다. 이러한 좌절은 피해자와 그 가족을 재차 희생시키고, 사회의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미래를 심각하게 훼손한다. 이행기 정의 절차의 설계와 이행에 관여하는 행위자는 과거의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10"/>
          <w:kern w:val="0"/>
          <w:szCs w:val="20"/>
        </w:rPr>
        <w:t>실수와 피해자에게 미치는 고통스러운 영향을 반복하지 않기 위해 본 보고서에서 검토한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이행기 정의에 관한 국제법적 기준을 고려해야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0"/>
          <w:kern w:val="0"/>
          <w:szCs w:val="20"/>
        </w:rPr>
        <w:t xml:space="preserve">보고서에서 강조하였듯, 심각한 인권 및 </w:t>
      </w:r>
      <w:proofErr w:type="spellStart"/>
      <w:r w:rsidRPr="00A03B36">
        <w:rPr>
          <w:rFonts w:ascii="휴먼명조" w:eastAsia="휴먼명조" w:hAnsi="굴림" w:cs="굴림" w:hint="eastAsia"/>
          <w:color w:val="000000"/>
          <w:spacing w:val="-10"/>
          <w:kern w:val="0"/>
          <w:szCs w:val="20"/>
        </w:rPr>
        <w:t>인도법</w:t>
      </w:r>
      <w:proofErr w:type="spellEnd"/>
      <w:r w:rsidRPr="00A03B36">
        <w:rPr>
          <w:rFonts w:ascii="휴먼명조" w:eastAsia="휴먼명조" w:hAnsi="굴림" w:cs="굴림" w:hint="eastAsia"/>
          <w:color w:val="000000"/>
          <w:spacing w:val="-10"/>
          <w:kern w:val="0"/>
          <w:szCs w:val="20"/>
        </w:rPr>
        <w:t xml:space="preserve"> 위반에 대처할 필요성에서 비롯된 의무의</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내용은 명확한 법적 기준에 의해 뒷받침된다; 이러한 기준은 국내 및 국제 법원, 인권 메커니즘(법리, 최종견해, 일반논평, 국가 방문 보고서 및 견해)의 작업 결과와 진실위원회와 같이 이러한 목적을 위해 만들어진 기타 기관을 통해 명확히 드러난다. 명확해진 기준은 국가가 성실하게 고려, 활용, 적용해야 하며, 국가는 이를 위해 취한 조치에 대해 국제사회에 투명한 방식으로 책임을 져야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4"/>
          <w:kern w:val="0"/>
          <w:szCs w:val="20"/>
        </w:rPr>
        <w:t>이행기 정의 절차의 설계 및 이행에 관련된 국가, 지역 및 국제 행위자는 관련 프로그램이</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6"/>
          <w:kern w:val="0"/>
          <w:szCs w:val="20"/>
        </w:rPr>
        <w:t xml:space="preserve">이들 기관이 규정한 표준을 준수하도록 보장하고, 지표 시스템을 통해 이러한 표준의 </w:t>
      </w:r>
      <w:r w:rsidRPr="00A03B36">
        <w:rPr>
          <w:rFonts w:ascii="휴먼명조" w:eastAsia="휴먼명조" w:hAnsi="굴림" w:cs="굴림" w:hint="eastAsia"/>
          <w:color w:val="000000"/>
          <w:spacing w:val="-8"/>
          <w:kern w:val="0"/>
          <w:szCs w:val="20"/>
        </w:rPr>
        <w:t>이행 및 준수 여부를 모니터링할 수 있는 적절한 메커니즘을 구축해야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10"/>
          <w:kern w:val="0"/>
          <w:szCs w:val="20"/>
        </w:rPr>
        <w:t>지역 수준의 국제인권재판소와 유엔 조약기구는 권한 범위 내에서 이행기 정의 절차에서</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 xml:space="preserve">발생하는 의무 불이행 사례를 다루는 데 주의를 기울여야 하며, 의무 불이행으로 인해 새로운 조약 </w:t>
      </w:r>
      <w:r w:rsidRPr="00A03B36">
        <w:rPr>
          <w:rFonts w:ascii="휴먼명조" w:eastAsia="휴먼명조" w:hAnsi="굴림" w:cs="굴림" w:hint="eastAsia"/>
          <w:color w:val="000000"/>
          <w:spacing w:val="-8"/>
          <w:kern w:val="0"/>
          <w:szCs w:val="20"/>
        </w:rPr>
        <w:lastRenderedPageBreak/>
        <w:t>의무 위반이 발생하는 경우 그에 따른 결정 또는 판결을 내릴 수 있어야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8"/>
          <w:kern w:val="0"/>
          <w:szCs w:val="20"/>
        </w:rPr>
        <w:t xml:space="preserve">이행기 정의 절차를 겪고 있거나 겪을 것으로 예상되는 국가에 있거나 활동 중인 유엔, 국제 또는 지역 기구 또는 기관, 국제 공여국은 프로그램과 활동을 설계하고 이행할 때, </w:t>
      </w:r>
      <w:r w:rsidRPr="00A03B36">
        <w:rPr>
          <w:rFonts w:ascii="휴먼명조" w:eastAsia="휴먼명조" w:hAnsi="굴림" w:cs="굴림" w:hint="eastAsia"/>
          <w:color w:val="000000"/>
          <w:spacing w:val="-12"/>
          <w:kern w:val="0"/>
          <w:szCs w:val="20"/>
        </w:rPr>
        <w:t>이 보고서에서 검토한 국제법 기준을 고려하여 그러한 조치가 해당 표준에 설정된 의무와</w:t>
      </w:r>
      <w:r w:rsidRPr="00A03B36">
        <w:rPr>
          <w:rFonts w:ascii="함초롬바탕" w:eastAsia="휴먼명조" w:hAnsi="굴림" w:cs="굴림"/>
          <w:color w:val="000000"/>
          <w:spacing w:val="-8"/>
          <w:kern w:val="0"/>
          <w:szCs w:val="20"/>
        </w:rPr>
        <w:t xml:space="preserve"> </w:t>
      </w:r>
      <w:r w:rsidRPr="00A03B36">
        <w:rPr>
          <w:rFonts w:ascii="휴먼명조" w:eastAsia="휴먼명조" w:hAnsi="굴림" w:cs="굴림" w:hint="eastAsia"/>
          <w:color w:val="000000"/>
          <w:spacing w:val="-8"/>
          <w:kern w:val="0"/>
          <w:szCs w:val="20"/>
        </w:rPr>
        <w:t>책임을 위반하는 결과를 초래하지 않도록 해야 하며, 이행기 정의의 다섯 가지 기둥을 적극적으로 이행해야 한다.</w:t>
      </w:r>
    </w:p>
    <w:p w:rsidR="00A03B36" w:rsidRPr="00A03B36" w:rsidRDefault="00A03B36" w:rsidP="00A03B36">
      <w:pPr>
        <w:numPr>
          <w:ilvl w:val="0"/>
          <w:numId w:val="1"/>
        </w:numPr>
        <w:spacing w:after="0" w:line="384" w:lineRule="auto"/>
        <w:ind w:left="282" w:right="588"/>
        <w:textAlignment w:val="baseline"/>
        <w:rPr>
          <w:rFonts w:ascii="함초롬바탕" w:eastAsia="굴림" w:hAnsi="굴림" w:cs="굴림"/>
          <w:color w:val="000000"/>
          <w:kern w:val="0"/>
          <w:szCs w:val="20"/>
        </w:rPr>
      </w:pPr>
      <w:r w:rsidRPr="00A03B36">
        <w:rPr>
          <w:rFonts w:ascii="휴먼명조" w:eastAsia="휴먼명조" w:hAnsi="굴림" w:cs="굴림" w:hint="eastAsia"/>
          <w:color w:val="000000"/>
          <w:spacing w:val="-2"/>
          <w:kern w:val="0"/>
          <w:szCs w:val="20"/>
        </w:rPr>
        <w:t xml:space="preserve">피해자의 권리 실현을 현실화하기 위해서는 이행기 정의 분야에서 파생된 조치들이 </w:t>
      </w:r>
      <w:r w:rsidRPr="00A03B36">
        <w:rPr>
          <w:rFonts w:ascii="휴먼명조" w:eastAsia="휴먼명조" w:hAnsi="굴림" w:cs="굴림" w:hint="eastAsia"/>
          <w:color w:val="000000"/>
          <w:spacing w:val="-8"/>
          <w:kern w:val="0"/>
          <w:szCs w:val="20"/>
        </w:rPr>
        <w:t>이행되어야 한다. 인권에 대한 완전한 준수만이 진실, 정의, 평화, 안보를 조성할 수 있다.</w:t>
      </w:r>
    </w:p>
    <w:p w:rsidR="00B51BCB" w:rsidRPr="00A03B36" w:rsidRDefault="00B51BCB"/>
    <w:sectPr w:rsidR="00B51BCB" w:rsidRPr="00A03B3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E85" w:rsidRDefault="00F75E85" w:rsidP="006B1519">
      <w:pPr>
        <w:spacing w:after="0" w:line="240" w:lineRule="auto"/>
      </w:pPr>
      <w:r>
        <w:separator/>
      </w:r>
    </w:p>
  </w:endnote>
  <w:endnote w:type="continuationSeparator" w:id="0">
    <w:p w:rsidR="00F75E85" w:rsidRDefault="00F75E85" w:rsidP="006B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E85" w:rsidRDefault="00F75E85" w:rsidP="006B1519">
      <w:pPr>
        <w:spacing w:after="0" w:line="240" w:lineRule="auto"/>
      </w:pPr>
      <w:r>
        <w:separator/>
      </w:r>
    </w:p>
  </w:footnote>
  <w:footnote w:type="continuationSeparator" w:id="0">
    <w:p w:rsidR="00F75E85" w:rsidRDefault="00F75E85" w:rsidP="006B1519">
      <w:pPr>
        <w:spacing w:after="0" w:line="240" w:lineRule="auto"/>
      </w:pPr>
      <w:r>
        <w:continuationSeparator/>
      </w:r>
    </w:p>
  </w:footnote>
  <w:footnote w:id="1">
    <w:p w:rsidR="00227BAB" w:rsidRPr="00966E4F" w:rsidRDefault="00227BAB" w:rsidP="00966E4F">
      <w:pPr>
        <w:pStyle w:val="a4"/>
        <w:rPr>
          <w:rFonts w:hint="eastAsia"/>
        </w:rPr>
      </w:pPr>
      <w:r>
        <w:rPr>
          <w:rStyle w:val="a6"/>
        </w:rPr>
        <w:footnoteRef/>
      </w:r>
      <w:r>
        <w:t xml:space="preserve"> </w:t>
      </w:r>
      <w:r w:rsidR="00966E4F" w:rsidRPr="00966E4F">
        <w:rPr>
          <w:rFonts w:eastAsia="함초롬바탕"/>
          <w:spacing w:val="-6"/>
        </w:rPr>
        <w:t>See https://www.ohchr.org/en/calls-for-input/2023/minimum-international-legal-standards-underpinning-pillars-transitional.</w:t>
      </w:r>
    </w:p>
  </w:footnote>
  <w:footnote w:id="2">
    <w:p w:rsidR="00966E4F" w:rsidRPr="00966E4F" w:rsidRDefault="00227BAB" w:rsidP="00966E4F">
      <w:pPr>
        <w:pStyle w:val="a4"/>
      </w:pPr>
      <w:r>
        <w:rPr>
          <w:rStyle w:val="a6"/>
        </w:rPr>
        <w:footnoteRef/>
      </w:r>
      <w:r>
        <w:t xml:space="preserve"> </w:t>
      </w:r>
      <w:r w:rsidR="00966E4F" w:rsidRPr="00966E4F">
        <w:rPr>
          <w:rFonts w:eastAsia="함초롬바탕"/>
        </w:rPr>
        <w:t>References to Kosovo shall be understood to be in the context of Security Council resolution 1244 (1999).</w:t>
      </w:r>
    </w:p>
    <w:p w:rsidR="00227BAB" w:rsidRPr="00966E4F" w:rsidRDefault="00227BAB">
      <w:pPr>
        <w:pStyle w:val="a5"/>
        <w:rPr>
          <w:rFonts w:hint="eastAsia"/>
        </w:rPr>
      </w:pPr>
    </w:p>
  </w:footnote>
  <w:footnote w:id="3">
    <w:p w:rsidR="00227BAB" w:rsidRDefault="00227BAB" w:rsidP="00966E4F">
      <w:pPr>
        <w:pStyle w:val="a4"/>
        <w:rPr>
          <w:rFonts w:hint="eastAsia"/>
        </w:rPr>
      </w:pPr>
      <w:r>
        <w:rPr>
          <w:rStyle w:val="a6"/>
        </w:rPr>
        <w:footnoteRef/>
      </w:r>
      <w:r>
        <w:t xml:space="preserve"> </w:t>
      </w:r>
      <w:r w:rsidR="00966E4F" w:rsidRPr="00966E4F">
        <w:rPr>
          <w:rFonts w:eastAsia="함초롬바탕"/>
        </w:rPr>
        <w:t>A/HRC/21/46, paras. 24 and 61.</w:t>
      </w:r>
    </w:p>
  </w:footnote>
  <w:footnote w:id="4">
    <w:p w:rsidR="00227BAB" w:rsidRDefault="00227BAB" w:rsidP="00966E4F">
      <w:pPr>
        <w:pStyle w:val="a4"/>
        <w:rPr>
          <w:rFonts w:hint="eastAsia"/>
        </w:rPr>
      </w:pPr>
      <w:r>
        <w:rPr>
          <w:rStyle w:val="a6"/>
        </w:rPr>
        <w:footnoteRef/>
      </w:r>
      <w:r>
        <w:t xml:space="preserve"> </w:t>
      </w:r>
      <w:r w:rsidR="00966E4F" w:rsidRPr="00966E4F">
        <w:rPr>
          <w:rFonts w:eastAsia="함초롬바탕"/>
        </w:rPr>
        <w:t xml:space="preserve">A/HRC/45/45, para. 34. </w:t>
      </w:r>
    </w:p>
  </w:footnote>
  <w:footnote w:id="5">
    <w:p w:rsidR="00227BAB" w:rsidRPr="00966E4F" w:rsidRDefault="00227BAB" w:rsidP="00966E4F">
      <w:pPr>
        <w:pStyle w:val="a4"/>
        <w:rPr>
          <w:rFonts w:hint="eastAsia"/>
        </w:rPr>
      </w:pPr>
      <w:r>
        <w:rPr>
          <w:rStyle w:val="a6"/>
        </w:rPr>
        <w:footnoteRef/>
      </w:r>
      <w:r>
        <w:t xml:space="preserve"> </w:t>
      </w:r>
      <w:r w:rsidR="00966E4F">
        <w:rPr>
          <w:rFonts w:eastAsia="함초롬바탕"/>
        </w:rPr>
        <w:t>Human Rights Council resolution 51/23.</w:t>
      </w:r>
    </w:p>
  </w:footnote>
  <w:footnote w:id="6">
    <w:p w:rsidR="00227BAB" w:rsidRDefault="00227BAB" w:rsidP="00966E4F">
      <w:pPr>
        <w:pStyle w:val="a4"/>
        <w:rPr>
          <w:rFonts w:hint="eastAsia"/>
        </w:rPr>
      </w:pPr>
      <w:r>
        <w:rPr>
          <w:rStyle w:val="a6"/>
        </w:rPr>
        <w:footnoteRef/>
      </w:r>
      <w:r>
        <w:t xml:space="preserve"> </w:t>
      </w:r>
      <w:r w:rsidR="00966E4F">
        <w:rPr>
          <w:rFonts w:eastAsia="함초롬바탕"/>
        </w:rPr>
        <w:t>Principle 2.</w:t>
      </w:r>
    </w:p>
  </w:footnote>
  <w:footnote w:id="7">
    <w:p w:rsidR="00227BAB" w:rsidRDefault="00227BAB" w:rsidP="00966E4F">
      <w:pPr>
        <w:pStyle w:val="a4"/>
        <w:rPr>
          <w:rFonts w:hint="eastAsia"/>
        </w:rPr>
      </w:pPr>
      <w:r>
        <w:rPr>
          <w:rStyle w:val="a6"/>
        </w:rPr>
        <w:footnoteRef/>
      </w:r>
      <w:r>
        <w:t xml:space="preserve"> </w:t>
      </w:r>
      <w:r w:rsidR="00966E4F">
        <w:rPr>
          <w:rFonts w:eastAsia="함초롬바탕"/>
        </w:rPr>
        <w:t xml:space="preserve">See, for example, Human Rights Committee, general comment No. 31 (2004), para. 15. </w:t>
      </w:r>
    </w:p>
  </w:footnote>
  <w:footnote w:id="8">
    <w:p w:rsidR="00227BAB" w:rsidRPr="00966E4F" w:rsidRDefault="00227BAB" w:rsidP="00966E4F">
      <w:pPr>
        <w:pStyle w:val="a4"/>
        <w:rPr>
          <w:rFonts w:hint="eastAsia"/>
        </w:rPr>
      </w:pPr>
      <w:r>
        <w:rPr>
          <w:rStyle w:val="a6"/>
        </w:rPr>
        <w:footnoteRef/>
      </w:r>
      <w:r>
        <w:t xml:space="preserve"> </w:t>
      </w:r>
      <w:r w:rsidR="00966E4F">
        <w:rPr>
          <w:rFonts w:eastAsia="함초롬바탕"/>
        </w:rPr>
        <w:t>American Convention on Human Rights, arts. 1, 8 and 25; African Charter on Human and People</w:t>
      </w:r>
      <w:r w:rsidR="00966E4F">
        <w:rPr>
          <w:rFonts w:eastAsia="함초롬바탕"/>
        </w:rPr>
        <w:t>’</w:t>
      </w:r>
      <w:r w:rsidR="00966E4F">
        <w:rPr>
          <w:rFonts w:eastAsia="함초롬바탕"/>
        </w:rPr>
        <w:t>s Rights, arts. 3 and 13; Convention for the Protection of Human Rights and Fundamental Freedoms (European Convention on Human Rights), arts. 1, 6 and 13; Arab Charter on Human Rights, arts. 3, 13 and 23; Convention against Torture and Other Cruel, Inhuman or Degrading Treatment or Punishment, art. 12; International Convention for the Protection of All Persons from Enforced Disappearance, art. 24; Inter-American Convention on Forced Disappearance of Persons, art. X; and American Declaration of the Rights and Duties of Man, art. XVIII.</w:t>
      </w:r>
    </w:p>
  </w:footnote>
  <w:footnote w:id="9">
    <w:p w:rsidR="00227BAB" w:rsidRDefault="00227BAB" w:rsidP="00966E4F">
      <w:pPr>
        <w:pStyle w:val="a4"/>
        <w:rPr>
          <w:rFonts w:hint="eastAsia"/>
        </w:rPr>
      </w:pPr>
      <w:r>
        <w:rPr>
          <w:rStyle w:val="a6"/>
        </w:rPr>
        <w:footnoteRef/>
      </w:r>
      <w:r>
        <w:t xml:space="preserve"> </w:t>
      </w:r>
      <w:r w:rsidR="00966E4F">
        <w:rPr>
          <w:rFonts w:eastAsia="함초롬바탕"/>
        </w:rPr>
        <w:t>Art. 32.</w:t>
      </w:r>
    </w:p>
  </w:footnote>
  <w:footnote w:id="10">
    <w:p w:rsidR="00227BAB" w:rsidRDefault="00227BAB" w:rsidP="00966E4F">
      <w:pPr>
        <w:pStyle w:val="a4"/>
        <w:rPr>
          <w:rFonts w:hint="eastAsia"/>
        </w:rPr>
      </w:pPr>
      <w:r>
        <w:rPr>
          <w:rStyle w:val="a6"/>
        </w:rPr>
        <w:footnoteRef/>
      </w:r>
      <w:r>
        <w:t xml:space="preserve"> </w:t>
      </w:r>
      <w:r w:rsidR="00966E4F">
        <w:rPr>
          <w:rFonts w:eastAsia="함초롬바탕"/>
        </w:rPr>
        <w:t>Art. 24.</w:t>
      </w:r>
    </w:p>
  </w:footnote>
  <w:footnote w:id="11">
    <w:p w:rsidR="00227BAB" w:rsidRDefault="00227BAB" w:rsidP="00966E4F">
      <w:pPr>
        <w:pStyle w:val="a4"/>
        <w:rPr>
          <w:rFonts w:hint="eastAsia"/>
        </w:rPr>
      </w:pPr>
      <w:r>
        <w:rPr>
          <w:rStyle w:val="a6"/>
        </w:rPr>
        <w:footnoteRef/>
      </w:r>
      <w:r>
        <w:t xml:space="preserve"> </w:t>
      </w:r>
      <w:r w:rsidR="00966E4F">
        <w:rPr>
          <w:rFonts w:eastAsia="함초롬바탕"/>
        </w:rPr>
        <w:t>Resolution 68/165.</w:t>
      </w:r>
    </w:p>
  </w:footnote>
  <w:footnote w:id="12">
    <w:p w:rsidR="00227BAB" w:rsidRDefault="00227BAB" w:rsidP="00966E4F">
      <w:pPr>
        <w:pStyle w:val="a4"/>
        <w:rPr>
          <w:rFonts w:hint="eastAsia"/>
        </w:rPr>
      </w:pPr>
      <w:r>
        <w:rPr>
          <w:rStyle w:val="a6"/>
        </w:rPr>
        <w:footnoteRef/>
      </w:r>
      <w:r>
        <w:t xml:space="preserve"> </w:t>
      </w:r>
      <w:r w:rsidR="00966E4F">
        <w:rPr>
          <w:rFonts w:eastAsia="함초롬바탕"/>
        </w:rPr>
        <w:t>Resolutions 9/11, 12/12 and 21/7.</w:t>
      </w:r>
    </w:p>
  </w:footnote>
  <w:footnote w:id="13">
    <w:p w:rsidR="00227BAB" w:rsidRDefault="00227BAB" w:rsidP="00966E4F">
      <w:pPr>
        <w:pStyle w:val="a4"/>
        <w:rPr>
          <w:rFonts w:hint="eastAsia"/>
        </w:rPr>
      </w:pPr>
      <w:r>
        <w:rPr>
          <w:rStyle w:val="a6"/>
        </w:rPr>
        <w:footnoteRef/>
      </w:r>
      <w:r>
        <w:t xml:space="preserve"> </w:t>
      </w:r>
      <w:r w:rsidR="00966E4F">
        <w:rPr>
          <w:rFonts w:eastAsia="함초롬바탕"/>
        </w:rPr>
        <w:t>Resolution 2175 of 6 June 2006.</w:t>
      </w:r>
    </w:p>
  </w:footnote>
  <w:footnote w:id="14">
    <w:p w:rsidR="00227BAB" w:rsidRPr="00966E4F" w:rsidRDefault="00227BAB" w:rsidP="00966E4F">
      <w:pPr>
        <w:pStyle w:val="a4"/>
        <w:rPr>
          <w:rFonts w:hint="eastAsia"/>
        </w:rPr>
      </w:pPr>
      <w:r>
        <w:rPr>
          <w:rStyle w:val="a6"/>
        </w:rPr>
        <w:footnoteRef/>
      </w:r>
      <w:r>
        <w:t xml:space="preserve"> </w:t>
      </w:r>
      <w:r w:rsidR="00966E4F">
        <w:rPr>
          <w:rFonts w:eastAsia="함초롬바탕"/>
        </w:rPr>
        <w:t>See, e.g., Spain, Act No. 52/2007, on historical memory, and Act No. 20/2022, on democratic memory; and Uruguay, Act No. 19.822 of 2019. See also Joint Declaration on Missing Persons in the Framework of the Berlin Process.</w:t>
      </w:r>
    </w:p>
  </w:footnote>
  <w:footnote w:id="15">
    <w:p w:rsidR="00227BAB" w:rsidRDefault="00227BAB" w:rsidP="00966E4F">
      <w:pPr>
        <w:pStyle w:val="a4"/>
        <w:rPr>
          <w:rFonts w:hint="eastAsia"/>
        </w:rPr>
      </w:pPr>
      <w:r>
        <w:rPr>
          <w:rStyle w:val="a6"/>
        </w:rPr>
        <w:footnoteRef/>
      </w:r>
      <w:r>
        <w:t xml:space="preserve"> </w:t>
      </w:r>
      <w:r w:rsidR="00966E4F">
        <w:rPr>
          <w:rFonts w:eastAsia="함초롬바탕"/>
        </w:rPr>
        <w:t xml:space="preserve">See, for example, </w:t>
      </w:r>
      <w:r w:rsidR="00966E4F">
        <w:rPr>
          <w:rFonts w:eastAsia="함초롬바탕"/>
          <w:i/>
          <w:iCs/>
        </w:rPr>
        <w:t xml:space="preserve">Supreme Court of Argentina, </w:t>
      </w:r>
      <w:proofErr w:type="spellStart"/>
      <w:r w:rsidR="00966E4F">
        <w:rPr>
          <w:rFonts w:eastAsia="함초롬바탕"/>
          <w:i/>
          <w:iCs/>
        </w:rPr>
        <w:t>Urteaga</w:t>
      </w:r>
      <w:proofErr w:type="spellEnd"/>
      <w:r w:rsidR="00966E4F">
        <w:rPr>
          <w:rFonts w:eastAsia="함초롬바탕"/>
          <w:i/>
          <w:iCs/>
        </w:rPr>
        <w:t xml:space="preserve"> v. The Argentine State-Joint Chiefs of Staff of the Armed Forces</w:t>
      </w:r>
      <w:r w:rsidR="00966E4F">
        <w:rPr>
          <w:rFonts w:eastAsia="함초롬바탕"/>
        </w:rPr>
        <w:t>, Judgment, 15 October 1998; and Federal Chamber of La Plata, resolution 18/98, 21 April 1998.</w:t>
      </w:r>
    </w:p>
  </w:footnote>
  <w:footnote w:id="16">
    <w:p w:rsidR="00227BAB" w:rsidRDefault="00227BAB" w:rsidP="00966E4F">
      <w:pPr>
        <w:pStyle w:val="a4"/>
        <w:rPr>
          <w:rFonts w:hint="eastAsia"/>
        </w:rPr>
      </w:pPr>
      <w:r>
        <w:rPr>
          <w:rStyle w:val="a6"/>
        </w:rPr>
        <w:footnoteRef/>
      </w:r>
      <w:r>
        <w:t xml:space="preserve"> </w:t>
      </w:r>
      <w:r w:rsidR="00966E4F">
        <w:rPr>
          <w:rFonts w:eastAsia="함초롬바탕"/>
        </w:rPr>
        <w:t xml:space="preserve">Communication No. 563/1993, </w:t>
      </w:r>
      <w:r w:rsidR="00966E4F">
        <w:rPr>
          <w:rFonts w:eastAsia="함초롬바탕"/>
          <w:i/>
          <w:iCs/>
        </w:rPr>
        <w:t xml:space="preserve">Bautista de </w:t>
      </w:r>
      <w:proofErr w:type="spellStart"/>
      <w:r w:rsidR="00966E4F">
        <w:rPr>
          <w:rFonts w:eastAsia="함초롬바탕"/>
          <w:i/>
          <w:iCs/>
        </w:rPr>
        <w:t>Arellana</w:t>
      </w:r>
      <w:proofErr w:type="spellEnd"/>
      <w:r w:rsidR="00966E4F">
        <w:rPr>
          <w:rFonts w:eastAsia="함초롬바탕"/>
          <w:i/>
          <w:iCs/>
        </w:rPr>
        <w:t xml:space="preserve"> v. Colombia</w:t>
      </w:r>
      <w:r w:rsidR="00966E4F">
        <w:rPr>
          <w:rFonts w:eastAsia="함초롬바탕"/>
        </w:rPr>
        <w:t xml:space="preserve">, paras. 8.3 and 8.6; CCPR/C/79/Add.63, para. 25; and communication No. 107/1981, </w:t>
      </w:r>
      <w:proofErr w:type="spellStart"/>
      <w:r w:rsidR="00966E4F">
        <w:rPr>
          <w:rFonts w:eastAsia="함초롬바탕"/>
        </w:rPr>
        <w:t>Quinteros</w:t>
      </w:r>
      <w:proofErr w:type="spellEnd"/>
      <w:r w:rsidR="00966E4F">
        <w:rPr>
          <w:rFonts w:eastAsia="함초롬바탕"/>
        </w:rPr>
        <w:t xml:space="preserve"> Almeida v. Uruguay, paras. 8 and 15.</w:t>
      </w:r>
    </w:p>
  </w:footnote>
  <w:footnote w:id="17">
    <w:p w:rsidR="00227BAB" w:rsidRDefault="00227BAB" w:rsidP="00966E4F">
      <w:pPr>
        <w:pStyle w:val="a4"/>
        <w:rPr>
          <w:rFonts w:hint="eastAsia"/>
        </w:rPr>
      </w:pPr>
      <w:r>
        <w:rPr>
          <w:rStyle w:val="a6"/>
        </w:rPr>
        <w:footnoteRef/>
      </w:r>
      <w:r>
        <w:t xml:space="preserve"> </w:t>
      </w:r>
      <w:r w:rsidR="00966E4F">
        <w:rPr>
          <w:rFonts w:eastAsia="함초롬바탕"/>
        </w:rPr>
        <w:t xml:space="preserve">Kurt v. Turkey, Application No. 15/1997/799/1002, Judgment, 25 May 1998, paras. 85, 86 and 175; and </w:t>
      </w:r>
      <w:proofErr w:type="spellStart"/>
      <w:r w:rsidR="00966E4F">
        <w:rPr>
          <w:rFonts w:eastAsia="함초롬바탕"/>
        </w:rPr>
        <w:t>Anguelova</w:t>
      </w:r>
      <w:proofErr w:type="spellEnd"/>
      <w:r w:rsidR="00966E4F">
        <w:rPr>
          <w:rFonts w:eastAsia="함초롬바탕"/>
        </w:rPr>
        <w:t xml:space="preserve"> v. Bulgaria, Application No. 38361/97, Judgment, 13 June 2002.</w:t>
      </w:r>
    </w:p>
  </w:footnote>
  <w:footnote w:id="18">
    <w:p w:rsidR="00227BAB" w:rsidRDefault="00227BAB" w:rsidP="00966E4F">
      <w:pPr>
        <w:pStyle w:val="a4"/>
        <w:rPr>
          <w:rFonts w:hint="eastAsia"/>
        </w:rPr>
      </w:pPr>
      <w:r>
        <w:rPr>
          <w:rStyle w:val="a6"/>
        </w:rPr>
        <w:footnoteRef/>
      </w:r>
      <w:r>
        <w:t xml:space="preserve"> </w:t>
      </w:r>
      <w:r w:rsidR="00966E4F">
        <w:rPr>
          <w:rFonts w:eastAsia="함초롬바탕"/>
        </w:rPr>
        <w:t>Amnesty International et al. v. Sudan, communications No. 48/90, No. 50/91, No. 52/91 and No. 89/93, Decision, 5 November 1999, paras. 51 and 56.</w:t>
      </w:r>
    </w:p>
  </w:footnote>
  <w:footnote w:id="19">
    <w:p w:rsidR="00227BAB" w:rsidRPr="00966E4F" w:rsidRDefault="00227BAB" w:rsidP="00966E4F">
      <w:pPr>
        <w:pStyle w:val="a4"/>
        <w:rPr>
          <w:rFonts w:hint="eastAsia"/>
        </w:rPr>
      </w:pPr>
      <w:r>
        <w:rPr>
          <w:rStyle w:val="a6"/>
        </w:rPr>
        <w:footnoteRef/>
      </w:r>
      <w:r>
        <w:t xml:space="preserve"> </w:t>
      </w:r>
      <w:r w:rsidR="00966E4F">
        <w:rPr>
          <w:rFonts w:eastAsia="함초롬바탕"/>
        </w:rPr>
        <w:t>“</w:t>
      </w:r>
      <w:proofErr w:type="spellStart"/>
      <w:r w:rsidR="00966E4F">
        <w:rPr>
          <w:rFonts w:eastAsia="함초롬바탕"/>
        </w:rPr>
        <w:t>Mapirip</w:t>
      </w:r>
      <w:r w:rsidR="00966E4F">
        <w:rPr>
          <w:rFonts w:eastAsia="함초롬바탕"/>
        </w:rPr>
        <w:t>á</w:t>
      </w:r>
      <w:r w:rsidR="00966E4F">
        <w:rPr>
          <w:rFonts w:eastAsia="함초롬바탕"/>
        </w:rPr>
        <w:t>n</w:t>
      </w:r>
      <w:proofErr w:type="spellEnd"/>
      <w:r w:rsidR="00966E4F">
        <w:rPr>
          <w:rFonts w:eastAsia="함초롬바탕"/>
        </w:rPr>
        <w:t xml:space="preserve"> Massacre</w:t>
      </w:r>
      <w:r w:rsidR="00966E4F">
        <w:rPr>
          <w:rFonts w:eastAsia="함초롬바탕"/>
        </w:rPr>
        <w:t>”</w:t>
      </w:r>
      <w:r w:rsidR="00966E4F">
        <w:rPr>
          <w:rFonts w:eastAsia="함초롬바탕"/>
        </w:rPr>
        <w:t xml:space="preserve"> v. Colombia, Judgment, 15 September 2005, paras. 223, 233 and 241; </w:t>
      </w:r>
      <w:proofErr w:type="spellStart"/>
      <w:r w:rsidR="00966E4F">
        <w:rPr>
          <w:rFonts w:eastAsia="함초롬바탕"/>
        </w:rPr>
        <w:t>B</w:t>
      </w:r>
      <w:r w:rsidR="00966E4F">
        <w:rPr>
          <w:rFonts w:eastAsia="함초롬바탕"/>
        </w:rPr>
        <w:t>á</w:t>
      </w:r>
      <w:r w:rsidR="00966E4F">
        <w:rPr>
          <w:rFonts w:eastAsia="함초롬바탕"/>
        </w:rPr>
        <w:t>maca</w:t>
      </w:r>
      <w:proofErr w:type="spellEnd"/>
      <w:r w:rsidR="00966E4F">
        <w:rPr>
          <w:rFonts w:eastAsia="함초롬바탕"/>
        </w:rPr>
        <w:t xml:space="preserve"> </w:t>
      </w:r>
      <w:proofErr w:type="spellStart"/>
      <w:r w:rsidR="00966E4F">
        <w:rPr>
          <w:rFonts w:eastAsia="함초롬바탕"/>
        </w:rPr>
        <w:t>Vel</w:t>
      </w:r>
      <w:r w:rsidR="00966E4F">
        <w:rPr>
          <w:rFonts w:eastAsia="함초롬바탕"/>
        </w:rPr>
        <w:t>á</w:t>
      </w:r>
      <w:r w:rsidR="00966E4F">
        <w:rPr>
          <w:rFonts w:eastAsia="함초롬바탕"/>
        </w:rPr>
        <w:t>squez</w:t>
      </w:r>
      <w:proofErr w:type="spellEnd"/>
      <w:r w:rsidR="00966E4F">
        <w:rPr>
          <w:rFonts w:eastAsia="함초롬바탕"/>
        </w:rPr>
        <w:t xml:space="preserve"> v. Guatemala, Judgment, 22 February 2002, paras. 76 and 77; Garc</w:t>
      </w:r>
      <w:r w:rsidR="00966E4F">
        <w:rPr>
          <w:rFonts w:eastAsia="함초롬바탕"/>
        </w:rPr>
        <w:t>í</w:t>
      </w:r>
      <w:r w:rsidR="00966E4F">
        <w:rPr>
          <w:rFonts w:eastAsia="함초롬바탕"/>
        </w:rPr>
        <w:t xml:space="preserve">a and family members v. Guatemala, Judgment, 29 November 2012, para. 176; </w:t>
      </w:r>
      <w:proofErr w:type="spellStart"/>
      <w:r w:rsidR="00966E4F">
        <w:rPr>
          <w:rFonts w:eastAsia="함초롬바탕"/>
        </w:rPr>
        <w:t>Vel</w:t>
      </w:r>
      <w:r w:rsidR="00966E4F">
        <w:rPr>
          <w:rFonts w:eastAsia="함초롬바탕"/>
        </w:rPr>
        <w:t>á</w:t>
      </w:r>
      <w:r w:rsidR="00966E4F">
        <w:rPr>
          <w:rFonts w:eastAsia="함초롬바탕"/>
        </w:rPr>
        <w:t>squez</w:t>
      </w:r>
      <w:proofErr w:type="spellEnd"/>
      <w:r w:rsidR="00966E4F">
        <w:rPr>
          <w:rFonts w:eastAsia="함초롬바탕"/>
        </w:rPr>
        <w:t xml:space="preserve"> Rodr</w:t>
      </w:r>
      <w:r w:rsidR="00966E4F">
        <w:rPr>
          <w:rFonts w:eastAsia="함초롬바탕"/>
        </w:rPr>
        <w:t>í</w:t>
      </w:r>
      <w:r w:rsidR="00966E4F">
        <w:rPr>
          <w:rFonts w:eastAsia="함초롬바탕"/>
        </w:rPr>
        <w:t>guez v. Honduras, Judgment, 29 July 1988, para. 181; and Rodr</w:t>
      </w:r>
      <w:r w:rsidR="00966E4F">
        <w:rPr>
          <w:rFonts w:eastAsia="함초롬바탕"/>
        </w:rPr>
        <w:t>í</w:t>
      </w:r>
      <w:r w:rsidR="00966E4F">
        <w:rPr>
          <w:rFonts w:eastAsia="함초롬바탕"/>
        </w:rPr>
        <w:t>guez Vera et al. (the Disappeared from the Palace of Justice) v. Colombia, Judgment, 14 November 2014, pp. 12</w:t>
      </w:r>
      <w:r w:rsidR="00966E4F">
        <w:rPr>
          <w:rFonts w:eastAsia="함초롬바탕" w:hAnsi="함초롬바탕" w:cs="함초롬바탕" w:hint="eastAsia"/>
        </w:rPr>
        <w:t>–</w:t>
      </w:r>
      <w:r w:rsidR="00966E4F">
        <w:rPr>
          <w:rFonts w:eastAsia="함초롬바탕"/>
        </w:rPr>
        <w:t>14.</w:t>
      </w:r>
    </w:p>
  </w:footnote>
  <w:footnote w:id="20">
    <w:p w:rsidR="00227BAB" w:rsidRDefault="00227BAB" w:rsidP="00966E4F">
      <w:pPr>
        <w:pStyle w:val="a4"/>
        <w:rPr>
          <w:rFonts w:hint="eastAsia"/>
        </w:rPr>
      </w:pPr>
      <w:r>
        <w:rPr>
          <w:rStyle w:val="a6"/>
        </w:rPr>
        <w:footnoteRef/>
      </w:r>
      <w:r>
        <w:t xml:space="preserve"> </w:t>
      </w:r>
      <w:r w:rsidR="00966E4F">
        <w:rPr>
          <w:rFonts w:eastAsia="함초롬바탕"/>
        </w:rPr>
        <w:t xml:space="preserve">European Court of Human Rights, </w:t>
      </w:r>
      <w:r w:rsidR="00966E4F">
        <w:rPr>
          <w:rFonts w:eastAsia="함초롬바탕"/>
          <w:i/>
          <w:iCs/>
        </w:rPr>
        <w:t>Cyprus v. Turkey</w:t>
      </w:r>
      <w:r w:rsidR="00966E4F">
        <w:rPr>
          <w:rFonts w:eastAsia="함초롬바탕"/>
        </w:rPr>
        <w:t>, Application No. 25781/94, Judgment, 10 May 2001, paras. 155</w:t>
      </w:r>
      <w:r w:rsidR="00966E4F">
        <w:rPr>
          <w:rFonts w:eastAsia="함초롬바탕" w:hAnsi="함초롬바탕" w:cs="함초롬바탕" w:hint="eastAsia"/>
        </w:rPr>
        <w:t>–</w:t>
      </w:r>
      <w:r w:rsidR="00966E4F">
        <w:rPr>
          <w:rFonts w:eastAsia="함초롬바탕"/>
        </w:rPr>
        <w:t xml:space="preserve">158; Inter-American Court of Human Rights, </w:t>
      </w:r>
      <w:r w:rsidR="00966E4F">
        <w:rPr>
          <w:rFonts w:eastAsia="함초롬바탕"/>
          <w:i/>
          <w:iCs/>
        </w:rPr>
        <w:t xml:space="preserve">La </w:t>
      </w:r>
      <w:proofErr w:type="spellStart"/>
      <w:r w:rsidR="00966E4F">
        <w:rPr>
          <w:rFonts w:eastAsia="함초롬바탕"/>
          <w:i/>
          <w:iCs/>
        </w:rPr>
        <w:t>Rochela</w:t>
      </w:r>
      <w:proofErr w:type="spellEnd"/>
      <w:r w:rsidR="00966E4F">
        <w:rPr>
          <w:rFonts w:eastAsia="함초롬바탕"/>
          <w:i/>
          <w:iCs/>
        </w:rPr>
        <w:t xml:space="preserve"> Massacre v. Colombia</w:t>
      </w:r>
      <w:r w:rsidR="00966E4F">
        <w:rPr>
          <w:rFonts w:eastAsia="함초롬바탕"/>
        </w:rPr>
        <w:t xml:space="preserve">, Judgment, 11 May 2007, para. 195; and </w:t>
      </w:r>
      <w:proofErr w:type="spellStart"/>
      <w:r w:rsidR="00966E4F">
        <w:rPr>
          <w:rFonts w:eastAsia="함초롬바탕"/>
          <w:i/>
          <w:iCs/>
        </w:rPr>
        <w:t>Chitay</w:t>
      </w:r>
      <w:proofErr w:type="spellEnd"/>
      <w:r w:rsidR="00966E4F">
        <w:rPr>
          <w:rFonts w:eastAsia="함초롬바탕"/>
          <w:i/>
          <w:iCs/>
        </w:rPr>
        <w:t xml:space="preserve"> </w:t>
      </w:r>
      <w:proofErr w:type="spellStart"/>
      <w:r w:rsidR="00966E4F">
        <w:rPr>
          <w:rFonts w:eastAsia="함초롬바탕"/>
          <w:i/>
          <w:iCs/>
        </w:rPr>
        <w:t>Nech</w:t>
      </w:r>
      <w:proofErr w:type="spellEnd"/>
      <w:r w:rsidR="00966E4F">
        <w:rPr>
          <w:rFonts w:eastAsia="함초롬바탕"/>
          <w:i/>
          <w:iCs/>
        </w:rPr>
        <w:t xml:space="preserve"> et al. v. Guatemala</w:t>
      </w:r>
      <w:r w:rsidR="00966E4F">
        <w:rPr>
          <w:rFonts w:eastAsia="함초롬바탕"/>
        </w:rPr>
        <w:t>, Judgment, 25 May 2010.</w:t>
      </w:r>
    </w:p>
  </w:footnote>
  <w:footnote w:id="21">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r w:rsidR="00966E4F">
        <w:rPr>
          <w:rFonts w:eastAsia="함초롬바탕"/>
          <w:i/>
          <w:iCs/>
        </w:rPr>
        <w:t>Gelman v. Uruguay</w:t>
      </w:r>
      <w:r w:rsidR="00966E4F">
        <w:rPr>
          <w:rFonts w:eastAsia="함초롬바탕"/>
        </w:rPr>
        <w:t>, Judgment, 24 February 2011, para. 187.</w:t>
      </w:r>
    </w:p>
  </w:footnote>
  <w:footnote w:id="22">
    <w:p w:rsidR="00227BAB" w:rsidRPr="00966E4F" w:rsidRDefault="00227BAB" w:rsidP="00966E4F">
      <w:pPr>
        <w:pStyle w:val="a4"/>
        <w:rPr>
          <w:rFonts w:hint="eastAsia"/>
        </w:rPr>
      </w:pPr>
      <w:r>
        <w:rPr>
          <w:rStyle w:val="a6"/>
        </w:rPr>
        <w:footnoteRef/>
      </w:r>
      <w:r>
        <w:t xml:space="preserve"> </w:t>
      </w:r>
      <w:r w:rsidR="00966E4F">
        <w:rPr>
          <w:rFonts w:eastAsia="함초롬바탕"/>
        </w:rPr>
        <w:t xml:space="preserve">Updated set of principles, principles 8 (c) and 5. </w:t>
      </w:r>
    </w:p>
  </w:footnote>
  <w:footnote w:id="23">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proofErr w:type="spellStart"/>
      <w:r w:rsidR="00966E4F">
        <w:rPr>
          <w:rFonts w:eastAsia="함초롬바탕"/>
          <w:i/>
          <w:iCs/>
        </w:rPr>
        <w:t>Moiwana</w:t>
      </w:r>
      <w:proofErr w:type="spellEnd"/>
      <w:r w:rsidR="00966E4F">
        <w:rPr>
          <w:rFonts w:eastAsia="함초롬바탕"/>
          <w:i/>
          <w:iCs/>
        </w:rPr>
        <w:t xml:space="preserve"> Community v. Suriname</w:t>
      </w:r>
      <w:r w:rsidR="00966E4F">
        <w:rPr>
          <w:rFonts w:eastAsia="함초롬바탕"/>
        </w:rPr>
        <w:t>, Judgment, 15 June 2005, para. 146.</w:t>
      </w:r>
    </w:p>
  </w:footnote>
  <w:footnote w:id="24">
    <w:p w:rsidR="00227BAB" w:rsidRDefault="00227BAB" w:rsidP="00966E4F">
      <w:pPr>
        <w:pStyle w:val="a4"/>
        <w:rPr>
          <w:rFonts w:hint="eastAsia"/>
        </w:rPr>
      </w:pPr>
      <w:r>
        <w:rPr>
          <w:rStyle w:val="a6"/>
        </w:rPr>
        <w:footnoteRef/>
      </w:r>
      <w:r>
        <w:t xml:space="preserve"> </w:t>
      </w:r>
      <w:r w:rsidR="00966E4F">
        <w:rPr>
          <w:rFonts w:eastAsia="함초롬바탕"/>
        </w:rPr>
        <w:t xml:space="preserve">Human Rights Committee, general comment No. 36 (2019), paras. 28 and 64. See also European Court of Human Rights, </w:t>
      </w:r>
      <w:proofErr w:type="spellStart"/>
      <w:r w:rsidR="00966E4F">
        <w:rPr>
          <w:rFonts w:eastAsia="함초롬바탕"/>
          <w:i/>
          <w:iCs/>
        </w:rPr>
        <w:t>O</w:t>
      </w:r>
      <w:r w:rsidR="00966E4F">
        <w:rPr>
          <w:rFonts w:eastAsia="함초롬바탕"/>
          <w:i/>
          <w:iCs/>
        </w:rPr>
        <w:t>ğ</w:t>
      </w:r>
      <w:r w:rsidR="00966E4F">
        <w:rPr>
          <w:rFonts w:eastAsia="함초롬바탕"/>
          <w:i/>
          <w:iCs/>
        </w:rPr>
        <w:t>ur</w:t>
      </w:r>
      <w:proofErr w:type="spellEnd"/>
      <w:r w:rsidR="00966E4F">
        <w:rPr>
          <w:rFonts w:eastAsia="함초롬바탕"/>
          <w:i/>
          <w:iCs/>
        </w:rPr>
        <w:t xml:space="preserve"> v. Turkey</w:t>
      </w:r>
      <w:r w:rsidR="00966E4F">
        <w:rPr>
          <w:rFonts w:eastAsia="함초롬바탕"/>
        </w:rPr>
        <w:t xml:space="preserve">, Application No. 21594/93, Judgment, 20 May 1999; and Inter-American Court of Human Rights, </w:t>
      </w:r>
      <w:r w:rsidR="00966E4F">
        <w:rPr>
          <w:rFonts w:eastAsia="함초롬바탕"/>
          <w:i/>
          <w:iCs/>
        </w:rPr>
        <w:t>G</w:t>
      </w:r>
      <w:r w:rsidR="00966E4F">
        <w:rPr>
          <w:rFonts w:eastAsia="함초롬바탕"/>
          <w:i/>
          <w:iCs/>
        </w:rPr>
        <w:t>ó</w:t>
      </w:r>
      <w:r w:rsidR="00966E4F">
        <w:rPr>
          <w:rFonts w:eastAsia="함초롬바탕"/>
          <w:i/>
          <w:iCs/>
        </w:rPr>
        <w:t xml:space="preserve">mez </w:t>
      </w:r>
      <w:proofErr w:type="spellStart"/>
      <w:r w:rsidR="00966E4F">
        <w:rPr>
          <w:rFonts w:eastAsia="함초롬바탕"/>
          <w:i/>
          <w:iCs/>
        </w:rPr>
        <w:t>Paquiyauri</w:t>
      </w:r>
      <w:proofErr w:type="spellEnd"/>
      <w:r w:rsidR="00966E4F">
        <w:rPr>
          <w:rFonts w:eastAsia="함초롬바탕"/>
          <w:i/>
          <w:iCs/>
        </w:rPr>
        <w:t xml:space="preserve"> Brothers v. Peru</w:t>
      </w:r>
      <w:r w:rsidR="00966E4F">
        <w:rPr>
          <w:rFonts w:eastAsia="함초롬바탕"/>
        </w:rPr>
        <w:t>, Judgment, 8 July 2004, para. 131.</w:t>
      </w:r>
    </w:p>
  </w:footnote>
  <w:footnote w:id="25">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proofErr w:type="spellStart"/>
      <w:r w:rsidR="00966E4F">
        <w:rPr>
          <w:rFonts w:eastAsia="함초롬바탕"/>
          <w:i/>
          <w:iCs/>
        </w:rPr>
        <w:t>Moiwana</w:t>
      </w:r>
      <w:proofErr w:type="spellEnd"/>
      <w:r w:rsidR="00966E4F">
        <w:rPr>
          <w:rFonts w:eastAsia="함초롬바탕"/>
          <w:i/>
          <w:iCs/>
        </w:rPr>
        <w:t xml:space="preserve"> Community v. Suriname</w:t>
      </w:r>
      <w:r w:rsidR="00966E4F">
        <w:rPr>
          <w:rFonts w:eastAsia="함초롬바탕"/>
        </w:rPr>
        <w:t xml:space="preserve">, para. 146; and European Court of Human Rights, </w:t>
      </w:r>
      <w:proofErr w:type="spellStart"/>
      <w:r w:rsidR="00966E4F">
        <w:rPr>
          <w:rFonts w:eastAsia="함초롬바탕"/>
          <w:i/>
          <w:iCs/>
        </w:rPr>
        <w:t>Khashiyev</w:t>
      </w:r>
      <w:proofErr w:type="spellEnd"/>
      <w:r w:rsidR="00966E4F">
        <w:rPr>
          <w:rFonts w:eastAsia="함초롬바탕"/>
          <w:i/>
          <w:iCs/>
        </w:rPr>
        <w:t xml:space="preserve"> and </w:t>
      </w:r>
      <w:proofErr w:type="spellStart"/>
      <w:r w:rsidR="00966E4F">
        <w:rPr>
          <w:rFonts w:eastAsia="함초롬바탕"/>
          <w:i/>
          <w:iCs/>
        </w:rPr>
        <w:t>Akayeva</w:t>
      </w:r>
      <w:proofErr w:type="spellEnd"/>
      <w:r w:rsidR="00966E4F">
        <w:rPr>
          <w:rFonts w:eastAsia="함초롬바탕"/>
          <w:i/>
          <w:iCs/>
        </w:rPr>
        <w:t xml:space="preserve"> v. Russia</w:t>
      </w:r>
      <w:r w:rsidR="00966E4F">
        <w:rPr>
          <w:rFonts w:eastAsia="함초롬바탕"/>
        </w:rPr>
        <w:t>, Applications No. 57942/00 and No. 57945/00, Judgment, 24 February 2005, para. 153.</w:t>
      </w:r>
    </w:p>
  </w:footnote>
  <w:footnote w:id="26">
    <w:p w:rsidR="00227BAB" w:rsidRDefault="00227BAB" w:rsidP="00966E4F">
      <w:pPr>
        <w:pStyle w:val="a4"/>
        <w:rPr>
          <w:rFonts w:hint="eastAsia"/>
        </w:rPr>
      </w:pPr>
      <w:r>
        <w:rPr>
          <w:rStyle w:val="a6"/>
        </w:rPr>
        <w:footnoteRef/>
      </w:r>
      <w:r>
        <w:t xml:space="preserve"> </w:t>
      </w:r>
      <w:r w:rsidR="00966E4F">
        <w:rPr>
          <w:rFonts w:eastAsia="함초롬바탕"/>
        </w:rPr>
        <w:t>Human Rights Committee, general comment No. 31 (2004), para. 15.</w:t>
      </w:r>
    </w:p>
  </w:footnote>
  <w:footnote w:id="27">
    <w:p w:rsidR="00227BAB" w:rsidRDefault="00227BAB" w:rsidP="00966E4F">
      <w:pPr>
        <w:pStyle w:val="a4"/>
        <w:rPr>
          <w:rFonts w:hint="eastAsia"/>
        </w:rPr>
      </w:pPr>
      <w:r>
        <w:rPr>
          <w:rStyle w:val="a6"/>
        </w:rPr>
        <w:footnoteRef/>
      </w:r>
      <w:r>
        <w:t xml:space="preserve"> </w:t>
      </w:r>
      <w:r w:rsidR="00966E4F">
        <w:rPr>
          <w:rFonts w:eastAsia="함초롬바탕"/>
        </w:rPr>
        <w:t>Geneva Convention relative to the Protection of Civilian Persons in Time of War (Fourth Geneva Convention), art. 26; and Protocol I Additional to the Geneva Conventions of 1949, art. 32. See also Human Rights Committee,</w:t>
      </w:r>
      <w:r w:rsidR="00966E4F">
        <w:rPr>
          <w:rFonts w:eastAsia="함초롬바탕"/>
          <w:i/>
          <w:iCs/>
        </w:rPr>
        <w:t xml:space="preserve"> </w:t>
      </w:r>
      <w:proofErr w:type="spellStart"/>
      <w:r w:rsidR="00966E4F">
        <w:rPr>
          <w:rFonts w:eastAsia="함초롬바탕"/>
          <w:i/>
          <w:iCs/>
        </w:rPr>
        <w:t>Aliboev</w:t>
      </w:r>
      <w:proofErr w:type="spellEnd"/>
      <w:r w:rsidR="00966E4F">
        <w:rPr>
          <w:rFonts w:eastAsia="함초롬바탕"/>
          <w:i/>
          <w:iCs/>
        </w:rPr>
        <w:t xml:space="preserve"> v. Tajikistan</w:t>
      </w:r>
      <w:r w:rsidR="00966E4F">
        <w:rPr>
          <w:rFonts w:eastAsia="함초롬바탕"/>
        </w:rPr>
        <w:t xml:space="preserve">, (CCPR/C/85/D/985/2001); Inter-American Court of Human Rights, </w:t>
      </w:r>
      <w:proofErr w:type="spellStart"/>
      <w:r w:rsidR="00966E4F">
        <w:rPr>
          <w:rFonts w:eastAsia="함초롬바탕"/>
          <w:i/>
          <w:iCs/>
        </w:rPr>
        <w:t>Vel</w:t>
      </w:r>
      <w:r w:rsidR="00966E4F">
        <w:rPr>
          <w:rFonts w:eastAsia="함초롬바탕"/>
          <w:i/>
          <w:iCs/>
        </w:rPr>
        <w:t>á</w:t>
      </w:r>
      <w:r w:rsidR="00966E4F">
        <w:rPr>
          <w:rFonts w:eastAsia="함초롬바탕"/>
          <w:i/>
          <w:iCs/>
        </w:rPr>
        <w:t>squez</w:t>
      </w:r>
      <w:proofErr w:type="spellEnd"/>
      <w:r w:rsidR="00966E4F">
        <w:rPr>
          <w:rFonts w:eastAsia="함초롬바탕"/>
          <w:i/>
          <w:iCs/>
        </w:rPr>
        <w:t xml:space="preserve"> Rodr</w:t>
      </w:r>
      <w:r w:rsidR="00966E4F">
        <w:rPr>
          <w:rFonts w:eastAsia="함초롬바탕"/>
          <w:i/>
          <w:iCs/>
        </w:rPr>
        <w:t>í</w:t>
      </w:r>
      <w:r w:rsidR="00966E4F">
        <w:rPr>
          <w:rFonts w:eastAsia="함초롬바탕"/>
          <w:i/>
          <w:iCs/>
        </w:rPr>
        <w:t>guez v. Honduras</w:t>
      </w:r>
      <w:r w:rsidR="00966E4F">
        <w:rPr>
          <w:rFonts w:eastAsia="함초롬바탕"/>
        </w:rPr>
        <w:t xml:space="preserve">, paras. 166, 175 and 181; and European Court of Human Rights, </w:t>
      </w:r>
      <w:proofErr w:type="spellStart"/>
      <w:r w:rsidR="00966E4F">
        <w:rPr>
          <w:rFonts w:eastAsia="함초롬바탕"/>
          <w:i/>
          <w:iCs/>
        </w:rPr>
        <w:t>Akkum</w:t>
      </w:r>
      <w:proofErr w:type="spellEnd"/>
      <w:r w:rsidR="00966E4F">
        <w:rPr>
          <w:rFonts w:eastAsia="함초롬바탕"/>
          <w:i/>
          <w:iCs/>
        </w:rPr>
        <w:t xml:space="preserve"> and Others v. Turkey,</w:t>
      </w:r>
      <w:r w:rsidR="00966E4F">
        <w:rPr>
          <w:rFonts w:eastAsia="함초롬바탕"/>
        </w:rPr>
        <w:t xml:space="preserve"> Application No. 21894/93, Judgment, 24 June 2005, paras. 247</w:t>
      </w:r>
      <w:r w:rsidR="00966E4F">
        <w:rPr>
          <w:rFonts w:eastAsia="함초롬바탕" w:hAnsi="함초롬바탕" w:cs="함초롬바탕" w:hint="eastAsia"/>
        </w:rPr>
        <w:t>–</w:t>
      </w:r>
      <w:r w:rsidR="00966E4F">
        <w:rPr>
          <w:rFonts w:eastAsia="함초롬바탕"/>
        </w:rPr>
        <w:t>251.</w:t>
      </w:r>
    </w:p>
  </w:footnote>
  <w:footnote w:id="28">
    <w:p w:rsidR="00227BAB" w:rsidRDefault="00227BAB" w:rsidP="00966E4F">
      <w:pPr>
        <w:pStyle w:val="a4"/>
        <w:rPr>
          <w:rFonts w:hint="eastAsia"/>
        </w:rPr>
      </w:pPr>
      <w:r>
        <w:rPr>
          <w:rStyle w:val="a6"/>
        </w:rPr>
        <w:footnoteRef/>
      </w:r>
      <w:r>
        <w:t xml:space="preserve"> </w:t>
      </w:r>
      <w:r w:rsidR="00966E4F">
        <w:rPr>
          <w:rFonts w:eastAsia="함초롬바탕"/>
          <w:i/>
          <w:iCs/>
        </w:rPr>
        <w:t>R</w:t>
      </w:r>
      <w:r w:rsidR="00966E4F">
        <w:rPr>
          <w:rFonts w:eastAsia="함초롬바탕"/>
          <w:i/>
          <w:iCs/>
        </w:rPr>
        <w:t>í</w:t>
      </w:r>
      <w:r w:rsidR="00966E4F">
        <w:rPr>
          <w:rFonts w:eastAsia="함초롬바탕"/>
          <w:i/>
          <w:iCs/>
        </w:rPr>
        <w:t>o Negro Massacres v. Guatemala</w:t>
      </w:r>
      <w:r w:rsidR="00966E4F">
        <w:rPr>
          <w:rFonts w:eastAsia="함초롬바탕"/>
        </w:rPr>
        <w:t>, Judgment, 4 September 2012, paras. 265 and 268.</w:t>
      </w:r>
    </w:p>
  </w:footnote>
  <w:footnote w:id="29">
    <w:p w:rsidR="00227BAB" w:rsidRDefault="00227BAB" w:rsidP="00966E4F">
      <w:pPr>
        <w:pStyle w:val="a4"/>
        <w:rPr>
          <w:rFonts w:hint="eastAsia"/>
        </w:rPr>
      </w:pPr>
      <w:r>
        <w:rPr>
          <w:rStyle w:val="a6"/>
        </w:rPr>
        <w:footnoteRef/>
      </w:r>
      <w:r>
        <w:t xml:space="preserve"> </w:t>
      </w:r>
      <w:r w:rsidR="00966E4F">
        <w:rPr>
          <w:rFonts w:eastAsia="함초롬바탕"/>
        </w:rPr>
        <w:t>Updated set of principles, principle 34; and A/HRC/22/45 and A/HRC/22/45/Corr.1, para. 54.</w:t>
      </w:r>
    </w:p>
  </w:footnote>
  <w:footnote w:id="30">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proofErr w:type="spellStart"/>
      <w:r w:rsidR="00966E4F">
        <w:rPr>
          <w:rFonts w:eastAsia="함초롬바탕"/>
          <w:i/>
          <w:iCs/>
        </w:rPr>
        <w:t>Chitay</w:t>
      </w:r>
      <w:proofErr w:type="spellEnd"/>
      <w:r w:rsidR="00966E4F">
        <w:rPr>
          <w:rFonts w:eastAsia="함초롬바탕"/>
          <w:i/>
          <w:iCs/>
        </w:rPr>
        <w:t xml:space="preserve"> </w:t>
      </w:r>
      <w:proofErr w:type="spellStart"/>
      <w:r w:rsidR="00966E4F">
        <w:rPr>
          <w:rFonts w:eastAsia="함초롬바탕"/>
          <w:i/>
          <w:iCs/>
        </w:rPr>
        <w:t>Nech</w:t>
      </w:r>
      <w:proofErr w:type="spellEnd"/>
      <w:r w:rsidR="00966E4F">
        <w:rPr>
          <w:rFonts w:eastAsia="함초롬바탕"/>
          <w:i/>
          <w:iCs/>
        </w:rPr>
        <w:t xml:space="preserve"> et al. v. Guatemala</w:t>
      </w:r>
      <w:r w:rsidR="00966E4F">
        <w:rPr>
          <w:rFonts w:eastAsia="함초롬바탕"/>
        </w:rPr>
        <w:t xml:space="preserve">, para. 222. See also Human Rights Committee, communication No. 30/1978, </w:t>
      </w:r>
      <w:proofErr w:type="spellStart"/>
      <w:r w:rsidR="00966E4F">
        <w:rPr>
          <w:rFonts w:eastAsia="함초롬바탕"/>
          <w:i/>
          <w:iCs/>
        </w:rPr>
        <w:t>Bleier</w:t>
      </w:r>
      <w:proofErr w:type="spellEnd"/>
      <w:r w:rsidR="00966E4F">
        <w:rPr>
          <w:rFonts w:eastAsia="함초롬바탕"/>
          <w:i/>
          <w:iCs/>
        </w:rPr>
        <w:t xml:space="preserve"> v. Uruguay</w:t>
      </w:r>
      <w:r w:rsidR="00966E4F">
        <w:rPr>
          <w:rFonts w:eastAsia="함초롬바탕"/>
        </w:rPr>
        <w:t>, para. 2.4.</w:t>
      </w:r>
    </w:p>
  </w:footnote>
  <w:footnote w:id="31">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r w:rsidR="00966E4F">
        <w:rPr>
          <w:rFonts w:eastAsia="함초롬바탕"/>
          <w:i/>
          <w:iCs/>
        </w:rPr>
        <w:t xml:space="preserve">Massacres of El </w:t>
      </w:r>
      <w:proofErr w:type="spellStart"/>
      <w:r w:rsidR="00966E4F">
        <w:rPr>
          <w:rFonts w:eastAsia="함초롬바탕"/>
          <w:i/>
          <w:iCs/>
        </w:rPr>
        <w:t>Mozote</w:t>
      </w:r>
      <w:proofErr w:type="spellEnd"/>
      <w:r w:rsidR="00966E4F">
        <w:rPr>
          <w:rFonts w:eastAsia="함초롬바탕"/>
          <w:i/>
          <w:iCs/>
        </w:rPr>
        <w:t xml:space="preserve"> and nearby places v. El Salvador</w:t>
      </w:r>
      <w:r w:rsidR="00966E4F">
        <w:rPr>
          <w:rFonts w:eastAsia="함초롬바탕"/>
        </w:rPr>
        <w:t>, Judgment, 25 October 2012, para. 331. See also A/HRC/14/42 and A/HRC/AC/6/2.</w:t>
      </w:r>
    </w:p>
  </w:footnote>
  <w:footnote w:id="32">
    <w:p w:rsidR="00227BAB" w:rsidRDefault="00227BAB" w:rsidP="00966E4F">
      <w:pPr>
        <w:pStyle w:val="a4"/>
        <w:rPr>
          <w:rFonts w:hint="eastAsia"/>
        </w:rPr>
      </w:pPr>
      <w:r>
        <w:rPr>
          <w:rStyle w:val="a6"/>
        </w:rPr>
        <w:footnoteRef/>
      </w:r>
      <w:r>
        <w:t xml:space="preserve"> </w:t>
      </w:r>
      <w:r w:rsidR="00966E4F">
        <w:rPr>
          <w:rFonts w:eastAsia="함초롬바탕"/>
        </w:rPr>
        <w:t xml:space="preserve">Inter-American Court of Human Rights, </w:t>
      </w:r>
      <w:r w:rsidR="00966E4F">
        <w:rPr>
          <w:rFonts w:eastAsia="함초롬바탕"/>
          <w:i/>
          <w:iCs/>
        </w:rPr>
        <w:t>Serrano Cruz Sisters v. El Salvador</w:t>
      </w:r>
      <w:r w:rsidR="00966E4F">
        <w:rPr>
          <w:rFonts w:eastAsia="함초롬바탕"/>
        </w:rPr>
        <w:t>, Judgment, 1 March 2005, para. 193.</w:t>
      </w:r>
    </w:p>
  </w:footnote>
  <w:footnote w:id="33">
    <w:p w:rsidR="00227BAB" w:rsidRDefault="00227BAB" w:rsidP="00966E4F">
      <w:pPr>
        <w:pStyle w:val="a4"/>
        <w:rPr>
          <w:rFonts w:hint="eastAsia"/>
        </w:rPr>
      </w:pPr>
      <w:r>
        <w:rPr>
          <w:rStyle w:val="a6"/>
        </w:rPr>
        <w:footnoteRef/>
      </w:r>
      <w:r>
        <w:t xml:space="preserve"> </w:t>
      </w:r>
      <w:r w:rsidR="00966E4F">
        <w:rPr>
          <w:rFonts w:eastAsia="함초롬바탕"/>
        </w:rPr>
        <w:t>Ibid., paras. 189</w:t>
      </w:r>
      <w:r w:rsidR="00966E4F">
        <w:rPr>
          <w:rFonts w:eastAsia="함초롬바탕" w:hAnsi="함초롬바탕" w:cs="함초롬바탕" w:hint="eastAsia"/>
        </w:rPr>
        <w:t>–</w:t>
      </w:r>
      <w:r w:rsidR="00966E4F">
        <w:rPr>
          <w:rFonts w:eastAsia="함초롬바탕"/>
        </w:rPr>
        <w:t>191.</w:t>
      </w:r>
    </w:p>
  </w:footnote>
  <w:footnote w:id="34">
    <w:p w:rsidR="00227BAB" w:rsidRDefault="00227BAB" w:rsidP="0061348B">
      <w:pPr>
        <w:pStyle w:val="a4"/>
        <w:rPr>
          <w:rFonts w:hint="eastAsia"/>
        </w:rPr>
      </w:pPr>
      <w:r>
        <w:rPr>
          <w:rStyle w:val="a6"/>
        </w:rPr>
        <w:footnoteRef/>
      </w:r>
      <w:r>
        <w:t xml:space="preserve"> </w:t>
      </w:r>
      <w:r w:rsidR="0061348B">
        <w:rPr>
          <w:rFonts w:eastAsia="함초롬바탕"/>
        </w:rPr>
        <w:t>A/HRC/22/45 and A/HRC/22/45/Corr.1, para. 79 (g).</w:t>
      </w:r>
    </w:p>
  </w:footnote>
  <w:footnote w:id="35">
    <w:p w:rsidR="00227BAB" w:rsidRPr="0061348B" w:rsidRDefault="00227BAB" w:rsidP="0061348B">
      <w:pPr>
        <w:pStyle w:val="a4"/>
        <w:rPr>
          <w:rFonts w:hint="eastAsia"/>
        </w:rPr>
      </w:pPr>
      <w:r>
        <w:rPr>
          <w:rStyle w:val="a6"/>
        </w:rPr>
        <w:footnoteRef/>
      </w:r>
      <w:r>
        <w:t xml:space="preserve"> </w:t>
      </w:r>
      <w:r w:rsidR="0061348B">
        <w:rPr>
          <w:rFonts w:eastAsia="함초롬바탕"/>
        </w:rPr>
        <w:t>Bosnia and Herzegovina, Brazil, Croatia, Ireland, Montenegro, Serbia and the United Kingdom of Great Britain and Northern Ireland, as well as Kosovo, among many others.</w:t>
      </w:r>
    </w:p>
  </w:footnote>
  <w:footnote w:id="36">
    <w:p w:rsidR="00227BAB" w:rsidRDefault="00227BAB" w:rsidP="0061348B">
      <w:pPr>
        <w:pStyle w:val="a4"/>
        <w:rPr>
          <w:rFonts w:hint="eastAsia"/>
        </w:rPr>
      </w:pPr>
      <w:r>
        <w:rPr>
          <w:rStyle w:val="a6"/>
        </w:rPr>
        <w:footnoteRef/>
      </w:r>
      <w:r>
        <w:t xml:space="preserve"> </w:t>
      </w:r>
      <w:r w:rsidR="0061348B">
        <w:rPr>
          <w:rFonts w:eastAsia="함초롬바탕"/>
        </w:rPr>
        <w:t>A/HRC/51/31, para. 5.</w:t>
      </w:r>
    </w:p>
  </w:footnote>
  <w:footnote w:id="37">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5.</w:t>
      </w:r>
    </w:p>
  </w:footnote>
  <w:footnote w:id="38">
    <w:p w:rsidR="00227BAB" w:rsidRDefault="00227BAB" w:rsidP="0061348B">
      <w:pPr>
        <w:pStyle w:val="a4"/>
        <w:rPr>
          <w:rFonts w:hint="eastAsia"/>
        </w:rPr>
      </w:pPr>
      <w:r>
        <w:rPr>
          <w:rStyle w:val="a6"/>
        </w:rPr>
        <w:footnoteRef/>
      </w:r>
      <w:r>
        <w:t xml:space="preserve"> </w:t>
      </w:r>
      <w:r w:rsidR="0061348B">
        <w:rPr>
          <w:rFonts w:eastAsia="함초롬바탕"/>
        </w:rPr>
        <w:t>Various examples are mentioned in A/HRC/48/60, paras. 14 and 15.</w:t>
      </w:r>
    </w:p>
  </w:footnote>
  <w:footnote w:id="39">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8.</w:t>
      </w:r>
    </w:p>
  </w:footnote>
  <w:footnote w:id="40">
    <w:p w:rsidR="00227BAB" w:rsidRDefault="00227BAB" w:rsidP="0061348B">
      <w:pPr>
        <w:pStyle w:val="a4"/>
        <w:rPr>
          <w:rFonts w:hint="eastAsia"/>
        </w:rPr>
      </w:pPr>
      <w:r>
        <w:rPr>
          <w:rStyle w:val="a6"/>
        </w:rPr>
        <w:footnoteRef/>
      </w:r>
      <w:r>
        <w:t xml:space="preserve"> </w:t>
      </w:r>
      <w:r w:rsidR="0061348B">
        <w:rPr>
          <w:rFonts w:eastAsia="함초롬바탕"/>
        </w:rPr>
        <w:t>Ibid., principle 11.</w:t>
      </w:r>
    </w:p>
  </w:footnote>
  <w:footnote w:id="41">
    <w:p w:rsidR="00227BAB" w:rsidRDefault="00227BAB" w:rsidP="0061348B">
      <w:pPr>
        <w:pStyle w:val="a4"/>
        <w:rPr>
          <w:rFonts w:hint="eastAsia"/>
        </w:rPr>
      </w:pPr>
      <w:r>
        <w:rPr>
          <w:rStyle w:val="a6"/>
        </w:rPr>
        <w:footnoteRef/>
      </w:r>
      <w:r>
        <w:t xml:space="preserve"> </w:t>
      </w:r>
      <w:r w:rsidR="0061348B">
        <w:rPr>
          <w:rFonts w:eastAsia="함초롬바탕"/>
        </w:rPr>
        <w:t>Ibid., principles 6 and 8.</w:t>
      </w:r>
    </w:p>
  </w:footnote>
  <w:footnote w:id="42">
    <w:p w:rsidR="00227BAB" w:rsidRDefault="00227BAB" w:rsidP="0061348B">
      <w:pPr>
        <w:pStyle w:val="a4"/>
        <w:rPr>
          <w:rFonts w:hint="eastAsia"/>
        </w:rPr>
      </w:pPr>
      <w:r>
        <w:rPr>
          <w:rStyle w:val="a6"/>
        </w:rPr>
        <w:footnoteRef/>
      </w:r>
      <w:r>
        <w:t xml:space="preserve"> </w:t>
      </w:r>
      <w:r w:rsidR="0061348B">
        <w:rPr>
          <w:rFonts w:eastAsia="함초롬바탕"/>
        </w:rPr>
        <w:t>Ibid., principles 7 and 11.</w:t>
      </w:r>
    </w:p>
  </w:footnote>
  <w:footnote w:id="43">
    <w:p w:rsidR="00227BAB" w:rsidRDefault="00227BAB" w:rsidP="0061348B">
      <w:pPr>
        <w:pStyle w:val="a4"/>
        <w:rPr>
          <w:rFonts w:hint="eastAsia"/>
        </w:rPr>
      </w:pPr>
      <w:r>
        <w:rPr>
          <w:rStyle w:val="a6"/>
        </w:rPr>
        <w:footnoteRef/>
      </w:r>
      <w:r>
        <w:t xml:space="preserve"> </w:t>
      </w:r>
      <w:r w:rsidR="0061348B">
        <w:rPr>
          <w:rFonts w:eastAsia="함초롬바탕"/>
        </w:rPr>
        <w:t>Ibid., principle 7 (a). See also African Commission on Human and People</w:t>
      </w:r>
      <w:r w:rsidR="0061348B">
        <w:rPr>
          <w:rFonts w:eastAsia="함초롬바탕"/>
        </w:rPr>
        <w:t>’</w:t>
      </w:r>
      <w:r w:rsidR="0061348B">
        <w:rPr>
          <w:rFonts w:eastAsia="함초롬바탕"/>
        </w:rPr>
        <w:t xml:space="preserve">s Rights, </w:t>
      </w:r>
      <w:r w:rsidR="0061348B">
        <w:rPr>
          <w:rFonts w:eastAsia="함초롬바탕"/>
          <w:i/>
          <w:iCs/>
        </w:rPr>
        <w:t>Amnesty International et al. v. Sudan</w:t>
      </w:r>
      <w:r w:rsidR="0061348B">
        <w:rPr>
          <w:rFonts w:eastAsia="함초롬바탕"/>
        </w:rPr>
        <w:t>, para. 51.</w:t>
      </w:r>
    </w:p>
  </w:footnote>
  <w:footnote w:id="44">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7 (b).</w:t>
      </w:r>
    </w:p>
  </w:footnote>
  <w:footnote w:id="45">
    <w:p w:rsidR="00227BAB" w:rsidRDefault="00227BAB" w:rsidP="0061348B">
      <w:pPr>
        <w:pStyle w:val="a4"/>
        <w:rPr>
          <w:rFonts w:hint="eastAsia"/>
        </w:rPr>
      </w:pPr>
      <w:r>
        <w:rPr>
          <w:rStyle w:val="a6"/>
        </w:rPr>
        <w:footnoteRef/>
      </w:r>
      <w:r>
        <w:t xml:space="preserve"> </w:t>
      </w:r>
      <w:r w:rsidR="0061348B">
        <w:rPr>
          <w:rFonts w:eastAsia="함초롬바탕"/>
        </w:rPr>
        <w:t xml:space="preserve">Ibid., principle 12. </w:t>
      </w:r>
    </w:p>
  </w:footnote>
  <w:footnote w:id="46">
    <w:p w:rsidR="00227BAB" w:rsidRDefault="00227BAB" w:rsidP="0061348B">
      <w:pPr>
        <w:pStyle w:val="a4"/>
        <w:rPr>
          <w:rFonts w:hint="eastAsia"/>
        </w:rPr>
      </w:pPr>
      <w:r>
        <w:rPr>
          <w:rStyle w:val="a6"/>
        </w:rPr>
        <w:footnoteRef/>
      </w:r>
      <w:r>
        <w:t xml:space="preserve"> </w:t>
      </w:r>
      <w:r w:rsidR="0061348B">
        <w:rPr>
          <w:rFonts w:eastAsia="함초롬바탕"/>
        </w:rPr>
        <w:t>A/HRC/45/45, para. 67.</w:t>
      </w:r>
    </w:p>
  </w:footnote>
  <w:footnote w:id="47">
    <w:p w:rsidR="00227BAB" w:rsidRPr="0061348B" w:rsidRDefault="00227BAB" w:rsidP="0061348B">
      <w:pPr>
        <w:pStyle w:val="a4"/>
        <w:rPr>
          <w:rFonts w:hint="eastAsia"/>
        </w:rPr>
      </w:pPr>
      <w:r>
        <w:rPr>
          <w:rStyle w:val="a6"/>
        </w:rPr>
        <w:footnoteRef/>
      </w:r>
      <w:r>
        <w:t xml:space="preserve"> </w:t>
      </w:r>
      <w:r w:rsidR="0061348B">
        <w:rPr>
          <w:rFonts w:eastAsia="함초롬바탕"/>
        </w:rPr>
        <w:t xml:space="preserve">European Court of Human Rights, </w:t>
      </w:r>
      <w:r w:rsidR="0061348B">
        <w:rPr>
          <w:rFonts w:eastAsia="함초롬바탕"/>
          <w:i/>
          <w:iCs/>
        </w:rPr>
        <w:t xml:space="preserve">Albert and Le </w:t>
      </w:r>
      <w:proofErr w:type="spellStart"/>
      <w:r w:rsidR="0061348B">
        <w:rPr>
          <w:rFonts w:eastAsia="함초롬바탕"/>
          <w:i/>
          <w:iCs/>
        </w:rPr>
        <w:t>Compte</w:t>
      </w:r>
      <w:proofErr w:type="spellEnd"/>
      <w:r w:rsidR="0061348B">
        <w:rPr>
          <w:rFonts w:eastAsia="함초롬바탕"/>
          <w:i/>
          <w:iCs/>
        </w:rPr>
        <w:t xml:space="preserve"> v. Belgium</w:t>
      </w:r>
      <w:r w:rsidR="0061348B">
        <w:rPr>
          <w:rFonts w:eastAsia="함초롬바탕"/>
        </w:rPr>
        <w:t xml:space="preserve">, Applications No. 7299/75 and No. 7496/76, Judgment, 10 February 1983; Inter-American Court of Human Rights, </w:t>
      </w:r>
      <w:proofErr w:type="spellStart"/>
      <w:r w:rsidR="0061348B">
        <w:rPr>
          <w:rFonts w:eastAsia="함초롬바탕"/>
          <w:i/>
          <w:iCs/>
        </w:rPr>
        <w:t>Baena</w:t>
      </w:r>
      <w:proofErr w:type="spellEnd"/>
      <w:r w:rsidR="0061348B">
        <w:rPr>
          <w:rFonts w:eastAsia="함초롬바탕"/>
          <w:i/>
          <w:iCs/>
        </w:rPr>
        <w:t xml:space="preserve"> Ricardo et al. v. Panama</w:t>
      </w:r>
      <w:r w:rsidR="0061348B">
        <w:rPr>
          <w:rFonts w:eastAsia="함초롬바탕"/>
        </w:rPr>
        <w:t>, Judgment, 2 February 2001, pp. 90</w:t>
      </w:r>
      <w:r w:rsidR="0061348B">
        <w:rPr>
          <w:rFonts w:eastAsia="함초롬바탕" w:hAnsi="함초롬바탕" w:cs="함초롬바탕" w:hint="eastAsia"/>
        </w:rPr>
        <w:t>–</w:t>
      </w:r>
      <w:r w:rsidR="0061348B">
        <w:rPr>
          <w:rFonts w:eastAsia="함초롬바탕"/>
        </w:rPr>
        <w:t>93; and Inter-American Court of Human Rights, Advisory Opinion OC-9/87, 6 October 1987, pp. 7 and 10.</w:t>
      </w:r>
    </w:p>
  </w:footnote>
  <w:footnote w:id="48">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9 (a) and (b).</w:t>
      </w:r>
    </w:p>
  </w:footnote>
  <w:footnote w:id="49">
    <w:p w:rsidR="00227BAB" w:rsidRDefault="00227BAB" w:rsidP="0061348B">
      <w:pPr>
        <w:pStyle w:val="a4"/>
        <w:rPr>
          <w:rFonts w:hint="eastAsia"/>
        </w:rPr>
      </w:pPr>
      <w:r>
        <w:rPr>
          <w:rStyle w:val="a6"/>
        </w:rPr>
        <w:footnoteRef/>
      </w:r>
      <w:r>
        <w:t xml:space="preserve"> </w:t>
      </w:r>
      <w:r w:rsidR="0061348B">
        <w:rPr>
          <w:rFonts w:eastAsia="함초롬바탕"/>
        </w:rPr>
        <w:t xml:space="preserve">Ibid., principles 8 (b) and 10; and Inter-American Court of Human Rights, </w:t>
      </w:r>
      <w:r w:rsidR="0061348B">
        <w:rPr>
          <w:rFonts w:eastAsia="함초롬바탕"/>
          <w:i/>
          <w:iCs/>
        </w:rPr>
        <w:t>L</w:t>
      </w:r>
      <w:r w:rsidR="0061348B">
        <w:rPr>
          <w:rFonts w:eastAsia="함초롬바탕"/>
          <w:i/>
          <w:iCs/>
        </w:rPr>
        <w:t>ó</w:t>
      </w:r>
      <w:r w:rsidR="0061348B">
        <w:rPr>
          <w:rFonts w:eastAsia="함초롬바탕"/>
          <w:i/>
          <w:iCs/>
        </w:rPr>
        <w:t>pez Soto et al. v. Venezuela</w:t>
      </w:r>
      <w:r w:rsidR="0061348B">
        <w:rPr>
          <w:rFonts w:eastAsia="함초롬바탕"/>
        </w:rPr>
        <w:t>, Judgment, 26 September 2018, para. 222.</w:t>
      </w:r>
    </w:p>
  </w:footnote>
  <w:footnote w:id="50">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3.</w:t>
      </w:r>
    </w:p>
  </w:footnote>
  <w:footnote w:id="51">
    <w:p w:rsidR="00227BAB" w:rsidRDefault="00227BAB" w:rsidP="0061348B">
      <w:pPr>
        <w:pStyle w:val="a4"/>
        <w:rPr>
          <w:rFonts w:hint="eastAsia"/>
        </w:rPr>
      </w:pPr>
      <w:r>
        <w:rPr>
          <w:rStyle w:val="a6"/>
        </w:rPr>
        <w:footnoteRef/>
      </w:r>
      <w:r>
        <w:t xml:space="preserve"> </w:t>
      </w:r>
      <w:r w:rsidR="0061348B">
        <w:rPr>
          <w:rFonts w:eastAsia="함초롬바탕"/>
        </w:rPr>
        <w:t>A/HRC/45/45, para. 70.</w:t>
      </w:r>
    </w:p>
  </w:footnote>
  <w:footnote w:id="52">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8 (b).</w:t>
      </w:r>
    </w:p>
  </w:footnote>
  <w:footnote w:id="53">
    <w:p w:rsidR="00227BAB" w:rsidRDefault="00227BAB" w:rsidP="0061348B">
      <w:pPr>
        <w:pStyle w:val="a4"/>
        <w:rPr>
          <w:rFonts w:hint="eastAsia"/>
        </w:rPr>
      </w:pPr>
      <w:r>
        <w:rPr>
          <w:rStyle w:val="a6"/>
        </w:rPr>
        <w:footnoteRef/>
      </w:r>
      <w:r>
        <w:t xml:space="preserve"> </w:t>
      </w:r>
      <w:r w:rsidR="0061348B">
        <w:rPr>
          <w:rFonts w:eastAsia="함초롬바탕"/>
        </w:rPr>
        <w:t xml:space="preserve">Inter-American Court of Human Rights, </w:t>
      </w:r>
      <w:proofErr w:type="spellStart"/>
      <w:r w:rsidR="0061348B">
        <w:rPr>
          <w:rFonts w:eastAsia="함초롬바탕"/>
          <w:i/>
          <w:iCs/>
        </w:rPr>
        <w:t>Deras</w:t>
      </w:r>
      <w:proofErr w:type="spellEnd"/>
      <w:r w:rsidR="0061348B">
        <w:rPr>
          <w:rFonts w:eastAsia="함초롬바탕"/>
          <w:i/>
          <w:iCs/>
        </w:rPr>
        <w:t xml:space="preserve"> Garc</w:t>
      </w:r>
      <w:r w:rsidR="0061348B">
        <w:rPr>
          <w:rFonts w:eastAsia="함초롬바탕"/>
          <w:i/>
          <w:iCs/>
        </w:rPr>
        <w:t>í</w:t>
      </w:r>
      <w:r w:rsidR="0061348B">
        <w:rPr>
          <w:rFonts w:eastAsia="함초롬바탕"/>
          <w:i/>
          <w:iCs/>
        </w:rPr>
        <w:t>a et al. v. Honduras</w:t>
      </w:r>
      <w:r w:rsidR="0061348B">
        <w:rPr>
          <w:rFonts w:eastAsia="함초롬바탕"/>
        </w:rPr>
        <w:t>, Judgment, 25 August 2022, para. 115 (in Spanish).</w:t>
      </w:r>
    </w:p>
  </w:footnote>
  <w:footnote w:id="54">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14.</w:t>
      </w:r>
    </w:p>
  </w:footnote>
  <w:footnote w:id="55">
    <w:p w:rsidR="00227BAB" w:rsidRDefault="00227BAB" w:rsidP="0061348B">
      <w:pPr>
        <w:pStyle w:val="a4"/>
        <w:rPr>
          <w:rFonts w:hint="eastAsia"/>
        </w:rPr>
      </w:pPr>
      <w:r>
        <w:rPr>
          <w:rStyle w:val="a6"/>
        </w:rPr>
        <w:footnoteRef/>
      </w:r>
      <w:r>
        <w:t xml:space="preserve"> </w:t>
      </w:r>
      <w:r w:rsidR="0061348B">
        <w:rPr>
          <w:rFonts w:eastAsia="함초롬바탕"/>
        </w:rPr>
        <w:t xml:space="preserve">Inter-American Court of Human Rights, </w:t>
      </w:r>
      <w:r w:rsidR="0061348B">
        <w:rPr>
          <w:rFonts w:eastAsia="함초롬바탕"/>
          <w:i/>
          <w:iCs/>
        </w:rPr>
        <w:t>Gelman v. Uruguay</w:t>
      </w:r>
      <w:r w:rsidR="0061348B">
        <w:rPr>
          <w:rFonts w:eastAsia="함초롬바탕"/>
        </w:rPr>
        <w:t>, para. 192.</w:t>
      </w:r>
    </w:p>
  </w:footnote>
  <w:footnote w:id="56">
    <w:p w:rsidR="00227BAB" w:rsidRDefault="00227BAB" w:rsidP="0061348B">
      <w:pPr>
        <w:pStyle w:val="a4"/>
        <w:rPr>
          <w:rFonts w:hint="eastAsia"/>
        </w:rPr>
      </w:pPr>
      <w:r>
        <w:rPr>
          <w:rStyle w:val="a6"/>
        </w:rPr>
        <w:footnoteRef/>
      </w:r>
      <w:r>
        <w:t xml:space="preserve"> </w:t>
      </w:r>
      <w:r w:rsidR="0061348B">
        <w:rPr>
          <w:rFonts w:eastAsia="함초롬바탕"/>
        </w:rPr>
        <w:t xml:space="preserve">Ibid. </w:t>
      </w:r>
    </w:p>
  </w:footnote>
  <w:footnote w:id="57">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15.</w:t>
      </w:r>
    </w:p>
  </w:footnote>
  <w:footnote w:id="58">
    <w:p w:rsidR="00227BAB" w:rsidRDefault="00227BAB" w:rsidP="0061348B">
      <w:pPr>
        <w:pStyle w:val="a4"/>
        <w:rPr>
          <w:rFonts w:hint="eastAsia"/>
        </w:rPr>
      </w:pPr>
      <w:r>
        <w:rPr>
          <w:rStyle w:val="a6"/>
        </w:rPr>
        <w:footnoteRef/>
      </w:r>
      <w:r>
        <w:t xml:space="preserve"> </w:t>
      </w:r>
      <w:r w:rsidR="0061348B">
        <w:rPr>
          <w:rFonts w:eastAsia="함초롬바탕"/>
        </w:rPr>
        <w:t xml:space="preserve">Inter-American Court of Human Rights, </w:t>
      </w:r>
      <w:proofErr w:type="spellStart"/>
      <w:r w:rsidR="0061348B">
        <w:rPr>
          <w:rFonts w:eastAsia="함초롬바탕"/>
          <w:i/>
          <w:iCs/>
        </w:rPr>
        <w:t>Deras</w:t>
      </w:r>
      <w:proofErr w:type="spellEnd"/>
      <w:r w:rsidR="0061348B">
        <w:rPr>
          <w:rFonts w:eastAsia="함초롬바탕"/>
          <w:i/>
          <w:iCs/>
        </w:rPr>
        <w:t xml:space="preserve"> Garc</w:t>
      </w:r>
      <w:r w:rsidR="0061348B">
        <w:rPr>
          <w:rFonts w:eastAsia="함초롬바탕"/>
          <w:i/>
          <w:iCs/>
        </w:rPr>
        <w:t>í</w:t>
      </w:r>
      <w:r w:rsidR="0061348B">
        <w:rPr>
          <w:rFonts w:eastAsia="함초롬바탕"/>
          <w:i/>
          <w:iCs/>
        </w:rPr>
        <w:t>a et al. v. Honduras</w:t>
      </w:r>
      <w:r w:rsidR="0061348B">
        <w:rPr>
          <w:rFonts w:eastAsia="함초롬바탕"/>
        </w:rPr>
        <w:t>, para. 115.</w:t>
      </w:r>
    </w:p>
  </w:footnote>
  <w:footnote w:id="59">
    <w:p w:rsidR="00227BAB" w:rsidRDefault="00227BAB" w:rsidP="0061348B">
      <w:pPr>
        <w:pStyle w:val="a4"/>
        <w:rPr>
          <w:rFonts w:hint="eastAsia"/>
        </w:rPr>
      </w:pPr>
      <w:r>
        <w:rPr>
          <w:rStyle w:val="a6"/>
        </w:rPr>
        <w:footnoteRef/>
      </w:r>
      <w:r>
        <w:t xml:space="preserve"> </w:t>
      </w:r>
      <w:r w:rsidR="0061348B">
        <w:rPr>
          <w:rFonts w:eastAsia="함초롬바탕"/>
        </w:rPr>
        <w:t xml:space="preserve">For example, the report prepared by the United Nations and the Economic Community of West African States on the deaths of 50 Ghanaian citizens and migrants in the Gambia under the dictatorship of Yahya </w:t>
      </w:r>
      <w:proofErr w:type="spellStart"/>
      <w:r w:rsidR="0061348B">
        <w:rPr>
          <w:rFonts w:eastAsia="함초롬바탕"/>
        </w:rPr>
        <w:t>Jammeh</w:t>
      </w:r>
      <w:proofErr w:type="spellEnd"/>
      <w:r w:rsidR="0061348B">
        <w:rPr>
          <w:rFonts w:eastAsia="함초롬바탕"/>
        </w:rPr>
        <w:t xml:space="preserve"> has never been published (A/HRC/45/45, para. 75).</w:t>
      </w:r>
    </w:p>
  </w:footnote>
  <w:footnote w:id="60">
    <w:p w:rsidR="00227BAB" w:rsidRDefault="00227BAB" w:rsidP="0061348B">
      <w:pPr>
        <w:pStyle w:val="a4"/>
        <w:rPr>
          <w:rFonts w:hint="eastAsia"/>
        </w:rPr>
      </w:pPr>
      <w:r>
        <w:rPr>
          <w:rStyle w:val="a6"/>
        </w:rPr>
        <w:footnoteRef/>
      </w:r>
      <w:r>
        <w:t xml:space="preserve"> </w:t>
      </w:r>
      <w:r w:rsidR="0061348B">
        <w:rPr>
          <w:rFonts w:eastAsia="함초롬바탕"/>
        </w:rPr>
        <w:t xml:space="preserve">See also Uruguay, Act No. 19.822, including with respect to collaboration agreements between the executive branch and the Universidad de la </w:t>
      </w:r>
      <w:proofErr w:type="spellStart"/>
      <w:r w:rsidR="0061348B">
        <w:rPr>
          <w:rFonts w:eastAsia="함초롬바탕"/>
        </w:rPr>
        <w:t>Rep</w:t>
      </w:r>
      <w:r w:rsidR="0061348B">
        <w:rPr>
          <w:rFonts w:eastAsia="함초롬바탕"/>
        </w:rPr>
        <w:t>ú</w:t>
      </w:r>
      <w:r w:rsidR="0061348B">
        <w:rPr>
          <w:rFonts w:eastAsia="함초롬바탕"/>
        </w:rPr>
        <w:t>blica</w:t>
      </w:r>
      <w:proofErr w:type="spellEnd"/>
      <w:r w:rsidR="0061348B">
        <w:rPr>
          <w:rFonts w:eastAsia="함초롬바탕"/>
        </w:rPr>
        <w:t>.</w:t>
      </w:r>
    </w:p>
  </w:footnote>
  <w:footnote w:id="61">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13.</w:t>
      </w:r>
    </w:p>
  </w:footnote>
  <w:footnote w:id="62">
    <w:p w:rsidR="00227BAB" w:rsidRDefault="00227BAB" w:rsidP="0061348B">
      <w:pPr>
        <w:pStyle w:val="a4"/>
        <w:rPr>
          <w:rFonts w:hint="eastAsia"/>
        </w:rPr>
      </w:pPr>
      <w:r>
        <w:rPr>
          <w:rStyle w:val="a6"/>
        </w:rPr>
        <w:footnoteRef/>
      </w:r>
      <w:r>
        <w:t xml:space="preserve"> </w:t>
      </w:r>
      <w:r w:rsidR="0061348B">
        <w:rPr>
          <w:rFonts w:eastAsia="함초롬바탕"/>
        </w:rPr>
        <w:t>Basic Principles and Guidelines, para. 22 (b).</w:t>
      </w:r>
    </w:p>
  </w:footnote>
  <w:footnote w:id="63">
    <w:p w:rsidR="00227BAB" w:rsidRDefault="00227BAB" w:rsidP="0061348B">
      <w:pPr>
        <w:pStyle w:val="a4"/>
        <w:rPr>
          <w:rFonts w:hint="eastAsia"/>
        </w:rPr>
      </w:pPr>
      <w:r>
        <w:rPr>
          <w:rStyle w:val="a6"/>
        </w:rPr>
        <w:footnoteRef/>
      </w:r>
      <w:r>
        <w:t xml:space="preserve"> </w:t>
      </w:r>
      <w:r w:rsidR="0061348B">
        <w:rPr>
          <w:rFonts w:eastAsia="함초롬바탕"/>
        </w:rPr>
        <w:t>A/HRC/48/60, para. 86.</w:t>
      </w:r>
    </w:p>
  </w:footnote>
  <w:footnote w:id="64">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preamble.</w:t>
      </w:r>
    </w:p>
  </w:footnote>
  <w:footnote w:id="65">
    <w:p w:rsidR="00227BAB" w:rsidRDefault="00227BAB" w:rsidP="0061348B">
      <w:pPr>
        <w:pStyle w:val="a4"/>
        <w:rPr>
          <w:rFonts w:hint="eastAsia"/>
        </w:rPr>
      </w:pPr>
      <w:r>
        <w:rPr>
          <w:rStyle w:val="a6"/>
        </w:rPr>
        <w:footnoteRef/>
      </w:r>
      <w:r>
        <w:t xml:space="preserve"> </w:t>
      </w:r>
      <w:r w:rsidR="0061348B">
        <w:rPr>
          <w:rFonts w:eastAsia="함초롬바탕"/>
        </w:rPr>
        <w:t>Geneva Convention for the Amelioration of the Condition of the Wounded and Sick in Armed Forces in the Field (First Geneva Convention), art. 49; Geneva Convention for the Amelioration of the Condition of Wounded, Sick and Shipwrecked Members of Armed Forces at Sea (Second Geneva Convention), art. 50; Geneva Convention relative to the Treatment of Prisoners of War (Third Geneva Convention), art. 129; Fourth Geneva Convention, art. 146; Convention on the Prevention and Punishment of the Crime of Genocide, arts. I, IV and V; International Convention for the Protection of All Persons from Enforced Disappearance, art. 6; and Convention against Torture, art. 4.</w:t>
      </w:r>
    </w:p>
  </w:footnote>
  <w:footnote w:id="66">
    <w:p w:rsidR="00227BAB" w:rsidRDefault="00227BAB" w:rsidP="0061348B">
      <w:pPr>
        <w:pStyle w:val="a4"/>
        <w:rPr>
          <w:rFonts w:hint="eastAsia"/>
        </w:rPr>
      </w:pPr>
      <w:r>
        <w:rPr>
          <w:rStyle w:val="a6"/>
        </w:rPr>
        <w:footnoteRef/>
      </w:r>
      <w:r>
        <w:t xml:space="preserve"> </w:t>
      </w:r>
      <w:r w:rsidR="0061348B">
        <w:rPr>
          <w:rFonts w:eastAsia="함초롬바탕"/>
        </w:rPr>
        <w:t xml:space="preserve">See, e.g., Inter-American Court of Human Rights, </w:t>
      </w:r>
      <w:proofErr w:type="spellStart"/>
      <w:r w:rsidR="0061348B">
        <w:rPr>
          <w:rFonts w:eastAsia="함초롬바탕"/>
          <w:i/>
          <w:iCs/>
        </w:rPr>
        <w:t>Radilla</w:t>
      </w:r>
      <w:proofErr w:type="spellEnd"/>
      <w:r w:rsidR="0061348B">
        <w:rPr>
          <w:rFonts w:eastAsia="함초롬바탕"/>
          <w:i/>
          <w:iCs/>
        </w:rPr>
        <w:t xml:space="preserve"> Pacheco v. Mexico</w:t>
      </w:r>
      <w:r w:rsidR="0061348B">
        <w:rPr>
          <w:rFonts w:eastAsia="함초롬바탕"/>
        </w:rPr>
        <w:t>, Judgment, 23 November 2009, para. 201.</w:t>
      </w:r>
    </w:p>
  </w:footnote>
  <w:footnote w:id="67">
    <w:p w:rsidR="00227BAB" w:rsidRDefault="00227BAB" w:rsidP="0061348B">
      <w:pPr>
        <w:pStyle w:val="a4"/>
        <w:rPr>
          <w:rFonts w:hint="eastAsia"/>
        </w:rPr>
      </w:pPr>
      <w:r>
        <w:rPr>
          <w:rStyle w:val="a6"/>
        </w:rPr>
        <w:footnoteRef/>
      </w:r>
      <w:r>
        <w:t xml:space="preserve"> </w:t>
      </w:r>
      <w:r w:rsidR="0061348B">
        <w:rPr>
          <w:rFonts w:eastAsia="함초롬바탕"/>
        </w:rPr>
        <w:t xml:space="preserve">Human Rights Committee, general comment No. 31 (2004), paras. 16 and 18. </w:t>
      </w:r>
    </w:p>
  </w:footnote>
  <w:footnote w:id="68">
    <w:p w:rsidR="00227BAB" w:rsidRDefault="00227BAB" w:rsidP="0061348B">
      <w:pPr>
        <w:pStyle w:val="a4"/>
        <w:rPr>
          <w:rFonts w:hint="eastAsia"/>
        </w:rPr>
      </w:pPr>
      <w:r>
        <w:rPr>
          <w:rStyle w:val="a6"/>
        </w:rPr>
        <w:footnoteRef/>
      </w:r>
      <w:r>
        <w:t xml:space="preserve"> </w:t>
      </w:r>
      <w:r w:rsidR="0061348B">
        <w:rPr>
          <w:rFonts w:eastAsia="함초롬바탕"/>
        </w:rPr>
        <w:t xml:space="preserve">Vienna Convention on the Law of Treaties, art. 27. See also Inter-American Court of Human Rights, </w:t>
      </w:r>
      <w:r w:rsidR="0061348B">
        <w:rPr>
          <w:rFonts w:eastAsia="함초롬바탕"/>
          <w:i/>
          <w:iCs/>
        </w:rPr>
        <w:t>“</w:t>
      </w:r>
      <w:proofErr w:type="spellStart"/>
      <w:r w:rsidR="0061348B">
        <w:rPr>
          <w:rFonts w:eastAsia="함초롬바탕"/>
          <w:i/>
          <w:iCs/>
        </w:rPr>
        <w:t>Mapirip</w:t>
      </w:r>
      <w:r w:rsidR="0061348B">
        <w:rPr>
          <w:rFonts w:eastAsia="함초롬바탕"/>
          <w:i/>
          <w:iCs/>
        </w:rPr>
        <w:t>á</w:t>
      </w:r>
      <w:r w:rsidR="0061348B">
        <w:rPr>
          <w:rFonts w:eastAsia="함초롬바탕"/>
          <w:i/>
          <w:iCs/>
        </w:rPr>
        <w:t>n</w:t>
      </w:r>
      <w:proofErr w:type="spellEnd"/>
      <w:r w:rsidR="0061348B">
        <w:rPr>
          <w:rFonts w:eastAsia="함초롬바탕"/>
          <w:i/>
          <w:iCs/>
        </w:rPr>
        <w:t xml:space="preserve"> Massacre</w:t>
      </w:r>
      <w:r w:rsidR="0061348B">
        <w:rPr>
          <w:rFonts w:eastAsia="함초롬바탕"/>
          <w:i/>
          <w:iCs/>
        </w:rPr>
        <w:t>”</w:t>
      </w:r>
      <w:r w:rsidR="0061348B">
        <w:rPr>
          <w:rFonts w:eastAsia="함초롬바탕"/>
          <w:i/>
          <w:iCs/>
        </w:rPr>
        <w:t xml:space="preserve"> v. Colombia</w:t>
      </w:r>
      <w:r w:rsidR="0061348B">
        <w:rPr>
          <w:rFonts w:eastAsia="함초롬바탕"/>
        </w:rPr>
        <w:t>, para. 304.</w:t>
      </w:r>
    </w:p>
  </w:footnote>
  <w:footnote w:id="69">
    <w:p w:rsidR="00227BAB" w:rsidRDefault="00227BAB" w:rsidP="0061348B">
      <w:pPr>
        <w:pStyle w:val="a4"/>
        <w:rPr>
          <w:rFonts w:hint="eastAsia"/>
        </w:rPr>
      </w:pPr>
      <w:r>
        <w:rPr>
          <w:rStyle w:val="a6"/>
        </w:rPr>
        <w:footnoteRef/>
      </w:r>
      <w:r>
        <w:t xml:space="preserve"> </w:t>
      </w:r>
      <w:r w:rsidR="0061348B">
        <w:rPr>
          <w:rFonts w:eastAsia="함초롬바탕"/>
        </w:rPr>
        <w:t xml:space="preserve">European Court of Human Rights, </w:t>
      </w:r>
      <w:r w:rsidR="0061348B">
        <w:rPr>
          <w:rFonts w:eastAsia="함초롬바탕"/>
          <w:i/>
          <w:iCs/>
        </w:rPr>
        <w:t>Armani Da Silva v. the United Kingdom</w:t>
      </w:r>
      <w:r w:rsidR="0061348B">
        <w:rPr>
          <w:rFonts w:eastAsia="함초롬바탕"/>
        </w:rPr>
        <w:t xml:space="preserve">, Application No. 5878/08, Judgment, 30 March 2016, paras. 233 and 234; and Inter-American Court of Human Rights, </w:t>
      </w:r>
      <w:r w:rsidR="0061348B">
        <w:rPr>
          <w:rFonts w:eastAsia="함초롬바탕"/>
          <w:i/>
          <w:iCs/>
        </w:rPr>
        <w:t>“</w:t>
      </w:r>
      <w:proofErr w:type="spellStart"/>
      <w:r w:rsidR="0061348B">
        <w:rPr>
          <w:rFonts w:eastAsia="함초롬바탕"/>
          <w:i/>
          <w:iCs/>
        </w:rPr>
        <w:t>Mapirip</w:t>
      </w:r>
      <w:r w:rsidR="0061348B">
        <w:rPr>
          <w:rFonts w:eastAsia="함초롬바탕"/>
          <w:i/>
          <w:iCs/>
        </w:rPr>
        <w:t>á</w:t>
      </w:r>
      <w:r w:rsidR="0061348B">
        <w:rPr>
          <w:rFonts w:eastAsia="함초롬바탕"/>
          <w:i/>
          <w:iCs/>
        </w:rPr>
        <w:t>n</w:t>
      </w:r>
      <w:proofErr w:type="spellEnd"/>
      <w:r w:rsidR="0061348B">
        <w:rPr>
          <w:rFonts w:eastAsia="함초롬바탕"/>
          <w:i/>
          <w:iCs/>
        </w:rPr>
        <w:t xml:space="preserve"> Massacre</w:t>
      </w:r>
      <w:r w:rsidR="0061348B">
        <w:rPr>
          <w:rFonts w:eastAsia="함초롬바탕"/>
          <w:i/>
          <w:iCs/>
        </w:rPr>
        <w:t>”</w:t>
      </w:r>
      <w:r w:rsidR="0061348B">
        <w:rPr>
          <w:rFonts w:eastAsia="함초롬바탕"/>
          <w:i/>
          <w:iCs/>
        </w:rPr>
        <w:t xml:space="preserve"> v. Colombia</w:t>
      </w:r>
      <w:r w:rsidR="0061348B">
        <w:rPr>
          <w:rFonts w:eastAsia="함초롬바탕"/>
        </w:rPr>
        <w:t>, para. 238. See also Human Rights Committee, general comment No. 31 (2004), para. 18.</w:t>
      </w:r>
    </w:p>
  </w:footnote>
  <w:footnote w:id="70">
    <w:p w:rsidR="00227BAB" w:rsidRDefault="00227BAB" w:rsidP="0061348B">
      <w:pPr>
        <w:pStyle w:val="a4"/>
        <w:rPr>
          <w:rFonts w:hint="eastAsia"/>
        </w:rPr>
      </w:pPr>
      <w:r>
        <w:rPr>
          <w:rStyle w:val="a6"/>
        </w:rPr>
        <w:footnoteRef/>
      </w:r>
      <w:r>
        <w:t xml:space="preserve"> </w:t>
      </w:r>
      <w:r w:rsidR="0061348B">
        <w:rPr>
          <w:rFonts w:eastAsia="함초롬바탕"/>
        </w:rPr>
        <w:t>Basic Principles and Guidelines, para. 22 (f); United Nations Global Plan of Action to Combat Trafficking in Persons; and Human Rights Council resolution 51/23. See also Commission on Human Rights resolution 2005/81.</w:t>
      </w:r>
    </w:p>
  </w:footnote>
  <w:footnote w:id="71">
    <w:p w:rsidR="00227BAB" w:rsidRDefault="00227BAB" w:rsidP="0061348B">
      <w:pPr>
        <w:pStyle w:val="a4"/>
        <w:rPr>
          <w:rFonts w:hint="eastAsia"/>
        </w:rPr>
      </w:pPr>
      <w:r>
        <w:rPr>
          <w:rStyle w:val="a6"/>
        </w:rPr>
        <w:footnoteRef/>
      </w:r>
      <w:r>
        <w:t xml:space="preserve"> </w:t>
      </w:r>
      <w:r w:rsidR="0061348B">
        <w:rPr>
          <w:rFonts w:eastAsia="함초롬바탕"/>
        </w:rPr>
        <w:t>Guidelines of the Committee of Ministers of the Council of Europe on eradicating impunity for serious human rights violations; and Organization of American States resolution 2406 of 3 June 2008.</w:t>
      </w:r>
    </w:p>
  </w:footnote>
  <w:footnote w:id="72">
    <w:p w:rsidR="00227BAB" w:rsidRPr="0061348B" w:rsidRDefault="00227BAB" w:rsidP="0061348B">
      <w:pPr>
        <w:pStyle w:val="a4"/>
        <w:rPr>
          <w:rFonts w:hint="eastAsia"/>
        </w:rPr>
      </w:pPr>
      <w:r>
        <w:rPr>
          <w:rStyle w:val="a6"/>
        </w:rPr>
        <w:footnoteRef/>
      </w:r>
      <w:r>
        <w:t xml:space="preserve"> </w:t>
      </w:r>
      <w:r w:rsidR="0061348B">
        <w:rPr>
          <w:rFonts w:eastAsia="함초롬바탕"/>
        </w:rPr>
        <w:t>Universal Declaration of Human Rights, arts. 10 and 11; International Covenant on Civil and Political Rights, arts. 9, 14 and 15; American Convention on Human Rights, art. 8; European Convention on Human Rights, art. 6; and African Charter on Human and Peoples</w:t>
      </w:r>
      <w:r w:rsidR="0061348B">
        <w:rPr>
          <w:rFonts w:eastAsia="함초롬바탕"/>
        </w:rPr>
        <w:t>’</w:t>
      </w:r>
      <w:r w:rsidR="0061348B">
        <w:rPr>
          <w:rFonts w:eastAsia="함초롬바탕"/>
        </w:rPr>
        <w:t xml:space="preserve"> Rights, art. 7.</w:t>
      </w:r>
    </w:p>
  </w:footnote>
  <w:footnote w:id="73">
    <w:p w:rsidR="00227BAB" w:rsidRDefault="00227BAB" w:rsidP="0061348B">
      <w:pPr>
        <w:pStyle w:val="a4"/>
        <w:rPr>
          <w:rFonts w:hint="eastAsia"/>
        </w:rPr>
      </w:pPr>
      <w:r>
        <w:rPr>
          <w:rStyle w:val="a6"/>
        </w:rPr>
        <w:footnoteRef/>
      </w:r>
      <w:r>
        <w:t xml:space="preserve"> </w:t>
      </w:r>
      <w:r w:rsidR="0061348B">
        <w:rPr>
          <w:rFonts w:eastAsia="함초롬바탕"/>
        </w:rPr>
        <w:t>A/HRC/48/60, para. 97 (q).</w:t>
      </w:r>
    </w:p>
  </w:footnote>
  <w:footnote w:id="74">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19.</w:t>
      </w:r>
    </w:p>
  </w:footnote>
  <w:footnote w:id="75">
    <w:p w:rsidR="00227BAB" w:rsidRDefault="00227BAB" w:rsidP="0061348B">
      <w:pPr>
        <w:pStyle w:val="a4"/>
        <w:rPr>
          <w:rFonts w:hint="eastAsia"/>
        </w:rPr>
      </w:pPr>
      <w:r>
        <w:rPr>
          <w:rStyle w:val="a6"/>
        </w:rPr>
        <w:footnoteRef/>
      </w:r>
      <w:r>
        <w:t xml:space="preserve"> </w:t>
      </w:r>
      <w:r w:rsidR="0061348B">
        <w:rPr>
          <w:rFonts w:eastAsia="함초롬바탕"/>
        </w:rPr>
        <w:t xml:space="preserve">See, e.g., Inter-American Court of Human Rights, </w:t>
      </w:r>
      <w:proofErr w:type="spellStart"/>
      <w:r w:rsidR="0061348B">
        <w:rPr>
          <w:rFonts w:eastAsia="함초롬바탕"/>
          <w:i/>
          <w:iCs/>
        </w:rPr>
        <w:t>Maidanik</w:t>
      </w:r>
      <w:proofErr w:type="spellEnd"/>
      <w:r w:rsidR="0061348B">
        <w:rPr>
          <w:rFonts w:eastAsia="함초롬바탕"/>
          <w:i/>
          <w:iCs/>
        </w:rPr>
        <w:t xml:space="preserve"> et al. v. Uruguay</w:t>
      </w:r>
      <w:r w:rsidR="0061348B">
        <w:rPr>
          <w:rFonts w:eastAsia="함초롬바탕"/>
        </w:rPr>
        <w:t>, Judgment, 15 November 2021, para. 254.</w:t>
      </w:r>
    </w:p>
  </w:footnote>
  <w:footnote w:id="76">
    <w:p w:rsidR="00227BAB" w:rsidRDefault="00227BAB" w:rsidP="0061348B">
      <w:pPr>
        <w:pStyle w:val="a4"/>
        <w:rPr>
          <w:rFonts w:hint="eastAsia"/>
        </w:rPr>
      </w:pPr>
      <w:r>
        <w:rPr>
          <w:rStyle w:val="a6"/>
        </w:rPr>
        <w:footnoteRef/>
      </w:r>
      <w:r>
        <w:t xml:space="preserve"> </w:t>
      </w:r>
      <w:r w:rsidR="0061348B">
        <w:rPr>
          <w:rFonts w:eastAsia="함초롬바탕"/>
        </w:rPr>
        <w:t>A/HRC/48/60, paras. 28</w:t>
      </w:r>
      <w:r w:rsidR="0061348B">
        <w:rPr>
          <w:rFonts w:eastAsia="함초롬바탕" w:hAnsi="함초롬바탕" w:cs="함초롬바탕" w:hint="eastAsia"/>
        </w:rPr>
        <w:t>–</w:t>
      </w:r>
      <w:r w:rsidR="0061348B">
        <w:rPr>
          <w:rFonts w:eastAsia="함초롬바탕"/>
        </w:rPr>
        <w:t>55.</w:t>
      </w:r>
    </w:p>
  </w:footnote>
  <w:footnote w:id="77">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principles 21 and 22.</w:t>
      </w:r>
    </w:p>
  </w:footnote>
  <w:footnote w:id="78">
    <w:p w:rsidR="00227BAB" w:rsidRPr="0061348B" w:rsidRDefault="00227BAB" w:rsidP="0061348B">
      <w:pPr>
        <w:pStyle w:val="a4"/>
        <w:rPr>
          <w:rFonts w:hint="eastAsia"/>
        </w:rPr>
      </w:pPr>
      <w:r>
        <w:rPr>
          <w:rStyle w:val="a6"/>
        </w:rPr>
        <w:footnoteRef/>
      </w:r>
      <w:r>
        <w:t xml:space="preserve"> </w:t>
      </w:r>
      <w:r w:rsidR="0061348B">
        <w:rPr>
          <w:rFonts w:eastAsia="함초롬바탕"/>
        </w:rPr>
        <w:t>Convention on the Non-Applicability of Statutory Limitations to War Crimes and Crimes against Humanity; Rome Statute of the International Criminal Court, art. 29; and updated set of principles, principle 23.</w:t>
      </w:r>
    </w:p>
  </w:footnote>
  <w:footnote w:id="79">
    <w:p w:rsidR="00227BAB" w:rsidRDefault="00227BAB" w:rsidP="0061348B">
      <w:pPr>
        <w:pStyle w:val="a4"/>
        <w:rPr>
          <w:rFonts w:hint="eastAsia"/>
        </w:rPr>
      </w:pPr>
      <w:r>
        <w:rPr>
          <w:rStyle w:val="a6"/>
        </w:rPr>
        <w:footnoteRef/>
      </w:r>
      <w:r>
        <w:t xml:space="preserve"> </w:t>
      </w:r>
      <w:r w:rsidR="0061348B">
        <w:rPr>
          <w:rFonts w:eastAsia="함초롬바탕"/>
        </w:rPr>
        <w:t xml:space="preserve">Inter-American Court of Human Rights, </w:t>
      </w:r>
      <w:proofErr w:type="spellStart"/>
      <w:r w:rsidR="0061348B">
        <w:rPr>
          <w:rFonts w:eastAsia="함초롬바탕"/>
          <w:i/>
          <w:iCs/>
        </w:rPr>
        <w:t>Almonacid</w:t>
      </w:r>
      <w:proofErr w:type="spellEnd"/>
      <w:r w:rsidR="0061348B">
        <w:rPr>
          <w:rFonts w:eastAsia="함초롬바탕"/>
          <w:i/>
          <w:iCs/>
        </w:rPr>
        <w:t>-Arellano et al. v. Chile</w:t>
      </w:r>
      <w:r w:rsidR="0061348B">
        <w:rPr>
          <w:rFonts w:eastAsia="함초롬바탕"/>
        </w:rPr>
        <w:t>, Judgment, 26 September 2006, para. 152.</w:t>
      </w:r>
    </w:p>
  </w:footnote>
  <w:footnote w:id="80">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26 (b); and Rome Statute, art. 20.</w:t>
      </w:r>
    </w:p>
  </w:footnote>
  <w:footnote w:id="81">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24 (a); and E/CN.4/Sub.2/1997/20/Rev.1, para. 32.</w:t>
      </w:r>
    </w:p>
  </w:footnote>
  <w:footnote w:id="82">
    <w:p w:rsidR="00227BAB" w:rsidRDefault="00227BAB" w:rsidP="0061348B">
      <w:pPr>
        <w:pStyle w:val="a4"/>
        <w:rPr>
          <w:rFonts w:hint="eastAsia"/>
        </w:rPr>
      </w:pPr>
      <w:r>
        <w:rPr>
          <w:rStyle w:val="a6"/>
        </w:rPr>
        <w:footnoteRef/>
      </w:r>
      <w:r>
        <w:t xml:space="preserve"> </w:t>
      </w:r>
      <w:proofErr w:type="spellStart"/>
      <w:r w:rsidR="0061348B">
        <w:rPr>
          <w:rFonts w:eastAsia="함초롬바탕"/>
          <w:i/>
          <w:iCs/>
        </w:rPr>
        <w:t>Yaman</w:t>
      </w:r>
      <w:proofErr w:type="spellEnd"/>
      <w:r w:rsidR="0061348B">
        <w:rPr>
          <w:rFonts w:eastAsia="함초롬바탕"/>
          <w:i/>
          <w:iCs/>
        </w:rPr>
        <w:t xml:space="preserve"> v. Turkey</w:t>
      </w:r>
      <w:r w:rsidR="0061348B">
        <w:rPr>
          <w:rFonts w:eastAsia="함초롬바탕"/>
        </w:rPr>
        <w:t xml:space="preserve">, Judgment, 2 November 2004, para. 55. </w:t>
      </w:r>
    </w:p>
  </w:footnote>
  <w:footnote w:id="83">
    <w:p w:rsidR="00227BAB" w:rsidRDefault="00227BAB" w:rsidP="0061348B">
      <w:pPr>
        <w:pStyle w:val="a4"/>
        <w:rPr>
          <w:rFonts w:hint="eastAsia"/>
        </w:rPr>
      </w:pPr>
      <w:r>
        <w:rPr>
          <w:rStyle w:val="a6"/>
        </w:rPr>
        <w:footnoteRef/>
      </w:r>
      <w:r>
        <w:t xml:space="preserve"> </w:t>
      </w:r>
      <w:r w:rsidR="0061348B">
        <w:rPr>
          <w:rFonts w:eastAsia="함초롬바탕"/>
        </w:rPr>
        <w:t>Gelman v. Uruguay.</w:t>
      </w:r>
    </w:p>
  </w:footnote>
  <w:footnote w:id="84">
    <w:p w:rsidR="00227BAB" w:rsidRDefault="00227BAB" w:rsidP="0061348B">
      <w:pPr>
        <w:pStyle w:val="a4"/>
        <w:rPr>
          <w:rFonts w:hint="eastAsia"/>
        </w:rPr>
      </w:pPr>
      <w:r>
        <w:rPr>
          <w:rStyle w:val="a6"/>
        </w:rPr>
        <w:footnoteRef/>
      </w:r>
      <w:r>
        <w:t xml:space="preserve"> </w:t>
      </w:r>
      <w:r w:rsidR="0061348B">
        <w:rPr>
          <w:rFonts w:eastAsia="함초롬바탕"/>
        </w:rPr>
        <w:t>General comment No. 31 (2004), para. 18; and CCPR/CO/71/HRV, para. 11.</w:t>
      </w:r>
    </w:p>
  </w:footnote>
  <w:footnote w:id="85">
    <w:p w:rsidR="00227BAB" w:rsidRDefault="00227BAB" w:rsidP="0061348B">
      <w:pPr>
        <w:pStyle w:val="a4"/>
        <w:rPr>
          <w:rFonts w:hint="eastAsia"/>
        </w:rPr>
      </w:pPr>
      <w:r>
        <w:rPr>
          <w:rStyle w:val="a6"/>
        </w:rPr>
        <w:footnoteRef/>
      </w:r>
      <w:r>
        <w:t xml:space="preserve"> </w:t>
      </w:r>
      <w:r w:rsidR="0061348B">
        <w:rPr>
          <w:rFonts w:eastAsia="함초롬바탕"/>
        </w:rPr>
        <w:t xml:space="preserve">Jean-Marie </w:t>
      </w:r>
      <w:proofErr w:type="spellStart"/>
      <w:r w:rsidR="0061348B">
        <w:rPr>
          <w:rFonts w:eastAsia="함초롬바탕"/>
        </w:rPr>
        <w:t>Henckaerts</w:t>
      </w:r>
      <w:proofErr w:type="spellEnd"/>
      <w:r w:rsidR="0061348B">
        <w:rPr>
          <w:rFonts w:eastAsia="함초롬바탕"/>
        </w:rPr>
        <w:t xml:space="preserve"> and Louise </w:t>
      </w:r>
      <w:proofErr w:type="spellStart"/>
      <w:r w:rsidR="0061348B">
        <w:rPr>
          <w:rFonts w:eastAsia="함초롬바탕"/>
        </w:rPr>
        <w:t>Doswald</w:t>
      </w:r>
      <w:proofErr w:type="spellEnd"/>
      <w:r w:rsidR="0061348B">
        <w:rPr>
          <w:rFonts w:eastAsia="함초롬바탕"/>
        </w:rPr>
        <w:t xml:space="preserve">-Beck, </w:t>
      </w:r>
      <w:r w:rsidR="0061348B">
        <w:rPr>
          <w:rFonts w:eastAsia="함초롬바탕"/>
          <w:i/>
          <w:iCs/>
        </w:rPr>
        <w:t xml:space="preserve">Customary International Humanitarian Law: Volume I </w:t>
      </w:r>
      <w:r w:rsidR="0061348B">
        <w:rPr>
          <w:rFonts w:eastAsia="함초롬바탕" w:hAnsi="함초롬바탕" w:cs="함초롬바탕" w:hint="eastAsia"/>
          <w:i/>
          <w:iCs/>
        </w:rPr>
        <w:t xml:space="preserve">– </w:t>
      </w:r>
      <w:r w:rsidR="0061348B">
        <w:rPr>
          <w:rFonts w:eastAsia="함초롬바탕"/>
          <w:i/>
          <w:iCs/>
        </w:rPr>
        <w:t>Rules</w:t>
      </w:r>
      <w:r w:rsidR="0061348B">
        <w:rPr>
          <w:rFonts w:eastAsia="함초롬바탕"/>
        </w:rPr>
        <w:t xml:space="preserve"> (Geneva, International Committee of the Red Cross, 2007), pp. 609, 610 and 612</w:t>
      </w:r>
      <w:r w:rsidR="0061348B">
        <w:rPr>
          <w:rFonts w:eastAsia="함초롬바탕" w:hAnsi="함초롬바탕" w:cs="함초롬바탕" w:hint="eastAsia"/>
        </w:rPr>
        <w:t>–</w:t>
      </w:r>
      <w:r w:rsidR="0061348B">
        <w:rPr>
          <w:rFonts w:eastAsia="함초롬바탕"/>
        </w:rPr>
        <w:t>614.</w:t>
      </w:r>
    </w:p>
  </w:footnote>
  <w:footnote w:id="86">
    <w:p w:rsidR="00227BAB" w:rsidRDefault="00227BAB" w:rsidP="0061348B">
      <w:pPr>
        <w:pStyle w:val="a4"/>
        <w:rPr>
          <w:rFonts w:hint="eastAsia"/>
        </w:rPr>
      </w:pPr>
      <w:r>
        <w:rPr>
          <w:rStyle w:val="a6"/>
        </w:rPr>
        <w:footnoteRef/>
      </w:r>
      <w:r>
        <w:t xml:space="preserve"> </w:t>
      </w:r>
      <w:r w:rsidR="0061348B">
        <w:rPr>
          <w:rFonts w:eastAsia="함초롬바탕"/>
        </w:rPr>
        <w:t>African Commission on Human and People</w:t>
      </w:r>
      <w:r w:rsidR="0061348B">
        <w:rPr>
          <w:rFonts w:eastAsia="함초롬바탕"/>
        </w:rPr>
        <w:t>’</w:t>
      </w:r>
      <w:r w:rsidR="0061348B">
        <w:rPr>
          <w:rFonts w:eastAsia="함초롬바탕"/>
        </w:rPr>
        <w:t xml:space="preserve">s Rights, </w:t>
      </w:r>
      <w:r w:rsidR="0061348B">
        <w:rPr>
          <w:rFonts w:eastAsia="함초롬바탕"/>
          <w:i/>
          <w:iCs/>
        </w:rPr>
        <w:t>Zimbabwe Human Rights NGO Forum v. Zimbabwe</w:t>
      </w:r>
      <w:r w:rsidR="0061348B">
        <w:rPr>
          <w:rFonts w:eastAsia="함초롬바탕"/>
        </w:rPr>
        <w:t>, Decision, May 2006, paras. 211 and 215.</w:t>
      </w:r>
    </w:p>
  </w:footnote>
  <w:footnote w:id="87">
    <w:p w:rsidR="00227BAB" w:rsidRPr="0061348B" w:rsidRDefault="00227BAB" w:rsidP="0061348B">
      <w:pPr>
        <w:pStyle w:val="a4"/>
        <w:rPr>
          <w:rFonts w:hint="eastAsia"/>
        </w:rPr>
      </w:pPr>
      <w:r>
        <w:rPr>
          <w:rStyle w:val="a6"/>
        </w:rPr>
        <w:footnoteRef/>
      </w:r>
      <w:r>
        <w:t xml:space="preserve"> </w:t>
      </w:r>
      <w:r w:rsidR="0061348B">
        <w:rPr>
          <w:rFonts w:eastAsia="함초롬바탕"/>
        </w:rPr>
        <w:t>Declaration on the Protection of All Persons from Enforced Disappearance, art. 18.</w:t>
      </w:r>
    </w:p>
  </w:footnote>
  <w:footnote w:id="88">
    <w:p w:rsidR="00227BAB" w:rsidRDefault="00227BAB" w:rsidP="0061348B">
      <w:pPr>
        <w:pStyle w:val="a4"/>
        <w:rPr>
          <w:rFonts w:hint="eastAsia"/>
        </w:rPr>
      </w:pPr>
      <w:r>
        <w:rPr>
          <w:rStyle w:val="a6"/>
        </w:rPr>
        <w:footnoteRef/>
      </w:r>
      <w:r>
        <w:t xml:space="preserve"> </w:t>
      </w:r>
      <w:r w:rsidR="0061348B">
        <w:rPr>
          <w:rFonts w:eastAsia="함초롬바탕"/>
        </w:rPr>
        <w:t>General comment on article 18 of the Declaration (2000), para. 2.</w:t>
      </w:r>
    </w:p>
  </w:footnote>
  <w:footnote w:id="89">
    <w:p w:rsidR="00227BAB" w:rsidRDefault="00227BAB" w:rsidP="0061348B">
      <w:pPr>
        <w:pStyle w:val="a4"/>
        <w:rPr>
          <w:rFonts w:hint="eastAsia"/>
        </w:rPr>
      </w:pPr>
      <w:r>
        <w:rPr>
          <w:rStyle w:val="a6"/>
        </w:rPr>
        <w:footnoteRef/>
      </w:r>
      <w:r>
        <w:t xml:space="preserve"> </w:t>
      </w:r>
      <w:r w:rsidR="0061348B">
        <w:rPr>
          <w:rFonts w:eastAsia="함초롬바탕"/>
        </w:rPr>
        <w:t>S/2004/616, para. 10.</w:t>
      </w:r>
    </w:p>
  </w:footnote>
  <w:footnote w:id="90">
    <w:p w:rsidR="00227BAB" w:rsidRPr="0061348B" w:rsidRDefault="00227BAB" w:rsidP="0061348B">
      <w:pPr>
        <w:pStyle w:val="a4"/>
        <w:rPr>
          <w:rFonts w:hint="eastAsia"/>
        </w:rPr>
      </w:pPr>
      <w:r>
        <w:rPr>
          <w:rStyle w:val="a6"/>
        </w:rPr>
        <w:footnoteRef/>
      </w:r>
      <w:r>
        <w:t xml:space="preserve"> </w:t>
      </w:r>
      <w:r w:rsidR="0061348B">
        <w:rPr>
          <w:rFonts w:eastAsia="함초롬바탕"/>
        </w:rPr>
        <w:t>Supreme Court of Argentina, Supreme Court of Colombia, Constitutional Court of Colombia, Constitutional Chamber of the Supreme Court of El Salvador, Supreme Court of Honduras, Constitutional Tribunal of Peru and Supreme Court of Uruguay.</w:t>
      </w:r>
    </w:p>
  </w:footnote>
  <w:footnote w:id="91">
    <w:p w:rsidR="00227BAB" w:rsidRDefault="00227BAB" w:rsidP="0061348B">
      <w:pPr>
        <w:pStyle w:val="a4"/>
        <w:rPr>
          <w:rFonts w:hint="eastAsia"/>
        </w:rPr>
      </w:pPr>
      <w:r>
        <w:rPr>
          <w:rStyle w:val="a6"/>
        </w:rPr>
        <w:footnoteRef/>
      </w:r>
      <w:r>
        <w:t xml:space="preserve"> </w:t>
      </w:r>
      <w:r w:rsidR="0061348B">
        <w:rPr>
          <w:rFonts w:eastAsia="함초롬바탕"/>
        </w:rPr>
        <w:t>A/HRC/27/56, para. 31.</w:t>
      </w:r>
    </w:p>
  </w:footnote>
  <w:footnote w:id="92">
    <w:p w:rsidR="00227BAB" w:rsidRDefault="00227BAB" w:rsidP="0061348B">
      <w:pPr>
        <w:pStyle w:val="a4"/>
        <w:rPr>
          <w:rFonts w:hint="eastAsia"/>
        </w:rPr>
      </w:pPr>
      <w:r>
        <w:rPr>
          <w:rStyle w:val="a6"/>
        </w:rPr>
        <w:footnoteRef/>
      </w:r>
      <w:r>
        <w:t xml:space="preserve"> </w:t>
      </w:r>
      <w:r w:rsidR="0061348B">
        <w:rPr>
          <w:rFonts w:eastAsia="함초롬바탕"/>
        </w:rPr>
        <w:t xml:space="preserve">HRC/48/60, para. 97 (f). </w:t>
      </w:r>
    </w:p>
  </w:footnote>
  <w:footnote w:id="93">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 27 (c); and Rome Statute, art. 27.</w:t>
      </w:r>
    </w:p>
  </w:footnote>
  <w:footnote w:id="94">
    <w:p w:rsidR="00227BAB" w:rsidRPr="0061348B" w:rsidRDefault="00227BAB" w:rsidP="0061348B">
      <w:pPr>
        <w:pStyle w:val="a4"/>
        <w:rPr>
          <w:rFonts w:hint="eastAsia"/>
        </w:rPr>
      </w:pPr>
      <w:r>
        <w:rPr>
          <w:rStyle w:val="a6"/>
        </w:rPr>
        <w:footnoteRef/>
      </w:r>
      <w:r>
        <w:t xml:space="preserve"> </w:t>
      </w:r>
      <w:r w:rsidR="0061348B">
        <w:rPr>
          <w:rFonts w:eastAsia="함초롬바탕"/>
        </w:rPr>
        <w:t>Updated set of principles, principles 27 (a) and (b).</w:t>
      </w:r>
    </w:p>
  </w:footnote>
  <w:footnote w:id="95">
    <w:p w:rsidR="00227BAB" w:rsidRDefault="00227BAB" w:rsidP="0061348B">
      <w:pPr>
        <w:pStyle w:val="a4"/>
        <w:rPr>
          <w:rFonts w:hint="eastAsia"/>
        </w:rPr>
      </w:pPr>
      <w:r>
        <w:rPr>
          <w:rStyle w:val="a6"/>
        </w:rPr>
        <w:footnoteRef/>
      </w:r>
      <w:r>
        <w:t xml:space="preserve"> </w:t>
      </w:r>
      <w:r w:rsidR="0061348B">
        <w:rPr>
          <w:rFonts w:eastAsia="함초롬바탕"/>
        </w:rPr>
        <w:t>Ibid., principle 29.</w:t>
      </w:r>
    </w:p>
  </w:footnote>
  <w:footnote w:id="96">
    <w:p w:rsidR="00227BAB" w:rsidRDefault="00227BAB" w:rsidP="0061348B">
      <w:pPr>
        <w:pStyle w:val="a4"/>
        <w:rPr>
          <w:rFonts w:hint="eastAsia"/>
        </w:rPr>
      </w:pPr>
      <w:r>
        <w:rPr>
          <w:rStyle w:val="a6"/>
        </w:rPr>
        <w:footnoteRef/>
      </w:r>
      <w:r>
        <w:t xml:space="preserve"> </w:t>
      </w:r>
      <w:r w:rsidR="0061348B">
        <w:rPr>
          <w:rFonts w:eastAsia="함초롬바탕"/>
        </w:rPr>
        <w:t xml:space="preserve">CCPR/C/79/Add.74, para. 11; CAT/C/MEX/CO/4, para. 14; and Inter-American Court of Human Rights, </w:t>
      </w:r>
      <w:r w:rsidR="0061348B">
        <w:rPr>
          <w:rFonts w:eastAsia="함초롬바탕"/>
          <w:i/>
          <w:iCs/>
        </w:rPr>
        <w:t xml:space="preserve">La </w:t>
      </w:r>
      <w:proofErr w:type="spellStart"/>
      <w:r w:rsidR="0061348B">
        <w:rPr>
          <w:rFonts w:eastAsia="함초롬바탕"/>
          <w:i/>
          <w:iCs/>
        </w:rPr>
        <w:t>Rochela</w:t>
      </w:r>
      <w:proofErr w:type="spellEnd"/>
      <w:r w:rsidR="0061348B">
        <w:rPr>
          <w:rFonts w:eastAsia="함초롬바탕"/>
          <w:i/>
          <w:iCs/>
        </w:rPr>
        <w:t xml:space="preserve"> Massacre v. Colombia</w:t>
      </w:r>
      <w:r w:rsidR="0061348B">
        <w:rPr>
          <w:rFonts w:eastAsia="함초롬바탕"/>
        </w:rPr>
        <w:t xml:space="preserve">, para. 200. </w:t>
      </w:r>
    </w:p>
  </w:footnote>
  <w:footnote w:id="97">
    <w:p w:rsidR="00227BAB" w:rsidRDefault="00227BAB" w:rsidP="0061348B">
      <w:pPr>
        <w:pStyle w:val="a4"/>
        <w:rPr>
          <w:rFonts w:hint="eastAsia"/>
        </w:rPr>
      </w:pPr>
      <w:r>
        <w:rPr>
          <w:rStyle w:val="a6"/>
        </w:rPr>
        <w:footnoteRef/>
      </w:r>
      <w:r>
        <w:t xml:space="preserve"> </w:t>
      </w:r>
      <w:r w:rsidR="0061348B">
        <w:rPr>
          <w:rFonts w:eastAsia="함초롬바탕"/>
        </w:rPr>
        <w:t>Declaration on the Protection of All Persons from Enforced Disappearance, art. 16; and Inter-American Convention on Forced Disappearance of Persons, art. IX.</w:t>
      </w:r>
    </w:p>
  </w:footnote>
  <w:footnote w:id="98">
    <w:p w:rsidR="00227BAB" w:rsidRDefault="00227BAB" w:rsidP="0061348B">
      <w:pPr>
        <w:pStyle w:val="a4"/>
        <w:rPr>
          <w:rFonts w:hint="eastAsia"/>
        </w:rPr>
      </w:pPr>
      <w:r>
        <w:rPr>
          <w:rStyle w:val="a6"/>
        </w:rPr>
        <w:footnoteRef/>
      </w:r>
      <w:r>
        <w:t xml:space="preserve"> </w:t>
      </w:r>
      <w:r w:rsidR="0061348B">
        <w:rPr>
          <w:rFonts w:eastAsia="함초롬바탕"/>
        </w:rPr>
        <w:t>Updated set of principles, principle 28.</w:t>
      </w:r>
    </w:p>
  </w:footnote>
  <w:footnote w:id="99">
    <w:p w:rsidR="00227BAB" w:rsidRDefault="00227BAB" w:rsidP="0061348B">
      <w:pPr>
        <w:pStyle w:val="a4"/>
        <w:rPr>
          <w:rFonts w:hint="eastAsia"/>
        </w:rPr>
      </w:pPr>
      <w:r>
        <w:rPr>
          <w:rStyle w:val="a6"/>
        </w:rPr>
        <w:footnoteRef/>
      </w:r>
      <w:r>
        <w:t xml:space="preserve"> </w:t>
      </w:r>
      <w:r w:rsidR="0061348B">
        <w:rPr>
          <w:rFonts w:eastAsia="함초롬바탕"/>
        </w:rPr>
        <w:t>A/HRC/48/60, paras. 25 and 87.</w:t>
      </w:r>
    </w:p>
  </w:footnote>
  <w:footnote w:id="100">
    <w:p w:rsidR="00227BAB" w:rsidRPr="00660408" w:rsidRDefault="00227BAB" w:rsidP="00660408">
      <w:pPr>
        <w:pStyle w:val="a4"/>
        <w:rPr>
          <w:rFonts w:hint="eastAsia"/>
        </w:rPr>
      </w:pPr>
      <w:r>
        <w:rPr>
          <w:rStyle w:val="a6"/>
        </w:rPr>
        <w:footnoteRef/>
      </w:r>
      <w:r>
        <w:t xml:space="preserve"> </w:t>
      </w:r>
      <w:r w:rsidR="00660408">
        <w:rPr>
          <w:rFonts w:eastAsia="함초롬바탕"/>
        </w:rPr>
        <w:t>A/HRC/36/50/Add.1, paras. 25 and 55.</w:t>
      </w:r>
    </w:p>
  </w:footnote>
  <w:footnote w:id="101">
    <w:p w:rsidR="00227BAB" w:rsidRPr="00660408" w:rsidRDefault="00227BAB" w:rsidP="00660408">
      <w:pPr>
        <w:pStyle w:val="a4"/>
        <w:rPr>
          <w:rFonts w:hint="eastAsia"/>
        </w:rPr>
      </w:pPr>
      <w:r>
        <w:rPr>
          <w:rStyle w:val="a6"/>
        </w:rPr>
        <w:footnoteRef/>
      </w:r>
      <w:r>
        <w:t xml:space="preserve"> </w:t>
      </w:r>
      <w:r w:rsidR="00660408">
        <w:rPr>
          <w:rFonts w:eastAsia="함초롬바탕"/>
        </w:rPr>
        <w:t>Declaration on Territorial Asylum, art. 1 (2); and updated set of principles, principle 25.</w:t>
      </w:r>
    </w:p>
  </w:footnote>
  <w:footnote w:id="102">
    <w:p w:rsidR="00227BAB" w:rsidRPr="00660408" w:rsidRDefault="00227BAB" w:rsidP="00660408">
      <w:pPr>
        <w:pStyle w:val="a4"/>
        <w:rPr>
          <w:rFonts w:hint="eastAsia"/>
        </w:rPr>
      </w:pPr>
      <w:r>
        <w:rPr>
          <w:rStyle w:val="a6"/>
        </w:rPr>
        <w:footnoteRef/>
      </w:r>
      <w:r>
        <w:t xml:space="preserve"> </w:t>
      </w:r>
      <w:r w:rsidR="00660408">
        <w:rPr>
          <w:rFonts w:eastAsia="함초롬바탕"/>
        </w:rPr>
        <w:t>Updated set of principles, principle 26 (a); and Convention relating to the Status of Refugees, art. 1 (F).</w:t>
      </w:r>
    </w:p>
  </w:footnote>
  <w:footnote w:id="103">
    <w:p w:rsidR="00227BAB" w:rsidRDefault="00227BAB" w:rsidP="00660408">
      <w:pPr>
        <w:pStyle w:val="a4"/>
        <w:rPr>
          <w:rFonts w:hint="eastAsia"/>
        </w:rPr>
      </w:pPr>
      <w:r>
        <w:rPr>
          <w:rStyle w:val="a6"/>
        </w:rPr>
        <w:footnoteRef/>
      </w:r>
      <w:r>
        <w:t xml:space="preserve"> </w:t>
      </w:r>
      <w:r w:rsidR="00660408">
        <w:rPr>
          <w:rFonts w:eastAsia="함초롬바탕"/>
        </w:rPr>
        <w:t>Updated set of principles, principle 26 (a).</w:t>
      </w:r>
    </w:p>
  </w:footnote>
  <w:footnote w:id="104">
    <w:p w:rsidR="00227BAB" w:rsidRDefault="00227BAB" w:rsidP="00660408">
      <w:pPr>
        <w:pStyle w:val="a4"/>
        <w:rPr>
          <w:rFonts w:hint="eastAsia"/>
        </w:rPr>
      </w:pPr>
      <w:r>
        <w:rPr>
          <w:rStyle w:val="a6"/>
        </w:rPr>
        <w:footnoteRef/>
      </w:r>
      <w:r>
        <w:t xml:space="preserve"> </w:t>
      </w:r>
      <w:r w:rsidR="00660408">
        <w:rPr>
          <w:rFonts w:eastAsia="함초롬바탕"/>
        </w:rPr>
        <w:t>A/HRC/48/60, para. 87.</w:t>
      </w:r>
    </w:p>
  </w:footnote>
  <w:footnote w:id="105">
    <w:p w:rsidR="00227BAB" w:rsidRDefault="00227BAB" w:rsidP="00660408">
      <w:pPr>
        <w:pStyle w:val="a4"/>
        <w:rPr>
          <w:rFonts w:hint="eastAsia"/>
        </w:rPr>
      </w:pPr>
      <w:r>
        <w:rPr>
          <w:rStyle w:val="a6"/>
        </w:rPr>
        <w:footnoteRef/>
      </w:r>
      <w:r>
        <w:t xml:space="preserve"> </w:t>
      </w:r>
      <w:r w:rsidR="00660408">
        <w:rPr>
          <w:rFonts w:eastAsia="함초롬바탕"/>
          <w:i/>
          <w:iCs/>
        </w:rPr>
        <w:t>Application of the Convention on the Prevention and Punishment of the Crime of Genocide (Bosnia and Herzegovina v. Serbia and Montenegro), Judgment, I.C.J. Reports 2007</w:t>
      </w:r>
      <w:r w:rsidR="00660408">
        <w:rPr>
          <w:rFonts w:eastAsia="함초롬바탕"/>
        </w:rPr>
        <w:t>, p. 43, para. 426.</w:t>
      </w:r>
    </w:p>
  </w:footnote>
  <w:footnote w:id="106">
    <w:p w:rsidR="00227BAB" w:rsidRDefault="00227BAB" w:rsidP="00660408">
      <w:pPr>
        <w:pStyle w:val="a4"/>
        <w:rPr>
          <w:rFonts w:hint="eastAsia"/>
        </w:rPr>
      </w:pPr>
      <w:r>
        <w:rPr>
          <w:rStyle w:val="a6"/>
        </w:rPr>
        <w:footnoteRef/>
      </w:r>
      <w:r>
        <w:t xml:space="preserve"> </w:t>
      </w:r>
      <w:r w:rsidR="00660408">
        <w:rPr>
          <w:rFonts w:eastAsia="함초롬바탕"/>
        </w:rPr>
        <w:t xml:space="preserve">Rome Statute, art. 78; First Geneva Convention, art. 49; Second Geneva Convention, art. 50; Third Geneva Convention, art. 129; Fourth Geneva Convention, art. 146; Convention on the Prevention and Punishment of the Crime of Genocide, art. V; International Convention for the Protection of All Persons from Enforced Disappearance, art. 7; Convention against Torture, art. 4 (2). See also Inter-American Court of Human Rights, </w:t>
      </w:r>
      <w:proofErr w:type="spellStart"/>
      <w:r w:rsidR="00660408">
        <w:rPr>
          <w:rFonts w:eastAsia="함초롬바탕"/>
          <w:i/>
          <w:iCs/>
        </w:rPr>
        <w:t>Almonacid</w:t>
      </w:r>
      <w:proofErr w:type="spellEnd"/>
      <w:r w:rsidR="00660408">
        <w:rPr>
          <w:rFonts w:eastAsia="함초롬바탕"/>
          <w:i/>
          <w:iCs/>
        </w:rPr>
        <w:t>-Arellano et al. v. Chile</w:t>
      </w:r>
      <w:r w:rsidR="00660408">
        <w:rPr>
          <w:rFonts w:eastAsia="함초롬바탕"/>
        </w:rPr>
        <w:t>, para. 99; and CCPR/C/LBR/CO/1, para. 11 (a).</w:t>
      </w:r>
    </w:p>
  </w:footnote>
  <w:footnote w:id="107">
    <w:p w:rsidR="00227BAB" w:rsidRDefault="00227BAB" w:rsidP="00660408">
      <w:pPr>
        <w:pStyle w:val="a4"/>
        <w:rPr>
          <w:rFonts w:hint="eastAsia"/>
        </w:rPr>
      </w:pPr>
      <w:r>
        <w:rPr>
          <w:rStyle w:val="a6"/>
        </w:rPr>
        <w:footnoteRef/>
      </w:r>
      <w:r>
        <w:t xml:space="preserve"> </w:t>
      </w:r>
      <w:r w:rsidR="00660408">
        <w:rPr>
          <w:rFonts w:eastAsia="함초롬바탕"/>
        </w:rPr>
        <w:t>Rome Statute, art. 78.</w:t>
      </w:r>
    </w:p>
  </w:footnote>
  <w:footnote w:id="108">
    <w:p w:rsidR="00227BAB" w:rsidRDefault="00227BAB" w:rsidP="00660408">
      <w:pPr>
        <w:pStyle w:val="a4"/>
        <w:rPr>
          <w:rFonts w:hint="eastAsia"/>
        </w:rPr>
      </w:pPr>
      <w:r>
        <w:rPr>
          <w:rStyle w:val="a6"/>
        </w:rPr>
        <w:footnoteRef/>
      </w:r>
      <w:r>
        <w:t xml:space="preserve"> </w:t>
      </w:r>
      <w:r w:rsidR="00660408">
        <w:rPr>
          <w:rFonts w:eastAsia="함초롬바탕"/>
        </w:rPr>
        <w:t>Art. 77.</w:t>
      </w:r>
    </w:p>
  </w:footnote>
  <w:footnote w:id="109">
    <w:p w:rsidR="00227BAB" w:rsidRDefault="00227BAB" w:rsidP="00660408">
      <w:pPr>
        <w:pStyle w:val="a4"/>
        <w:rPr>
          <w:rFonts w:hint="eastAsia"/>
        </w:rPr>
      </w:pPr>
      <w:r>
        <w:rPr>
          <w:rStyle w:val="a6"/>
        </w:rPr>
        <w:footnoteRef/>
      </w:r>
      <w:r>
        <w:t xml:space="preserve"> </w:t>
      </w:r>
      <w:r w:rsidR="00660408">
        <w:rPr>
          <w:rFonts w:eastAsia="함초롬바탕"/>
        </w:rPr>
        <w:t>A/HRC/48/60, paras. 27 and 97 (b).</w:t>
      </w:r>
    </w:p>
  </w:footnote>
  <w:footnote w:id="110">
    <w:p w:rsidR="00227BAB" w:rsidRDefault="00227BAB" w:rsidP="00660408">
      <w:pPr>
        <w:pStyle w:val="a4"/>
        <w:rPr>
          <w:rFonts w:hint="eastAsia"/>
        </w:rPr>
      </w:pPr>
      <w:r>
        <w:rPr>
          <w:rStyle w:val="a6"/>
        </w:rPr>
        <w:footnoteRef/>
      </w:r>
      <w:r>
        <w:t xml:space="preserve"> </w:t>
      </w:r>
      <w:r w:rsidR="00660408">
        <w:rPr>
          <w:rFonts w:eastAsia="함초롬바탕"/>
        </w:rPr>
        <w:t>Rome Statute, art. 110.</w:t>
      </w:r>
    </w:p>
  </w:footnote>
  <w:footnote w:id="111">
    <w:p w:rsidR="00227BAB" w:rsidRDefault="00227BAB" w:rsidP="00660408">
      <w:pPr>
        <w:pStyle w:val="a4"/>
        <w:rPr>
          <w:rFonts w:hint="eastAsia"/>
        </w:rPr>
      </w:pPr>
      <w:r>
        <w:rPr>
          <w:rStyle w:val="a6"/>
        </w:rPr>
        <w:footnoteRef/>
      </w:r>
      <w:r>
        <w:t xml:space="preserve"> </w:t>
      </w:r>
      <w:r w:rsidR="00660408">
        <w:rPr>
          <w:rFonts w:eastAsia="함초롬바탕"/>
        </w:rPr>
        <w:t>Inter-American Court of Human Rights, Cepeda Vargas v. Colombia, Judgment, 26 May 2010, para. 152.</w:t>
      </w:r>
    </w:p>
  </w:footnote>
  <w:footnote w:id="112">
    <w:p w:rsidR="00227BAB" w:rsidRDefault="00227BAB" w:rsidP="00660408">
      <w:pPr>
        <w:pStyle w:val="a4"/>
        <w:rPr>
          <w:rFonts w:hint="eastAsia"/>
        </w:rPr>
      </w:pPr>
      <w:r>
        <w:rPr>
          <w:rStyle w:val="a6"/>
        </w:rPr>
        <w:footnoteRef/>
      </w:r>
      <w:r>
        <w:t xml:space="preserve"> </w:t>
      </w:r>
      <w:r w:rsidR="00660408">
        <w:rPr>
          <w:rFonts w:eastAsia="함초롬바탕"/>
        </w:rPr>
        <w:t xml:space="preserve">Inter-American Court of Human Rights, Barrios Altos and La </w:t>
      </w:r>
      <w:proofErr w:type="spellStart"/>
      <w:r w:rsidR="00660408">
        <w:rPr>
          <w:rFonts w:eastAsia="함초롬바탕"/>
        </w:rPr>
        <w:t>Cantuta</w:t>
      </w:r>
      <w:proofErr w:type="spellEnd"/>
      <w:r w:rsidR="00660408">
        <w:rPr>
          <w:rFonts w:eastAsia="함초롬바탕"/>
        </w:rPr>
        <w:t xml:space="preserve"> v. Peru, Resolution, 30 May 2018, para. 45.</w:t>
      </w:r>
    </w:p>
  </w:footnote>
  <w:footnote w:id="113">
    <w:p w:rsidR="00227BAB" w:rsidRPr="00660408" w:rsidRDefault="00227BAB" w:rsidP="00660408">
      <w:pPr>
        <w:pStyle w:val="a4"/>
        <w:rPr>
          <w:rFonts w:hint="eastAsia"/>
        </w:rPr>
      </w:pPr>
      <w:r>
        <w:rPr>
          <w:rStyle w:val="a6"/>
        </w:rPr>
        <w:footnoteRef/>
      </w:r>
      <w:r>
        <w:t xml:space="preserve"> </w:t>
      </w:r>
      <w:r w:rsidR="00660408">
        <w:rPr>
          <w:rFonts w:eastAsia="함초롬바탕"/>
        </w:rPr>
        <w:t>A/HRC/48/60, paras. 40 and 97 (g).</w:t>
      </w:r>
    </w:p>
  </w:footnote>
  <w:footnote w:id="114">
    <w:p w:rsidR="00227BAB" w:rsidRPr="00660408" w:rsidRDefault="00227BAB" w:rsidP="00660408">
      <w:pPr>
        <w:pStyle w:val="a4"/>
        <w:rPr>
          <w:rFonts w:hint="eastAsia"/>
        </w:rPr>
      </w:pPr>
      <w:r>
        <w:rPr>
          <w:rStyle w:val="a6"/>
        </w:rPr>
        <w:footnoteRef/>
      </w:r>
      <w:r>
        <w:t xml:space="preserve"> </w:t>
      </w:r>
      <w:r w:rsidR="00660408">
        <w:rPr>
          <w:rFonts w:eastAsia="함초롬바탕"/>
        </w:rPr>
        <w:t>Basic Principles and Guidelines, para. 11; and updated set of principles, principle 32.</w:t>
      </w:r>
    </w:p>
  </w:footnote>
  <w:footnote w:id="115">
    <w:p w:rsidR="00227BAB" w:rsidRPr="00660408" w:rsidRDefault="00227BAB" w:rsidP="00660408">
      <w:pPr>
        <w:pStyle w:val="a4"/>
        <w:rPr>
          <w:rFonts w:hint="eastAsia"/>
        </w:rPr>
      </w:pPr>
      <w:r>
        <w:rPr>
          <w:rStyle w:val="a6"/>
        </w:rPr>
        <w:footnoteRef/>
      </w:r>
      <w:r>
        <w:t xml:space="preserve"> </w:t>
      </w:r>
      <w:r w:rsidR="00660408">
        <w:rPr>
          <w:rFonts w:eastAsia="함초롬바탕"/>
        </w:rPr>
        <w:t>Universal Declaration of Human Rights, art. 8; International Covenant on Civil and Political Rights, art. 2; International Convention on the Elimination of All Forms of Racial Discrimination, art. 6; Convention against Torture, art. 14; Convention on the Rights of the Child, art. 39; Protocol I Additional to the Geneva Conventions of 1949, art. 91; and Rome Statute, art. 75.</w:t>
      </w:r>
    </w:p>
  </w:footnote>
  <w:footnote w:id="116">
    <w:p w:rsidR="00227BAB" w:rsidRDefault="00227BAB" w:rsidP="00660408">
      <w:pPr>
        <w:pStyle w:val="a4"/>
        <w:rPr>
          <w:rFonts w:hint="eastAsia"/>
        </w:rPr>
      </w:pPr>
      <w:r>
        <w:rPr>
          <w:rStyle w:val="a6"/>
        </w:rPr>
        <w:footnoteRef/>
      </w:r>
      <w:r>
        <w:t xml:space="preserve"> </w:t>
      </w:r>
      <w:r w:rsidR="00660408">
        <w:rPr>
          <w:rFonts w:eastAsia="함초롬바탕"/>
        </w:rPr>
        <w:t xml:space="preserve">A/69/518, para. 17. </w:t>
      </w:r>
    </w:p>
  </w:footnote>
  <w:footnote w:id="117">
    <w:p w:rsidR="00227BAB" w:rsidRPr="00660408" w:rsidRDefault="00227BAB" w:rsidP="00660408">
      <w:pPr>
        <w:pStyle w:val="a4"/>
        <w:rPr>
          <w:rFonts w:hint="eastAsia"/>
        </w:rPr>
      </w:pPr>
      <w:r>
        <w:rPr>
          <w:rStyle w:val="a6"/>
        </w:rPr>
        <w:footnoteRef/>
      </w:r>
      <w:r>
        <w:t xml:space="preserve"> </w:t>
      </w:r>
      <w:r w:rsidR="00660408">
        <w:rPr>
          <w:rFonts w:eastAsia="함초롬바탕"/>
        </w:rPr>
        <w:t>Basic Principles and Guidelines, paras. 15</w:t>
      </w:r>
      <w:r w:rsidR="00660408">
        <w:rPr>
          <w:rFonts w:eastAsia="함초롬바탕" w:hAnsi="함초롬바탕" w:cs="함초롬바탕" w:hint="eastAsia"/>
        </w:rPr>
        <w:t>–</w:t>
      </w:r>
      <w:r w:rsidR="00660408">
        <w:rPr>
          <w:rFonts w:eastAsia="함초롬바탕"/>
        </w:rPr>
        <w:t>17; and A/HRC/42/45, paras. 31</w:t>
      </w:r>
      <w:r w:rsidR="00660408">
        <w:rPr>
          <w:rFonts w:eastAsia="함초롬바탕" w:hAnsi="함초롬바탕" w:cs="함초롬바탕" w:hint="eastAsia"/>
        </w:rPr>
        <w:t>–</w:t>
      </w:r>
      <w:r w:rsidR="00660408">
        <w:rPr>
          <w:rFonts w:eastAsia="함초롬바탕"/>
        </w:rPr>
        <w:t>37, 74, 84, 85 and 96.</w:t>
      </w:r>
    </w:p>
  </w:footnote>
  <w:footnote w:id="118">
    <w:p w:rsidR="00227BAB" w:rsidRDefault="00227BAB" w:rsidP="00660408">
      <w:pPr>
        <w:pStyle w:val="a4"/>
        <w:rPr>
          <w:rFonts w:hint="eastAsia"/>
        </w:rPr>
      </w:pPr>
      <w:r>
        <w:rPr>
          <w:rStyle w:val="a6"/>
        </w:rPr>
        <w:footnoteRef/>
      </w:r>
      <w:r>
        <w:t xml:space="preserve"> </w:t>
      </w:r>
      <w:r w:rsidR="00660408">
        <w:rPr>
          <w:rFonts w:eastAsia="함초롬바탕"/>
        </w:rPr>
        <w:t>Basic Principles and Guidelines, para. 15.</w:t>
      </w:r>
    </w:p>
  </w:footnote>
  <w:footnote w:id="119">
    <w:p w:rsidR="00227BAB" w:rsidRDefault="00227BAB" w:rsidP="00660408">
      <w:pPr>
        <w:pStyle w:val="a4"/>
        <w:rPr>
          <w:rFonts w:hint="eastAsia"/>
        </w:rPr>
      </w:pPr>
      <w:r>
        <w:rPr>
          <w:rStyle w:val="a6"/>
        </w:rPr>
        <w:footnoteRef/>
      </w:r>
      <w:r>
        <w:t xml:space="preserve"> </w:t>
      </w:r>
      <w:r w:rsidR="00660408">
        <w:rPr>
          <w:rFonts w:eastAsia="함초롬바탕"/>
        </w:rPr>
        <w:t>A/HRC/42/45, para. 30.</w:t>
      </w:r>
    </w:p>
  </w:footnote>
  <w:footnote w:id="120">
    <w:p w:rsidR="00227BAB" w:rsidRDefault="00227BAB" w:rsidP="00660408">
      <w:pPr>
        <w:pStyle w:val="a4"/>
        <w:rPr>
          <w:rFonts w:hint="eastAsia"/>
        </w:rPr>
      </w:pPr>
      <w:r>
        <w:rPr>
          <w:rStyle w:val="a6"/>
        </w:rPr>
        <w:footnoteRef/>
      </w:r>
      <w:r>
        <w:t xml:space="preserve"> </w:t>
      </w:r>
      <w:r w:rsidR="00660408">
        <w:rPr>
          <w:rFonts w:eastAsia="함초롬바탕"/>
        </w:rPr>
        <w:t>A/69/518, para. 45.</w:t>
      </w:r>
    </w:p>
  </w:footnote>
  <w:footnote w:id="121">
    <w:p w:rsidR="00227BAB" w:rsidRDefault="00227BAB" w:rsidP="00660408">
      <w:pPr>
        <w:pStyle w:val="a4"/>
        <w:rPr>
          <w:rFonts w:hint="eastAsia"/>
        </w:rPr>
      </w:pPr>
      <w:r>
        <w:rPr>
          <w:rStyle w:val="a6"/>
        </w:rPr>
        <w:footnoteRef/>
      </w:r>
      <w:r>
        <w:t xml:space="preserve"> </w:t>
      </w:r>
      <w:r w:rsidR="00660408">
        <w:rPr>
          <w:rFonts w:eastAsia="함초롬바탕"/>
        </w:rPr>
        <w:t>Basic Principles and Guidelines, paras. 15 and 18</w:t>
      </w:r>
      <w:r w:rsidR="00660408">
        <w:rPr>
          <w:rFonts w:eastAsia="함초롬바탕" w:hAnsi="함초롬바탕" w:cs="함초롬바탕" w:hint="eastAsia"/>
        </w:rPr>
        <w:t>–</w:t>
      </w:r>
      <w:r w:rsidR="00660408">
        <w:rPr>
          <w:rFonts w:eastAsia="함초롬바탕"/>
        </w:rPr>
        <w:t>23; and A/HRC/22/45 and A/HRC/22/45/Corr.1, para. 79.</w:t>
      </w:r>
    </w:p>
  </w:footnote>
  <w:footnote w:id="122">
    <w:p w:rsidR="00227BAB" w:rsidRDefault="00227BAB" w:rsidP="00660408">
      <w:pPr>
        <w:pStyle w:val="a4"/>
        <w:rPr>
          <w:rFonts w:hint="eastAsia"/>
        </w:rPr>
      </w:pPr>
      <w:r>
        <w:rPr>
          <w:rStyle w:val="a6"/>
        </w:rPr>
        <w:footnoteRef/>
      </w:r>
      <w:r>
        <w:t xml:space="preserve"> </w:t>
      </w:r>
      <w:r w:rsidR="00660408">
        <w:rPr>
          <w:rFonts w:eastAsia="함초롬바탕"/>
        </w:rPr>
        <w:t>A/69/518, para. 11.</w:t>
      </w:r>
    </w:p>
  </w:footnote>
  <w:footnote w:id="123">
    <w:p w:rsidR="00227BAB" w:rsidRDefault="00227BAB" w:rsidP="00660408">
      <w:pPr>
        <w:pStyle w:val="a4"/>
        <w:rPr>
          <w:rFonts w:hint="eastAsia"/>
        </w:rPr>
      </w:pPr>
      <w:r>
        <w:rPr>
          <w:rStyle w:val="a6"/>
        </w:rPr>
        <w:footnoteRef/>
      </w:r>
      <w:r>
        <w:t xml:space="preserve"> </w:t>
      </w:r>
      <w:r w:rsidR="00660408">
        <w:rPr>
          <w:rFonts w:eastAsia="함초롬바탕"/>
        </w:rPr>
        <w:t>Basic Principles and Guidelines, para. 19; and A/76/180, para. 107.</w:t>
      </w:r>
    </w:p>
  </w:footnote>
  <w:footnote w:id="124">
    <w:p w:rsidR="00227BAB" w:rsidRDefault="00227BAB" w:rsidP="00660408">
      <w:pPr>
        <w:pStyle w:val="a4"/>
        <w:rPr>
          <w:rFonts w:hint="eastAsia"/>
        </w:rPr>
      </w:pPr>
      <w:r>
        <w:rPr>
          <w:rStyle w:val="a6"/>
        </w:rPr>
        <w:footnoteRef/>
      </w:r>
      <w:r>
        <w:t xml:space="preserve"> </w:t>
      </w:r>
      <w:r w:rsidR="00660408">
        <w:rPr>
          <w:rFonts w:eastAsia="함초롬바탕"/>
        </w:rPr>
        <w:t>Basic Principles and Guidelines, para. 20.</w:t>
      </w:r>
    </w:p>
  </w:footnote>
  <w:footnote w:id="125">
    <w:p w:rsidR="00227BAB" w:rsidRDefault="00227BAB" w:rsidP="0094792F">
      <w:pPr>
        <w:pStyle w:val="a4"/>
        <w:rPr>
          <w:rFonts w:hint="eastAsia"/>
        </w:rPr>
      </w:pPr>
      <w:r>
        <w:rPr>
          <w:rStyle w:val="a6"/>
        </w:rPr>
        <w:footnoteRef/>
      </w:r>
      <w:r>
        <w:t xml:space="preserve"> </w:t>
      </w:r>
      <w:r w:rsidR="0094792F">
        <w:rPr>
          <w:rFonts w:eastAsia="함초롬바탕"/>
        </w:rPr>
        <w:t>A/42/45, para. 98.</w:t>
      </w:r>
    </w:p>
  </w:footnote>
  <w:footnote w:id="126">
    <w:p w:rsidR="00227BAB" w:rsidRDefault="00227BAB" w:rsidP="0094792F">
      <w:pPr>
        <w:pStyle w:val="a4"/>
        <w:rPr>
          <w:rFonts w:hint="eastAsia"/>
        </w:rPr>
      </w:pPr>
      <w:r>
        <w:rPr>
          <w:rStyle w:val="a6"/>
        </w:rPr>
        <w:footnoteRef/>
      </w:r>
      <w:r>
        <w:t xml:space="preserve"> </w:t>
      </w:r>
      <w:r w:rsidR="0094792F">
        <w:rPr>
          <w:rFonts w:eastAsia="함초롬바탕"/>
        </w:rPr>
        <w:t>Basic Principles and Guidelines, para. 21.</w:t>
      </w:r>
    </w:p>
  </w:footnote>
  <w:footnote w:id="127">
    <w:p w:rsidR="00227BAB" w:rsidRDefault="00227BAB" w:rsidP="0094792F">
      <w:pPr>
        <w:pStyle w:val="a4"/>
        <w:rPr>
          <w:rFonts w:hint="eastAsia"/>
        </w:rPr>
      </w:pPr>
      <w:r>
        <w:rPr>
          <w:rStyle w:val="a6"/>
        </w:rPr>
        <w:footnoteRef/>
      </w:r>
      <w:r>
        <w:t xml:space="preserve"> </w:t>
      </w:r>
      <w:r w:rsidR="0094792F">
        <w:rPr>
          <w:rFonts w:eastAsia="함초롬바탕"/>
        </w:rPr>
        <w:t>A/69/518, para. 37.</w:t>
      </w:r>
    </w:p>
  </w:footnote>
  <w:footnote w:id="128">
    <w:p w:rsidR="00227BAB" w:rsidRDefault="00227BAB" w:rsidP="0094792F">
      <w:pPr>
        <w:pStyle w:val="a4"/>
        <w:rPr>
          <w:rFonts w:hint="eastAsia"/>
        </w:rPr>
      </w:pPr>
      <w:r>
        <w:rPr>
          <w:rStyle w:val="a6"/>
        </w:rPr>
        <w:footnoteRef/>
      </w:r>
      <w:r>
        <w:t xml:space="preserve"> </w:t>
      </w:r>
      <w:r w:rsidR="0094792F">
        <w:rPr>
          <w:rFonts w:eastAsia="함초롬바탕"/>
        </w:rPr>
        <w:t>Basic Principles and Guidelines, para. 22.</w:t>
      </w:r>
    </w:p>
  </w:footnote>
  <w:footnote w:id="129">
    <w:p w:rsidR="00227BAB" w:rsidRDefault="00227BAB" w:rsidP="0094792F">
      <w:pPr>
        <w:pStyle w:val="a4"/>
        <w:rPr>
          <w:rFonts w:hint="eastAsia"/>
        </w:rPr>
      </w:pPr>
      <w:r>
        <w:rPr>
          <w:rStyle w:val="a6"/>
        </w:rPr>
        <w:footnoteRef/>
      </w:r>
      <w:r>
        <w:t xml:space="preserve"> </w:t>
      </w:r>
      <w:r w:rsidR="0094792F">
        <w:rPr>
          <w:rFonts w:eastAsia="함초롬바탕"/>
        </w:rPr>
        <w:t>A/74/147.</w:t>
      </w:r>
    </w:p>
  </w:footnote>
  <w:footnote w:id="130">
    <w:p w:rsidR="00227BAB" w:rsidRDefault="00227BAB" w:rsidP="0094792F">
      <w:pPr>
        <w:pStyle w:val="a4"/>
        <w:rPr>
          <w:rFonts w:hint="eastAsia"/>
        </w:rPr>
      </w:pPr>
      <w:r>
        <w:rPr>
          <w:rStyle w:val="a6"/>
        </w:rPr>
        <w:footnoteRef/>
      </w:r>
      <w:r>
        <w:t xml:space="preserve"> </w:t>
      </w:r>
      <w:r w:rsidR="0094792F">
        <w:rPr>
          <w:rFonts w:eastAsia="함초롬바탕"/>
        </w:rPr>
        <w:t>A/HRC/42/45, para. 129.</w:t>
      </w:r>
    </w:p>
  </w:footnote>
  <w:footnote w:id="131">
    <w:p w:rsidR="00227BAB" w:rsidRDefault="00227BAB" w:rsidP="0094792F">
      <w:pPr>
        <w:pStyle w:val="a4"/>
        <w:rPr>
          <w:rFonts w:hint="eastAsia"/>
        </w:rPr>
      </w:pPr>
      <w:r>
        <w:rPr>
          <w:rStyle w:val="a6"/>
        </w:rPr>
        <w:footnoteRef/>
      </w:r>
      <w:r>
        <w:t xml:space="preserve"> </w:t>
      </w:r>
      <w:r w:rsidR="0094792F">
        <w:rPr>
          <w:rFonts w:eastAsia="함초롬바탕"/>
        </w:rPr>
        <w:t>A/75/174, paras. 27</w:t>
      </w:r>
      <w:r w:rsidR="0094792F">
        <w:rPr>
          <w:rFonts w:eastAsia="함초롬바탕" w:hAnsi="함초롬바탕" w:cs="함초롬바탕" w:hint="eastAsia"/>
        </w:rPr>
        <w:t>–</w:t>
      </w:r>
      <w:r w:rsidR="0094792F">
        <w:rPr>
          <w:rFonts w:eastAsia="함초롬바탕"/>
        </w:rPr>
        <w:t>29 and 101</w:t>
      </w:r>
      <w:r w:rsidR="0094792F">
        <w:rPr>
          <w:rFonts w:eastAsia="함초롬바탕" w:hAnsi="함초롬바탕" w:cs="함초롬바탕" w:hint="eastAsia"/>
        </w:rPr>
        <w:t>–</w:t>
      </w:r>
      <w:r w:rsidR="0094792F">
        <w:rPr>
          <w:rFonts w:eastAsia="함초롬바탕"/>
        </w:rPr>
        <w:t>103</w:t>
      </w:r>
    </w:p>
  </w:footnote>
  <w:footnote w:id="132">
    <w:p w:rsidR="00227BAB" w:rsidRPr="0094792F" w:rsidRDefault="00227BAB" w:rsidP="0094792F">
      <w:pPr>
        <w:pStyle w:val="a4"/>
        <w:rPr>
          <w:rFonts w:hint="eastAsia"/>
        </w:rPr>
      </w:pPr>
      <w:r>
        <w:rPr>
          <w:rStyle w:val="a6"/>
        </w:rPr>
        <w:footnoteRef/>
      </w:r>
      <w:r>
        <w:t xml:space="preserve"> </w:t>
      </w:r>
      <w:r w:rsidR="0094792F">
        <w:rPr>
          <w:rFonts w:eastAsia="함초롬바탕"/>
        </w:rPr>
        <w:t>Updated set of principles, principle 32.</w:t>
      </w:r>
    </w:p>
  </w:footnote>
  <w:footnote w:id="133">
    <w:p w:rsidR="00227BAB" w:rsidRDefault="00227BAB" w:rsidP="0094792F">
      <w:pPr>
        <w:pStyle w:val="a4"/>
        <w:rPr>
          <w:rFonts w:hint="eastAsia"/>
        </w:rPr>
      </w:pPr>
      <w:r>
        <w:rPr>
          <w:rStyle w:val="a6"/>
        </w:rPr>
        <w:footnoteRef/>
      </w:r>
      <w:r>
        <w:t xml:space="preserve"> </w:t>
      </w:r>
      <w:r w:rsidR="0094792F">
        <w:rPr>
          <w:rFonts w:eastAsia="함초롬바탕"/>
        </w:rPr>
        <w:t>Ibid.; Basic Principles and Guidelines, para. 11; and A/HRC/42/45, para. 61.</w:t>
      </w:r>
    </w:p>
  </w:footnote>
  <w:footnote w:id="134">
    <w:p w:rsidR="00227BAB" w:rsidRDefault="00227BAB" w:rsidP="0094792F">
      <w:pPr>
        <w:pStyle w:val="a4"/>
        <w:rPr>
          <w:rFonts w:hint="eastAsia"/>
        </w:rPr>
      </w:pPr>
      <w:r>
        <w:rPr>
          <w:rStyle w:val="a6"/>
        </w:rPr>
        <w:footnoteRef/>
      </w:r>
      <w:r>
        <w:t xml:space="preserve"> </w:t>
      </w:r>
      <w:r w:rsidR="0094792F">
        <w:rPr>
          <w:rFonts w:eastAsia="함초롬바탕"/>
        </w:rPr>
        <w:t>A/69/518, para. 76.</w:t>
      </w:r>
    </w:p>
  </w:footnote>
  <w:footnote w:id="135">
    <w:p w:rsidR="00227BAB" w:rsidRPr="0094792F" w:rsidRDefault="00227BAB" w:rsidP="0094792F">
      <w:pPr>
        <w:pStyle w:val="a4"/>
        <w:rPr>
          <w:rFonts w:hint="eastAsia"/>
        </w:rPr>
      </w:pPr>
      <w:r>
        <w:rPr>
          <w:rStyle w:val="a6"/>
        </w:rPr>
        <w:footnoteRef/>
      </w:r>
      <w:r>
        <w:t xml:space="preserve"> </w:t>
      </w:r>
      <w:r w:rsidR="0094792F">
        <w:rPr>
          <w:rFonts w:eastAsia="함초롬바탕"/>
        </w:rPr>
        <w:t>Updated set of principles, principle 33.</w:t>
      </w:r>
    </w:p>
  </w:footnote>
  <w:footnote w:id="136">
    <w:p w:rsidR="00574A3D" w:rsidRPr="0094792F" w:rsidRDefault="00574A3D" w:rsidP="0094792F">
      <w:pPr>
        <w:pStyle w:val="a4"/>
        <w:rPr>
          <w:rFonts w:hint="eastAsia"/>
        </w:rPr>
      </w:pPr>
      <w:r>
        <w:rPr>
          <w:rStyle w:val="a6"/>
        </w:rPr>
        <w:footnoteRef/>
      </w:r>
      <w:r>
        <w:t xml:space="preserve"> </w:t>
      </w:r>
      <w:r w:rsidR="0094792F">
        <w:rPr>
          <w:rFonts w:eastAsia="함초롬바탕"/>
        </w:rPr>
        <w:t>See, e.g., International Covenant on Civil and Political Rights, art. 2; European Convention on Human Rights, art. 1; American Convention on Human Rights, art. 1; African Charter on Human and Peoples</w:t>
      </w:r>
      <w:r w:rsidR="0094792F">
        <w:rPr>
          <w:rFonts w:eastAsia="함초롬바탕"/>
        </w:rPr>
        <w:t>’</w:t>
      </w:r>
      <w:r w:rsidR="0094792F">
        <w:rPr>
          <w:rFonts w:eastAsia="함초롬바탕"/>
        </w:rPr>
        <w:t xml:space="preserve"> Rights, art. 1; and Arab Charter on Human Rights, art. 3.</w:t>
      </w:r>
    </w:p>
  </w:footnote>
  <w:footnote w:id="137">
    <w:p w:rsidR="00574A3D" w:rsidRPr="0094792F" w:rsidRDefault="00574A3D" w:rsidP="0094792F">
      <w:pPr>
        <w:pStyle w:val="a4"/>
        <w:rPr>
          <w:rFonts w:hint="eastAsia"/>
        </w:rPr>
      </w:pPr>
      <w:r>
        <w:rPr>
          <w:rStyle w:val="a6"/>
        </w:rPr>
        <w:footnoteRef/>
      </w:r>
      <w:r>
        <w:t xml:space="preserve"> </w:t>
      </w:r>
      <w:r w:rsidR="0094792F">
        <w:rPr>
          <w:rFonts w:eastAsia="함초롬바탕"/>
        </w:rPr>
        <w:t>Updated set of principles, principle 3.</w:t>
      </w:r>
    </w:p>
  </w:footnote>
  <w:footnote w:id="138">
    <w:p w:rsidR="00574A3D" w:rsidRDefault="00574A3D" w:rsidP="0094792F">
      <w:pPr>
        <w:pStyle w:val="a4"/>
        <w:rPr>
          <w:rFonts w:hint="eastAsia"/>
        </w:rPr>
      </w:pPr>
      <w:r>
        <w:rPr>
          <w:rStyle w:val="a6"/>
        </w:rPr>
        <w:footnoteRef/>
      </w:r>
      <w:r>
        <w:t xml:space="preserve"> </w:t>
      </w:r>
      <w:r w:rsidR="0094792F">
        <w:rPr>
          <w:rFonts w:eastAsia="함초롬바탕"/>
        </w:rPr>
        <w:t>138 Para. 22 (g).</w:t>
      </w:r>
    </w:p>
  </w:footnote>
  <w:footnote w:id="139">
    <w:p w:rsidR="00574A3D" w:rsidRDefault="00574A3D" w:rsidP="0094792F">
      <w:pPr>
        <w:pStyle w:val="a4"/>
        <w:rPr>
          <w:rFonts w:hint="eastAsia"/>
        </w:rPr>
      </w:pPr>
      <w:r>
        <w:rPr>
          <w:rStyle w:val="a6"/>
        </w:rPr>
        <w:footnoteRef/>
      </w:r>
      <w:r>
        <w:t xml:space="preserve"> </w:t>
      </w:r>
      <w:r w:rsidR="0094792F">
        <w:rPr>
          <w:rFonts w:eastAsia="함초롬바탕"/>
        </w:rPr>
        <w:t xml:space="preserve">A/HRC/45/45, para. 31. </w:t>
      </w:r>
    </w:p>
  </w:footnote>
  <w:footnote w:id="140">
    <w:p w:rsidR="00574A3D" w:rsidRDefault="00574A3D" w:rsidP="0094792F">
      <w:pPr>
        <w:pStyle w:val="a4"/>
        <w:rPr>
          <w:rFonts w:hint="eastAsia"/>
        </w:rPr>
      </w:pPr>
      <w:r>
        <w:rPr>
          <w:rStyle w:val="a6"/>
        </w:rPr>
        <w:footnoteRef/>
      </w:r>
      <w:r>
        <w:t xml:space="preserve"> </w:t>
      </w:r>
      <w:r w:rsidR="0094792F">
        <w:rPr>
          <w:rFonts w:eastAsia="함초롬바탕"/>
        </w:rPr>
        <w:t>Para. 106.</w:t>
      </w:r>
    </w:p>
  </w:footnote>
  <w:footnote w:id="141">
    <w:p w:rsidR="00574A3D" w:rsidRDefault="00574A3D" w:rsidP="0094792F">
      <w:pPr>
        <w:pStyle w:val="a4"/>
        <w:rPr>
          <w:rFonts w:hint="eastAsia"/>
        </w:rPr>
      </w:pPr>
      <w:r>
        <w:rPr>
          <w:rStyle w:val="a6"/>
        </w:rPr>
        <w:footnoteRef/>
      </w:r>
      <w:r>
        <w:t xml:space="preserve"> </w:t>
      </w:r>
      <w:r w:rsidR="0094792F">
        <w:rPr>
          <w:rFonts w:eastAsia="함초롬바탕"/>
          <w:i/>
          <w:iCs/>
        </w:rPr>
        <w:t>“</w:t>
      </w:r>
      <w:r w:rsidR="0094792F">
        <w:rPr>
          <w:rFonts w:eastAsia="함초롬바탕"/>
          <w:i/>
          <w:iCs/>
        </w:rPr>
        <w:t>Street Children</w:t>
      </w:r>
      <w:r w:rsidR="0094792F">
        <w:rPr>
          <w:rFonts w:eastAsia="함초롬바탕"/>
          <w:i/>
          <w:iCs/>
        </w:rPr>
        <w:t>”</w:t>
      </w:r>
      <w:r w:rsidR="0094792F">
        <w:rPr>
          <w:rFonts w:eastAsia="함초롬바탕"/>
          <w:i/>
          <w:iCs/>
        </w:rPr>
        <w:t xml:space="preserve"> (</w:t>
      </w:r>
      <w:proofErr w:type="spellStart"/>
      <w:r w:rsidR="0094792F">
        <w:rPr>
          <w:rFonts w:eastAsia="함초롬바탕"/>
          <w:i/>
          <w:iCs/>
        </w:rPr>
        <w:t>Villagr</w:t>
      </w:r>
      <w:r w:rsidR="0094792F">
        <w:rPr>
          <w:rFonts w:eastAsia="함초롬바탕"/>
          <w:i/>
          <w:iCs/>
        </w:rPr>
        <w:t>á</w:t>
      </w:r>
      <w:r w:rsidR="0094792F">
        <w:rPr>
          <w:rFonts w:eastAsia="함초롬바탕"/>
          <w:i/>
          <w:iCs/>
        </w:rPr>
        <w:t>n</w:t>
      </w:r>
      <w:proofErr w:type="spellEnd"/>
      <w:r w:rsidR="0094792F">
        <w:rPr>
          <w:rFonts w:eastAsia="함초롬바탕"/>
          <w:i/>
          <w:iCs/>
        </w:rPr>
        <w:t xml:space="preserve"> Morales et al.) v. Guatemala</w:t>
      </w:r>
      <w:r w:rsidR="0094792F">
        <w:rPr>
          <w:rFonts w:eastAsia="함초롬바탕"/>
        </w:rPr>
        <w:t xml:space="preserve">, Judgment, 26 May 2001; </w:t>
      </w:r>
      <w:proofErr w:type="spellStart"/>
      <w:r w:rsidR="0094792F">
        <w:rPr>
          <w:rFonts w:eastAsia="함초롬바탕"/>
          <w:i/>
          <w:iCs/>
        </w:rPr>
        <w:t>Ituango</w:t>
      </w:r>
      <w:proofErr w:type="spellEnd"/>
      <w:r w:rsidR="0094792F">
        <w:rPr>
          <w:rFonts w:eastAsia="함초롬바탕"/>
          <w:i/>
          <w:iCs/>
        </w:rPr>
        <w:t xml:space="preserve"> Massacres v. Colombia</w:t>
      </w:r>
      <w:r w:rsidR="0094792F">
        <w:rPr>
          <w:rFonts w:eastAsia="함초롬바탕"/>
        </w:rPr>
        <w:t xml:space="preserve">, Judgment, 1 July 2006; </w:t>
      </w:r>
      <w:r w:rsidR="0094792F">
        <w:rPr>
          <w:rFonts w:eastAsia="함초롬바탕"/>
          <w:i/>
          <w:iCs/>
        </w:rPr>
        <w:t>Miguel Castro Prison v. Peru</w:t>
      </w:r>
      <w:r w:rsidR="0094792F">
        <w:rPr>
          <w:rFonts w:eastAsia="함초롬바탕"/>
        </w:rPr>
        <w:t xml:space="preserve">, Judgment, 25 November 2006; and </w:t>
      </w:r>
      <w:r w:rsidR="0094792F">
        <w:rPr>
          <w:rFonts w:eastAsia="함초롬바탕"/>
          <w:i/>
          <w:iCs/>
        </w:rPr>
        <w:t xml:space="preserve">La </w:t>
      </w:r>
      <w:proofErr w:type="spellStart"/>
      <w:r w:rsidR="0094792F">
        <w:rPr>
          <w:rFonts w:eastAsia="함초롬바탕"/>
          <w:i/>
          <w:iCs/>
        </w:rPr>
        <w:t>Rochela</w:t>
      </w:r>
      <w:proofErr w:type="spellEnd"/>
      <w:r w:rsidR="0094792F">
        <w:rPr>
          <w:rFonts w:eastAsia="함초롬바탕"/>
          <w:i/>
          <w:iCs/>
        </w:rPr>
        <w:t xml:space="preserve"> Massacre v. Colombia</w:t>
      </w:r>
      <w:r w:rsidR="0094792F">
        <w:rPr>
          <w:rFonts w:eastAsia="함초롬바탕"/>
        </w:rPr>
        <w:t>.</w:t>
      </w:r>
    </w:p>
  </w:footnote>
  <w:footnote w:id="142">
    <w:p w:rsidR="00574A3D" w:rsidRPr="0094792F" w:rsidRDefault="00574A3D" w:rsidP="0094792F">
      <w:pPr>
        <w:pStyle w:val="a4"/>
        <w:rPr>
          <w:rFonts w:hint="eastAsia"/>
        </w:rPr>
      </w:pPr>
      <w:r>
        <w:rPr>
          <w:rStyle w:val="a6"/>
        </w:rPr>
        <w:footnoteRef/>
      </w:r>
      <w:r>
        <w:t xml:space="preserve"> </w:t>
      </w:r>
      <w:r w:rsidR="0094792F">
        <w:rPr>
          <w:rFonts w:eastAsia="함초롬바탕"/>
        </w:rPr>
        <w:t>Available at https://www.oas.org/en/iachr/decisions/pdf/Resolution-3-19-en.pdf.</w:t>
      </w:r>
    </w:p>
  </w:footnote>
  <w:footnote w:id="143">
    <w:p w:rsidR="00574A3D" w:rsidRDefault="00574A3D" w:rsidP="0094792F">
      <w:pPr>
        <w:pStyle w:val="a4"/>
        <w:rPr>
          <w:rFonts w:hint="eastAsia"/>
        </w:rPr>
      </w:pPr>
      <w:r>
        <w:rPr>
          <w:rStyle w:val="a6"/>
        </w:rPr>
        <w:footnoteRef/>
      </w:r>
      <w:r>
        <w:t xml:space="preserve"> </w:t>
      </w:r>
      <w:r w:rsidR="0094792F">
        <w:rPr>
          <w:rFonts w:eastAsia="함초롬바탕"/>
        </w:rPr>
        <w:t>A/HRC/45/45, para. 99.</w:t>
      </w:r>
    </w:p>
  </w:footnote>
  <w:footnote w:id="144">
    <w:p w:rsidR="00574A3D" w:rsidRDefault="00574A3D" w:rsidP="0094792F">
      <w:pPr>
        <w:pStyle w:val="a4"/>
        <w:rPr>
          <w:rFonts w:hint="eastAsia"/>
        </w:rPr>
      </w:pPr>
      <w:r>
        <w:rPr>
          <w:rStyle w:val="a6"/>
        </w:rPr>
        <w:footnoteRef/>
      </w:r>
      <w:r>
        <w:t xml:space="preserve"> </w:t>
      </w:r>
      <w:r w:rsidR="0094792F">
        <w:rPr>
          <w:rFonts w:eastAsia="함초롬바탕"/>
        </w:rPr>
        <w:t>Ibid., paras. 21 and 112.</w:t>
      </w:r>
    </w:p>
  </w:footnote>
  <w:footnote w:id="145">
    <w:p w:rsidR="00574A3D" w:rsidRDefault="00574A3D" w:rsidP="0094792F">
      <w:pPr>
        <w:pStyle w:val="a4"/>
        <w:rPr>
          <w:rFonts w:hint="eastAsia"/>
        </w:rPr>
      </w:pPr>
      <w:r>
        <w:rPr>
          <w:rStyle w:val="a6"/>
        </w:rPr>
        <w:footnoteRef/>
      </w:r>
      <w:r>
        <w:t xml:space="preserve"> </w:t>
      </w:r>
      <w:r w:rsidR="0094792F">
        <w:rPr>
          <w:rFonts w:eastAsia="함초롬바탕"/>
        </w:rPr>
        <w:t>bid., paras. 22, 36, 37 and 107.</w:t>
      </w:r>
    </w:p>
  </w:footnote>
  <w:footnote w:id="146">
    <w:p w:rsidR="00574A3D" w:rsidRDefault="00574A3D" w:rsidP="0094792F">
      <w:pPr>
        <w:pStyle w:val="a4"/>
        <w:rPr>
          <w:rFonts w:hint="eastAsia"/>
        </w:rPr>
      </w:pPr>
      <w:r>
        <w:rPr>
          <w:rStyle w:val="a6"/>
        </w:rPr>
        <w:footnoteRef/>
      </w:r>
      <w:r>
        <w:t xml:space="preserve"> </w:t>
      </w:r>
      <w:r w:rsidR="0094792F">
        <w:rPr>
          <w:rFonts w:eastAsia="함초롬바탕"/>
        </w:rPr>
        <w:t>Ibid., para. 105.</w:t>
      </w:r>
    </w:p>
  </w:footnote>
  <w:footnote w:id="147">
    <w:p w:rsidR="00574A3D" w:rsidRDefault="00574A3D" w:rsidP="0094792F">
      <w:pPr>
        <w:pStyle w:val="a4"/>
        <w:rPr>
          <w:rFonts w:hint="eastAsia"/>
        </w:rPr>
      </w:pPr>
      <w:r>
        <w:rPr>
          <w:rStyle w:val="a6"/>
        </w:rPr>
        <w:footnoteRef/>
      </w:r>
      <w:r>
        <w:t xml:space="preserve"> </w:t>
      </w:r>
      <w:r w:rsidR="0094792F">
        <w:rPr>
          <w:rFonts w:eastAsia="함초롬바탕"/>
        </w:rPr>
        <w:t>Ibid., para. 16.</w:t>
      </w:r>
    </w:p>
  </w:footnote>
  <w:footnote w:id="148">
    <w:p w:rsidR="00574A3D" w:rsidRDefault="00574A3D" w:rsidP="0094792F">
      <w:pPr>
        <w:pStyle w:val="a4"/>
        <w:rPr>
          <w:rFonts w:hint="eastAsia"/>
        </w:rPr>
      </w:pPr>
      <w:r>
        <w:rPr>
          <w:rStyle w:val="a6"/>
        </w:rPr>
        <w:footnoteRef/>
      </w:r>
      <w:r>
        <w:t xml:space="preserve"> </w:t>
      </w:r>
      <w:r w:rsidR="0094792F">
        <w:rPr>
          <w:rFonts w:eastAsia="함초롬바탕"/>
        </w:rPr>
        <w:t>Ibid., paras. 103, 104 and 111.</w:t>
      </w:r>
    </w:p>
  </w:footnote>
  <w:footnote w:id="149">
    <w:p w:rsidR="00574A3D" w:rsidRDefault="00574A3D" w:rsidP="0094792F">
      <w:pPr>
        <w:pStyle w:val="a4"/>
        <w:rPr>
          <w:rFonts w:hint="eastAsia"/>
        </w:rPr>
      </w:pPr>
      <w:r>
        <w:rPr>
          <w:rStyle w:val="a6"/>
        </w:rPr>
        <w:footnoteRef/>
      </w:r>
      <w:r>
        <w:t xml:space="preserve"> </w:t>
      </w:r>
      <w:r w:rsidR="0094792F">
        <w:rPr>
          <w:rFonts w:eastAsia="함초롬바탕"/>
        </w:rPr>
        <w:t>A/HRC/22/45 and A/HRC/22/45/Corr.1, para. 64; and A/HRC/16/48/Add.1, paras. 48 and 84 (g).</w:t>
      </w:r>
    </w:p>
  </w:footnote>
  <w:footnote w:id="150">
    <w:p w:rsidR="00574A3D" w:rsidRPr="0094792F" w:rsidRDefault="00574A3D" w:rsidP="0094792F">
      <w:pPr>
        <w:pStyle w:val="a4"/>
        <w:rPr>
          <w:rFonts w:hint="eastAsia"/>
        </w:rPr>
      </w:pPr>
      <w:r>
        <w:rPr>
          <w:rStyle w:val="a6"/>
        </w:rPr>
        <w:footnoteRef/>
      </w:r>
      <w:r>
        <w:t xml:space="preserve"> </w:t>
      </w:r>
      <w:r w:rsidR="0094792F">
        <w:rPr>
          <w:rFonts w:eastAsia="함초롬바탕"/>
        </w:rPr>
        <w:t xml:space="preserve">A/HRC/45/45, para. 40, citing OHCHR, </w:t>
      </w:r>
      <w:r w:rsidR="0094792F">
        <w:rPr>
          <w:rFonts w:eastAsia="함초롬바탕"/>
          <w:i/>
          <w:iCs/>
        </w:rPr>
        <w:t>Report of the Mapping Exercise Documenting the Most Serious Violations of Human Rights and International Humanitarian Law Committed within the Territory of the Democratic Republic of the Congo between March 1993 and June 2003</w:t>
      </w:r>
      <w:r w:rsidR="0094792F">
        <w:rPr>
          <w:rFonts w:eastAsia="함초롬바탕"/>
        </w:rPr>
        <w:t xml:space="preserve"> (August 2010).</w:t>
      </w:r>
    </w:p>
  </w:footnote>
  <w:footnote w:id="151">
    <w:p w:rsidR="00574A3D" w:rsidRDefault="00574A3D" w:rsidP="0094792F">
      <w:pPr>
        <w:pStyle w:val="a4"/>
        <w:rPr>
          <w:rFonts w:hint="eastAsia"/>
        </w:rPr>
      </w:pPr>
      <w:r>
        <w:rPr>
          <w:rStyle w:val="a6"/>
        </w:rPr>
        <w:footnoteRef/>
      </w:r>
      <w:r>
        <w:t xml:space="preserve"> </w:t>
      </w:r>
      <w:r w:rsidR="0094792F">
        <w:rPr>
          <w:rFonts w:eastAsia="함초롬바탕"/>
        </w:rPr>
        <w:t>A/HRC/45/45, paras. 40, 41, 78 and 79.</w:t>
      </w:r>
    </w:p>
  </w:footnote>
  <w:footnote w:id="152">
    <w:p w:rsidR="00574A3D" w:rsidRDefault="00574A3D" w:rsidP="0094792F">
      <w:pPr>
        <w:pStyle w:val="a4"/>
        <w:rPr>
          <w:rFonts w:hint="eastAsia"/>
        </w:rPr>
      </w:pPr>
      <w:r>
        <w:rPr>
          <w:rStyle w:val="a6"/>
        </w:rPr>
        <w:footnoteRef/>
      </w:r>
      <w:r>
        <w:t xml:space="preserve"> </w:t>
      </w:r>
      <w:r w:rsidR="0094792F">
        <w:rPr>
          <w:rFonts w:eastAsia="함초롬바탕"/>
        </w:rPr>
        <w:t>Ibid., paras. 108 and 109.</w:t>
      </w:r>
    </w:p>
  </w:footnote>
  <w:footnote w:id="153">
    <w:p w:rsidR="00574A3D" w:rsidRDefault="00574A3D" w:rsidP="0094792F">
      <w:pPr>
        <w:pStyle w:val="a4"/>
        <w:rPr>
          <w:rFonts w:hint="eastAsia"/>
        </w:rPr>
      </w:pPr>
      <w:r>
        <w:rPr>
          <w:rStyle w:val="a6"/>
        </w:rPr>
        <w:footnoteRef/>
      </w:r>
      <w:r>
        <w:t xml:space="preserve"> </w:t>
      </w:r>
      <w:r w:rsidR="0094792F">
        <w:rPr>
          <w:rFonts w:eastAsia="함초롬바탕"/>
        </w:rPr>
        <w:t>Ibid., paras. 80</w:t>
      </w:r>
      <w:r w:rsidR="0094792F">
        <w:rPr>
          <w:rFonts w:eastAsia="함초롬바탕" w:hAnsi="함초롬바탕" w:cs="함초롬바탕" w:hint="eastAsia"/>
        </w:rPr>
        <w:t>–</w:t>
      </w:r>
      <w:r w:rsidR="0094792F">
        <w:rPr>
          <w:rFonts w:eastAsia="함초롬바탕"/>
        </w:rPr>
        <w:t xml:space="preserve">84; European Court of Human Rights, </w:t>
      </w:r>
      <w:r w:rsidR="0094792F">
        <w:rPr>
          <w:rFonts w:eastAsia="함초롬바탕"/>
          <w:i/>
          <w:iCs/>
        </w:rPr>
        <w:t>Norwood v. the United Kingdom</w:t>
      </w:r>
      <w:r w:rsidR="0094792F">
        <w:rPr>
          <w:rFonts w:eastAsia="함초롬바탕"/>
        </w:rPr>
        <w:t xml:space="preserve">, Application No. 23131/03, Decision on Admissibility, 16 November 2004; Committee on the Elimination of Racial Discrimination, general recommendation No. 35 (2013); and International Criminal Tribunal for Rwanda, </w:t>
      </w:r>
      <w:r w:rsidR="0094792F">
        <w:rPr>
          <w:rFonts w:eastAsia="함초롬바탕"/>
          <w:i/>
          <w:iCs/>
        </w:rPr>
        <w:t xml:space="preserve">Prosecutor v. </w:t>
      </w:r>
      <w:proofErr w:type="spellStart"/>
      <w:r w:rsidR="0094792F">
        <w:rPr>
          <w:rFonts w:eastAsia="함초롬바탕"/>
          <w:i/>
          <w:iCs/>
        </w:rPr>
        <w:t>Nahimana</w:t>
      </w:r>
      <w:proofErr w:type="spellEnd"/>
      <w:r w:rsidR="0094792F">
        <w:rPr>
          <w:rFonts w:eastAsia="함초롬바탕"/>
          <w:i/>
          <w:iCs/>
        </w:rPr>
        <w:t xml:space="preserve">, </w:t>
      </w:r>
      <w:proofErr w:type="spellStart"/>
      <w:r w:rsidR="0094792F">
        <w:rPr>
          <w:rFonts w:eastAsia="함초롬바탕"/>
          <w:i/>
          <w:iCs/>
        </w:rPr>
        <w:t>Barayagwiza</w:t>
      </w:r>
      <w:proofErr w:type="spellEnd"/>
      <w:r w:rsidR="0094792F">
        <w:rPr>
          <w:rFonts w:eastAsia="함초롬바탕"/>
          <w:i/>
          <w:iCs/>
        </w:rPr>
        <w:t xml:space="preserve"> and </w:t>
      </w:r>
      <w:proofErr w:type="spellStart"/>
      <w:r w:rsidR="0094792F">
        <w:rPr>
          <w:rFonts w:eastAsia="함초롬바탕"/>
          <w:i/>
          <w:iCs/>
        </w:rPr>
        <w:t>Ngeze</w:t>
      </w:r>
      <w:proofErr w:type="spellEnd"/>
      <w:r w:rsidR="0094792F">
        <w:rPr>
          <w:rFonts w:eastAsia="함초롬바탕"/>
        </w:rPr>
        <w:t>, case No. ICTR-99-52-T, Judgment, 3 December 2003.</w:t>
      </w:r>
    </w:p>
  </w:footnote>
  <w:footnote w:id="154">
    <w:p w:rsidR="00574A3D" w:rsidRDefault="00574A3D" w:rsidP="0094792F">
      <w:pPr>
        <w:pStyle w:val="a4"/>
        <w:rPr>
          <w:rFonts w:hint="eastAsia"/>
        </w:rPr>
      </w:pPr>
      <w:r>
        <w:rPr>
          <w:rStyle w:val="a6"/>
        </w:rPr>
        <w:footnoteRef/>
      </w:r>
      <w:r>
        <w:t xml:space="preserve"> </w:t>
      </w:r>
      <w:r w:rsidR="0094792F">
        <w:rPr>
          <w:rFonts w:eastAsia="함초롬바탕"/>
        </w:rPr>
        <w:t>A/HRC/22/45 and A/HRC/22/45/Corr.1, para. 64; and A/HRC/22/45/Add.1, para. 50.</w:t>
      </w:r>
    </w:p>
  </w:footnote>
  <w:footnote w:id="155">
    <w:p w:rsidR="00574A3D" w:rsidRDefault="00574A3D" w:rsidP="0094792F">
      <w:pPr>
        <w:pStyle w:val="a4"/>
        <w:rPr>
          <w:rFonts w:hint="eastAsia"/>
        </w:rPr>
      </w:pPr>
      <w:r>
        <w:rPr>
          <w:rStyle w:val="a6"/>
        </w:rPr>
        <w:footnoteRef/>
      </w:r>
      <w:r>
        <w:t xml:space="preserve"> </w:t>
      </w:r>
      <w:r w:rsidR="0094792F">
        <w:rPr>
          <w:rFonts w:eastAsia="함초롬바탕"/>
        </w:rPr>
        <w:t>Updated set of principles, principle 3; and A/HRC/45/45, para. 76.</w:t>
      </w:r>
    </w:p>
  </w:footnote>
  <w:footnote w:id="156">
    <w:p w:rsidR="00574A3D" w:rsidRPr="0094792F" w:rsidRDefault="00574A3D" w:rsidP="0094792F">
      <w:pPr>
        <w:pStyle w:val="a4"/>
        <w:rPr>
          <w:rFonts w:hint="eastAsia"/>
        </w:rPr>
      </w:pPr>
      <w:r>
        <w:rPr>
          <w:rStyle w:val="a6"/>
        </w:rPr>
        <w:footnoteRef/>
      </w:r>
      <w:r>
        <w:t xml:space="preserve"> </w:t>
      </w:r>
      <w:r w:rsidR="0094792F">
        <w:rPr>
          <w:rFonts w:eastAsia="함초롬바탕"/>
          <w:i/>
          <w:iCs/>
        </w:rPr>
        <w:t>R</w:t>
      </w:r>
      <w:r w:rsidR="0094792F">
        <w:rPr>
          <w:rFonts w:eastAsia="함초롬바탕"/>
          <w:i/>
          <w:iCs/>
        </w:rPr>
        <w:t>í</w:t>
      </w:r>
      <w:r w:rsidR="0094792F">
        <w:rPr>
          <w:rFonts w:eastAsia="함초롬바탕"/>
          <w:i/>
          <w:iCs/>
        </w:rPr>
        <w:t>o Negro Massacres v. Guatemala</w:t>
      </w:r>
      <w:r w:rsidR="0094792F">
        <w:rPr>
          <w:rFonts w:eastAsia="함초롬바탕"/>
        </w:rPr>
        <w:t>.</w:t>
      </w:r>
    </w:p>
  </w:footnote>
  <w:footnote w:id="157">
    <w:p w:rsidR="00574A3D" w:rsidRDefault="00574A3D" w:rsidP="0094792F">
      <w:pPr>
        <w:pStyle w:val="a4"/>
        <w:rPr>
          <w:rFonts w:hint="eastAsia"/>
        </w:rPr>
      </w:pPr>
      <w:r>
        <w:rPr>
          <w:rStyle w:val="a6"/>
        </w:rPr>
        <w:footnoteRef/>
      </w:r>
      <w:r>
        <w:t xml:space="preserve"> </w:t>
      </w:r>
      <w:r w:rsidR="0094792F">
        <w:rPr>
          <w:rFonts w:eastAsia="함초롬바탕"/>
          <w:i/>
          <w:iCs/>
        </w:rPr>
        <w:t xml:space="preserve">Cepeda Vargas v. Colombia; Village of Los </w:t>
      </w:r>
      <w:proofErr w:type="spellStart"/>
      <w:r w:rsidR="0094792F">
        <w:rPr>
          <w:rFonts w:eastAsia="함초롬바탕"/>
          <w:i/>
          <w:iCs/>
        </w:rPr>
        <w:t>Josefinos</w:t>
      </w:r>
      <w:proofErr w:type="spellEnd"/>
      <w:r w:rsidR="0094792F">
        <w:rPr>
          <w:rFonts w:eastAsia="함초롬바탕"/>
          <w:i/>
          <w:iCs/>
        </w:rPr>
        <w:t xml:space="preserve"> Massacre v. Guatemala</w:t>
      </w:r>
      <w:r w:rsidR="0094792F">
        <w:rPr>
          <w:rFonts w:eastAsia="함초롬바탕"/>
        </w:rPr>
        <w:t xml:space="preserve">, Judgment, 3 November 2021; and </w:t>
      </w:r>
      <w:proofErr w:type="spellStart"/>
      <w:r w:rsidR="0094792F">
        <w:rPr>
          <w:rFonts w:eastAsia="함초롬바탕"/>
          <w:i/>
          <w:iCs/>
        </w:rPr>
        <w:t>Gudiel</w:t>
      </w:r>
      <w:proofErr w:type="spellEnd"/>
      <w:r w:rsidR="0094792F">
        <w:rPr>
          <w:rFonts w:eastAsia="함초롬바탕"/>
          <w:i/>
          <w:iCs/>
        </w:rPr>
        <w:t xml:space="preserve"> </w:t>
      </w:r>
      <w:r w:rsidR="0094792F">
        <w:rPr>
          <w:rFonts w:eastAsia="함초롬바탕"/>
          <w:i/>
          <w:iCs/>
        </w:rPr>
        <w:t>Á</w:t>
      </w:r>
      <w:r w:rsidR="0094792F">
        <w:rPr>
          <w:rFonts w:eastAsia="함초롬바탕"/>
          <w:i/>
          <w:iCs/>
        </w:rPr>
        <w:t>lvarez et al. (</w:t>
      </w:r>
      <w:r w:rsidR="0094792F">
        <w:rPr>
          <w:rFonts w:eastAsia="함초롬바탕"/>
          <w:i/>
          <w:iCs/>
        </w:rPr>
        <w:t>“</w:t>
      </w:r>
      <w:proofErr w:type="spellStart"/>
      <w:r w:rsidR="0094792F">
        <w:rPr>
          <w:rFonts w:eastAsia="함초롬바탕"/>
          <w:i/>
          <w:iCs/>
        </w:rPr>
        <w:t>Diario</w:t>
      </w:r>
      <w:proofErr w:type="spellEnd"/>
      <w:r w:rsidR="0094792F">
        <w:rPr>
          <w:rFonts w:eastAsia="함초롬바탕"/>
          <w:i/>
          <w:iCs/>
        </w:rPr>
        <w:t xml:space="preserve"> </w:t>
      </w:r>
      <w:proofErr w:type="spellStart"/>
      <w:r w:rsidR="0094792F">
        <w:rPr>
          <w:rFonts w:eastAsia="함초롬바탕"/>
          <w:i/>
          <w:iCs/>
        </w:rPr>
        <w:t>Militar</w:t>
      </w:r>
      <w:proofErr w:type="spellEnd"/>
      <w:r w:rsidR="0094792F">
        <w:rPr>
          <w:rFonts w:eastAsia="함초롬바탕"/>
          <w:i/>
          <w:iCs/>
        </w:rPr>
        <w:t>”</w:t>
      </w:r>
      <w:r w:rsidR="0094792F">
        <w:rPr>
          <w:rFonts w:eastAsia="함초롬바탕"/>
          <w:i/>
          <w:iCs/>
        </w:rPr>
        <w:t>) v. Guatemala</w:t>
      </w:r>
      <w:r w:rsidR="0094792F">
        <w:rPr>
          <w:rFonts w:eastAsia="함초롬바탕"/>
        </w:rPr>
        <w:t>, Judgment, 19 August 2013.</w:t>
      </w:r>
    </w:p>
  </w:footnote>
  <w:footnote w:id="158">
    <w:p w:rsidR="00574A3D" w:rsidRDefault="00574A3D" w:rsidP="0094792F">
      <w:pPr>
        <w:pStyle w:val="a4"/>
        <w:rPr>
          <w:rFonts w:hint="eastAsia"/>
        </w:rPr>
      </w:pPr>
      <w:r>
        <w:rPr>
          <w:rStyle w:val="a6"/>
        </w:rPr>
        <w:footnoteRef/>
      </w:r>
      <w:r>
        <w:t xml:space="preserve"> </w:t>
      </w:r>
      <w:proofErr w:type="spellStart"/>
      <w:r w:rsidR="0094792F">
        <w:rPr>
          <w:rFonts w:eastAsia="함초롬바탕"/>
          <w:i/>
          <w:iCs/>
        </w:rPr>
        <w:t>Deras</w:t>
      </w:r>
      <w:proofErr w:type="spellEnd"/>
      <w:r w:rsidR="0094792F">
        <w:rPr>
          <w:rFonts w:eastAsia="함초롬바탕"/>
          <w:i/>
          <w:iCs/>
        </w:rPr>
        <w:t xml:space="preserve"> Garc</w:t>
      </w:r>
      <w:r w:rsidR="0094792F">
        <w:rPr>
          <w:rFonts w:eastAsia="함초롬바탕"/>
          <w:i/>
          <w:iCs/>
        </w:rPr>
        <w:t>í</w:t>
      </w:r>
      <w:r w:rsidR="0094792F">
        <w:rPr>
          <w:rFonts w:eastAsia="함초롬바탕"/>
          <w:i/>
          <w:iCs/>
        </w:rPr>
        <w:t>a et al. v. Honduras</w:t>
      </w:r>
      <w:r w:rsidR="0094792F">
        <w:rPr>
          <w:rFonts w:eastAsia="함초롬바탕"/>
        </w:rPr>
        <w:t>, para. 110.</w:t>
      </w:r>
    </w:p>
  </w:footnote>
  <w:footnote w:id="159">
    <w:p w:rsidR="00574A3D" w:rsidRDefault="00574A3D" w:rsidP="0094792F">
      <w:pPr>
        <w:pStyle w:val="a4"/>
        <w:rPr>
          <w:rFonts w:hint="eastAsia"/>
        </w:rPr>
      </w:pPr>
      <w:r>
        <w:rPr>
          <w:rStyle w:val="a6"/>
        </w:rPr>
        <w:footnoteRef/>
      </w:r>
      <w:r>
        <w:t xml:space="preserve"> </w:t>
      </w:r>
      <w:r w:rsidR="0094792F">
        <w:rPr>
          <w:rFonts w:eastAsia="함초롬바탕"/>
        </w:rPr>
        <w:t>Ibid., para. 116.</w:t>
      </w:r>
    </w:p>
  </w:footnote>
  <w:footnote w:id="160">
    <w:p w:rsidR="00574A3D" w:rsidRPr="0094792F" w:rsidRDefault="00574A3D" w:rsidP="0094792F">
      <w:pPr>
        <w:pStyle w:val="a4"/>
        <w:rPr>
          <w:rFonts w:hint="eastAsia"/>
        </w:rPr>
      </w:pPr>
      <w:r>
        <w:rPr>
          <w:rStyle w:val="a6"/>
        </w:rPr>
        <w:footnoteRef/>
      </w:r>
      <w:r>
        <w:t xml:space="preserve"> </w:t>
      </w:r>
      <w:r w:rsidR="0094792F">
        <w:rPr>
          <w:rFonts w:eastAsia="함초롬바탕"/>
          <w:i/>
          <w:iCs/>
        </w:rPr>
        <w:t>“</w:t>
      </w:r>
      <w:r w:rsidR="0094792F">
        <w:rPr>
          <w:rFonts w:eastAsia="함초롬바탕"/>
          <w:i/>
          <w:iCs/>
        </w:rPr>
        <w:t>Street Children</w:t>
      </w:r>
      <w:r w:rsidR="0094792F">
        <w:rPr>
          <w:rFonts w:eastAsia="함초롬바탕"/>
          <w:i/>
          <w:iCs/>
        </w:rPr>
        <w:t>”</w:t>
      </w:r>
      <w:r w:rsidR="0094792F">
        <w:rPr>
          <w:rFonts w:eastAsia="함초롬바탕"/>
          <w:i/>
          <w:iCs/>
        </w:rPr>
        <w:t xml:space="preserve"> (</w:t>
      </w:r>
      <w:proofErr w:type="spellStart"/>
      <w:r w:rsidR="0094792F">
        <w:rPr>
          <w:rFonts w:eastAsia="함초롬바탕"/>
          <w:i/>
          <w:iCs/>
        </w:rPr>
        <w:t>Villagr</w:t>
      </w:r>
      <w:r w:rsidR="0094792F">
        <w:rPr>
          <w:rFonts w:eastAsia="함초롬바탕"/>
          <w:i/>
          <w:iCs/>
        </w:rPr>
        <w:t>á</w:t>
      </w:r>
      <w:r w:rsidR="0094792F">
        <w:rPr>
          <w:rFonts w:eastAsia="함초롬바탕"/>
          <w:i/>
          <w:iCs/>
        </w:rPr>
        <w:t>n</w:t>
      </w:r>
      <w:proofErr w:type="spellEnd"/>
      <w:r w:rsidR="0094792F">
        <w:rPr>
          <w:rFonts w:eastAsia="함초롬바탕"/>
          <w:i/>
          <w:iCs/>
        </w:rPr>
        <w:t xml:space="preserve"> Morales et al.) v. Guatemala</w:t>
      </w:r>
      <w:r w:rsidR="0094792F">
        <w:rPr>
          <w:rFonts w:eastAsia="함초롬바탕"/>
        </w:rPr>
        <w:t xml:space="preserve"> (2001).</w:t>
      </w:r>
    </w:p>
  </w:footnote>
  <w:footnote w:id="161">
    <w:p w:rsidR="00574A3D" w:rsidRDefault="00574A3D" w:rsidP="0094792F">
      <w:pPr>
        <w:pStyle w:val="a4"/>
        <w:rPr>
          <w:rFonts w:hint="eastAsia"/>
        </w:rPr>
      </w:pPr>
      <w:r>
        <w:rPr>
          <w:rStyle w:val="a6"/>
        </w:rPr>
        <w:footnoteRef/>
      </w:r>
      <w:r>
        <w:t xml:space="preserve"> </w:t>
      </w:r>
      <w:proofErr w:type="spellStart"/>
      <w:r w:rsidR="0094792F">
        <w:rPr>
          <w:rFonts w:eastAsia="함초롬바탕"/>
          <w:i/>
          <w:iCs/>
        </w:rPr>
        <w:t>Ituango</w:t>
      </w:r>
      <w:proofErr w:type="spellEnd"/>
      <w:r w:rsidR="0094792F">
        <w:rPr>
          <w:rFonts w:eastAsia="함초롬바탕"/>
          <w:i/>
          <w:iCs/>
        </w:rPr>
        <w:t xml:space="preserve"> Massacres v. Colombia.</w:t>
      </w:r>
    </w:p>
  </w:footnote>
  <w:footnote w:id="162">
    <w:p w:rsidR="00574A3D" w:rsidRPr="0094792F" w:rsidRDefault="00574A3D" w:rsidP="0094792F">
      <w:pPr>
        <w:pStyle w:val="a4"/>
        <w:rPr>
          <w:rFonts w:hint="eastAsia"/>
        </w:rPr>
      </w:pPr>
      <w:r>
        <w:rPr>
          <w:rStyle w:val="a6"/>
        </w:rPr>
        <w:footnoteRef/>
      </w:r>
      <w:r>
        <w:t xml:space="preserve"> </w:t>
      </w:r>
      <w:r w:rsidR="0094792F">
        <w:rPr>
          <w:rFonts w:eastAsia="함초롬바탕"/>
        </w:rPr>
        <w:t>For example, Argentina, Croatia, El Salvador, Hungary, the Republic of Korea and Serbia.</w:t>
      </w:r>
    </w:p>
  </w:footnote>
  <w:footnote w:id="163">
    <w:p w:rsidR="00574A3D" w:rsidRPr="0094792F" w:rsidRDefault="00574A3D" w:rsidP="0094792F">
      <w:pPr>
        <w:pStyle w:val="a4"/>
        <w:rPr>
          <w:rFonts w:hint="eastAsia"/>
        </w:rPr>
      </w:pPr>
      <w:r>
        <w:rPr>
          <w:rStyle w:val="a6"/>
        </w:rPr>
        <w:footnoteRef/>
      </w:r>
      <w:r>
        <w:t xml:space="preserve"> </w:t>
      </w:r>
      <w:r w:rsidR="0094792F">
        <w:rPr>
          <w:rFonts w:eastAsia="함초롬바탕"/>
        </w:rPr>
        <w:t>For example, Argentina, Colombia, El Salvador and Lebanon.</w:t>
      </w:r>
    </w:p>
  </w:footnote>
  <w:footnote w:id="164">
    <w:p w:rsidR="00574A3D" w:rsidRPr="0094792F" w:rsidRDefault="00574A3D" w:rsidP="0094792F">
      <w:pPr>
        <w:pStyle w:val="a4"/>
        <w:rPr>
          <w:rFonts w:hint="eastAsia"/>
        </w:rPr>
      </w:pPr>
      <w:r>
        <w:rPr>
          <w:rStyle w:val="a6"/>
        </w:rPr>
        <w:footnoteRef/>
      </w:r>
      <w:r>
        <w:t xml:space="preserve"> </w:t>
      </w:r>
      <w:r w:rsidR="0094792F">
        <w:rPr>
          <w:rFonts w:eastAsia="함초롬바탕"/>
        </w:rPr>
        <w:t>For example, in Germany, Lebanon and Poland.</w:t>
      </w:r>
    </w:p>
  </w:footnote>
  <w:footnote w:id="165">
    <w:p w:rsidR="00574A3D" w:rsidRDefault="00574A3D" w:rsidP="0094792F">
      <w:pPr>
        <w:pStyle w:val="a4"/>
        <w:rPr>
          <w:rFonts w:hint="eastAsia"/>
        </w:rPr>
      </w:pPr>
      <w:r>
        <w:rPr>
          <w:rStyle w:val="a6"/>
        </w:rPr>
        <w:footnoteRef/>
      </w:r>
      <w:r>
        <w:t xml:space="preserve"> </w:t>
      </w:r>
      <w:r w:rsidR="0094792F">
        <w:rPr>
          <w:rFonts w:eastAsia="함초롬바탕"/>
        </w:rPr>
        <w:t xml:space="preserve">Spain removed Francoist symbology, and El Salvador renamed a military brigade that was named after the colonel responsible for the El </w:t>
      </w:r>
      <w:proofErr w:type="spellStart"/>
      <w:r w:rsidR="0094792F">
        <w:rPr>
          <w:rFonts w:eastAsia="함초롬바탕"/>
        </w:rPr>
        <w:t>Mozote</w:t>
      </w:r>
      <w:proofErr w:type="spellEnd"/>
      <w:r w:rsidR="0094792F">
        <w:rPr>
          <w:rFonts w:eastAsia="함초롬바탕"/>
        </w:rPr>
        <w:t xml:space="preserve"> massacre.</w:t>
      </w:r>
    </w:p>
  </w:footnote>
  <w:footnote w:id="166">
    <w:p w:rsidR="00574A3D" w:rsidRDefault="00574A3D" w:rsidP="0094792F">
      <w:pPr>
        <w:pStyle w:val="a4"/>
        <w:rPr>
          <w:rFonts w:hint="eastAsia"/>
        </w:rPr>
      </w:pPr>
      <w:r>
        <w:rPr>
          <w:rStyle w:val="a6"/>
        </w:rPr>
        <w:footnoteRef/>
      </w:r>
      <w:r>
        <w:t xml:space="preserve"> </w:t>
      </w:r>
      <w:r w:rsidR="0094792F">
        <w:rPr>
          <w:rFonts w:eastAsia="함초롬바탕"/>
        </w:rPr>
        <w:t>For example, Argentina and Germany.</w:t>
      </w:r>
    </w:p>
  </w:footnote>
  <w:footnote w:id="167">
    <w:p w:rsidR="00574A3D" w:rsidRDefault="00574A3D" w:rsidP="002230D3">
      <w:pPr>
        <w:pStyle w:val="a4"/>
        <w:rPr>
          <w:rFonts w:hint="eastAsia"/>
        </w:rPr>
      </w:pPr>
      <w:r>
        <w:rPr>
          <w:rStyle w:val="a6"/>
        </w:rPr>
        <w:footnoteRef/>
      </w:r>
      <w:r>
        <w:t xml:space="preserve"> </w:t>
      </w:r>
      <w:r w:rsidR="0094792F">
        <w:rPr>
          <w:rFonts w:eastAsia="함초롬바탕"/>
        </w:rPr>
        <w:t>A/HRC/45/45, paras. 59 and 32.</w:t>
      </w:r>
    </w:p>
  </w:footnote>
  <w:footnote w:id="168">
    <w:p w:rsidR="00574A3D" w:rsidRPr="002230D3" w:rsidRDefault="00574A3D" w:rsidP="002230D3">
      <w:pPr>
        <w:pStyle w:val="a4"/>
        <w:rPr>
          <w:rFonts w:hint="eastAsia"/>
        </w:rPr>
      </w:pPr>
      <w:r>
        <w:rPr>
          <w:rStyle w:val="a6"/>
        </w:rPr>
        <w:footnoteRef/>
      </w:r>
      <w:r>
        <w:t xml:space="preserve"> </w:t>
      </w:r>
      <w:r w:rsidR="002230D3">
        <w:rPr>
          <w:rFonts w:eastAsia="함초롬바탕"/>
        </w:rPr>
        <w:t>The National Commission on Enforced Disappearance of Persons helped forge a common understanding of State terrorism under the military dictatorship.</w:t>
      </w:r>
    </w:p>
  </w:footnote>
  <w:footnote w:id="169">
    <w:p w:rsidR="00574A3D" w:rsidRPr="002230D3" w:rsidRDefault="00574A3D" w:rsidP="002230D3">
      <w:pPr>
        <w:pStyle w:val="a4"/>
        <w:rPr>
          <w:rFonts w:hint="eastAsia"/>
        </w:rPr>
      </w:pPr>
      <w:r>
        <w:rPr>
          <w:rStyle w:val="a6"/>
        </w:rPr>
        <w:footnoteRef/>
      </w:r>
      <w:r>
        <w:t xml:space="preserve"> </w:t>
      </w:r>
      <w:r w:rsidR="002230D3">
        <w:rPr>
          <w:rFonts w:eastAsia="함초롬바탕"/>
        </w:rPr>
        <w:t>The Truth and Reconciliation Commission promoted reflection on the legacy of residential schools for Indigenous children.</w:t>
      </w:r>
    </w:p>
  </w:footnote>
  <w:footnote w:id="170">
    <w:p w:rsidR="00574A3D" w:rsidRPr="002230D3" w:rsidRDefault="00574A3D" w:rsidP="002230D3">
      <w:pPr>
        <w:pStyle w:val="a4"/>
        <w:rPr>
          <w:rFonts w:hint="eastAsia"/>
        </w:rPr>
      </w:pPr>
      <w:r>
        <w:rPr>
          <w:rStyle w:val="a6"/>
        </w:rPr>
        <w:footnoteRef/>
      </w:r>
      <w:r>
        <w:t xml:space="preserve"> </w:t>
      </w:r>
      <w:r w:rsidR="002230D3">
        <w:rPr>
          <w:rFonts w:eastAsia="함초롬바탕"/>
        </w:rPr>
        <w:t>The Truth and Reconciliation Commission launched a national cross-disciplinary project that triggered a broad reflection on the country</w:t>
      </w:r>
      <w:r w:rsidR="002230D3">
        <w:rPr>
          <w:rFonts w:eastAsia="함초롬바탕"/>
        </w:rPr>
        <w:t>’</w:t>
      </w:r>
      <w:r w:rsidR="002230D3">
        <w:rPr>
          <w:rFonts w:eastAsia="함초롬바탕"/>
        </w:rPr>
        <w:t>s vision for the future.</w:t>
      </w:r>
    </w:p>
  </w:footnote>
  <w:footnote w:id="171">
    <w:p w:rsidR="00574A3D" w:rsidRPr="002230D3" w:rsidRDefault="00574A3D" w:rsidP="002230D3">
      <w:pPr>
        <w:pStyle w:val="a4"/>
        <w:rPr>
          <w:rFonts w:hint="eastAsia"/>
        </w:rPr>
      </w:pPr>
      <w:r>
        <w:rPr>
          <w:rStyle w:val="a6"/>
        </w:rPr>
        <w:footnoteRef/>
      </w:r>
      <w:r>
        <w:t xml:space="preserve"> </w:t>
      </w:r>
      <w:r w:rsidR="002230D3">
        <w:rPr>
          <w:rFonts w:eastAsia="함초롬바탕"/>
        </w:rPr>
        <w:t>The Office of the Ombudsman referred to the existence of over 40 memorialization sites.</w:t>
      </w:r>
    </w:p>
  </w:footnote>
  <w:footnote w:id="172">
    <w:p w:rsidR="00574A3D" w:rsidRPr="002230D3" w:rsidRDefault="00574A3D" w:rsidP="002230D3">
      <w:pPr>
        <w:pStyle w:val="a4"/>
        <w:rPr>
          <w:rFonts w:hint="eastAsia"/>
        </w:rPr>
      </w:pPr>
      <w:r>
        <w:rPr>
          <w:rStyle w:val="a6"/>
        </w:rPr>
        <w:footnoteRef/>
      </w:r>
      <w:r>
        <w:t xml:space="preserve"> </w:t>
      </w:r>
      <w:r w:rsidR="002230D3">
        <w:rPr>
          <w:rFonts w:eastAsia="함초롬바탕"/>
        </w:rPr>
        <w:t>Ecuador has constructed three sites of memory, in the provinces of Esmeraldas, Guayas and Manab</w:t>
      </w:r>
      <w:r w:rsidR="002230D3">
        <w:rPr>
          <w:rFonts w:eastAsia="함초롬바탕"/>
        </w:rPr>
        <w:t>í</w:t>
      </w:r>
      <w:r w:rsidR="002230D3">
        <w:rPr>
          <w:rFonts w:eastAsia="함초롬바탕"/>
        </w:rPr>
        <w:t>, but has failed to construct the Museum of Memory ordered in the law on reparation for victims.</w:t>
      </w:r>
    </w:p>
  </w:footnote>
  <w:footnote w:id="173">
    <w:p w:rsidR="00574A3D" w:rsidRPr="002230D3" w:rsidRDefault="00574A3D" w:rsidP="002230D3">
      <w:pPr>
        <w:pStyle w:val="a4"/>
        <w:rPr>
          <w:rFonts w:hint="eastAsia"/>
        </w:rPr>
      </w:pPr>
      <w:r>
        <w:rPr>
          <w:rStyle w:val="a6"/>
        </w:rPr>
        <w:footnoteRef/>
      </w:r>
      <w:r>
        <w:t xml:space="preserve"> </w:t>
      </w:r>
      <w:r w:rsidR="002230D3">
        <w:rPr>
          <w:rFonts w:eastAsia="함초롬바탕"/>
        </w:rPr>
        <w:t xml:space="preserve">El Salvador declared four sites of massacres (El </w:t>
      </w:r>
      <w:proofErr w:type="spellStart"/>
      <w:r w:rsidR="002230D3">
        <w:rPr>
          <w:rFonts w:eastAsia="함초롬바탕"/>
        </w:rPr>
        <w:t>Calabozo</w:t>
      </w:r>
      <w:proofErr w:type="spellEnd"/>
      <w:r w:rsidR="002230D3">
        <w:rPr>
          <w:rFonts w:eastAsia="함초롬바탕"/>
        </w:rPr>
        <w:t xml:space="preserve">, Bermuda, Santa Cruz and </w:t>
      </w:r>
      <w:proofErr w:type="spellStart"/>
      <w:r w:rsidR="002230D3">
        <w:rPr>
          <w:rFonts w:eastAsia="함초롬바탕"/>
        </w:rPr>
        <w:t>Sisiguayo</w:t>
      </w:r>
      <w:proofErr w:type="spellEnd"/>
      <w:r w:rsidR="002230D3">
        <w:rPr>
          <w:rFonts w:eastAsia="함초롬바탕"/>
        </w:rPr>
        <w:t xml:space="preserve">) as cultural property and has made progress towards making similar declarations for the sites of La </w:t>
      </w:r>
      <w:proofErr w:type="spellStart"/>
      <w:r w:rsidR="002230D3">
        <w:rPr>
          <w:rFonts w:eastAsia="함초롬바탕"/>
        </w:rPr>
        <w:t>Quesera</w:t>
      </w:r>
      <w:proofErr w:type="spellEnd"/>
      <w:r w:rsidR="002230D3">
        <w:rPr>
          <w:rFonts w:eastAsia="함초롬바탕"/>
        </w:rPr>
        <w:t xml:space="preserve"> and San Francisco de </w:t>
      </w:r>
      <w:proofErr w:type="spellStart"/>
      <w:r w:rsidR="002230D3">
        <w:rPr>
          <w:rFonts w:eastAsia="함초롬바탕"/>
        </w:rPr>
        <w:t>Ayutuxtepeque</w:t>
      </w:r>
      <w:proofErr w:type="spellEnd"/>
      <w:r w:rsidR="002230D3">
        <w:rPr>
          <w:rFonts w:eastAsia="함초롬바탕"/>
        </w:rPr>
        <w:t>. It also installed commemorative plaques in schools in Moraz</w:t>
      </w:r>
      <w:r w:rsidR="002230D3">
        <w:rPr>
          <w:rFonts w:eastAsia="함초롬바탕"/>
        </w:rPr>
        <w:t>á</w:t>
      </w:r>
      <w:r w:rsidR="002230D3">
        <w:rPr>
          <w:rFonts w:eastAsia="함초롬바탕"/>
        </w:rPr>
        <w:t>n, San Vicente and Santa Ana.</w:t>
      </w:r>
    </w:p>
  </w:footnote>
  <w:footnote w:id="174">
    <w:p w:rsidR="00574A3D" w:rsidRPr="002230D3" w:rsidRDefault="00574A3D" w:rsidP="002230D3">
      <w:pPr>
        <w:pStyle w:val="a4"/>
        <w:rPr>
          <w:rFonts w:hint="eastAsia"/>
        </w:rPr>
      </w:pPr>
      <w:r>
        <w:rPr>
          <w:rStyle w:val="a6"/>
        </w:rPr>
        <w:footnoteRef/>
      </w:r>
      <w:r>
        <w:t xml:space="preserve"> </w:t>
      </w:r>
      <w:r w:rsidR="002230D3">
        <w:rPr>
          <w:rFonts w:eastAsia="함초롬바탕"/>
        </w:rPr>
        <w:t xml:space="preserve">The State has funded memorials in </w:t>
      </w:r>
      <w:proofErr w:type="spellStart"/>
      <w:r w:rsidR="002230D3">
        <w:rPr>
          <w:rFonts w:eastAsia="함초롬바탕"/>
        </w:rPr>
        <w:t>Belturbet</w:t>
      </w:r>
      <w:proofErr w:type="spellEnd"/>
      <w:r w:rsidR="002230D3">
        <w:rPr>
          <w:rFonts w:eastAsia="함초롬바탕"/>
        </w:rPr>
        <w:t xml:space="preserve">, </w:t>
      </w:r>
      <w:proofErr w:type="spellStart"/>
      <w:r w:rsidR="002230D3">
        <w:rPr>
          <w:rFonts w:eastAsia="함초롬바탕"/>
        </w:rPr>
        <w:t>Castleblayney</w:t>
      </w:r>
      <w:proofErr w:type="spellEnd"/>
      <w:r w:rsidR="002230D3">
        <w:rPr>
          <w:rFonts w:eastAsia="함초롬바탕"/>
        </w:rPr>
        <w:t>, Dublin and Dundalk, in Ireland, and Omagh, in the United Kingdom of Great Britain and Northern Ireland, to memorialize victims killed in bombings and other circumstances and has placed plaques at the sites of conflict-related incidents.</w:t>
      </w:r>
    </w:p>
  </w:footnote>
  <w:footnote w:id="175">
    <w:p w:rsidR="00574A3D" w:rsidRPr="002230D3" w:rsidRDefault="00574A3D" w:rsidP="002230D3">
      <w:pPr>
        <w:pStyle w:val="a4"/>
        <w:rPr>
          <w:rFonts w:hint="eastAsia"/>
        </w:rPr>
      </w:pPr>
      <w:r>
        <w:rPr>
          <w:rStyle w:val="a6"/>
        </w:rPr>
        <w:footnoteRef/>
      </w:r>
      <w:r>
        <w:t xml:space="preserve"> </w:t>
      </w:r>
      <w:r w:rsidR="002230D3">
        <w:rPr>
          <w:rFonts w:eastAsia="함초롬바탕"/>
        </w:rPr>
        <w:t xml:space="preserve">The State placed a memorial in </w:t>
      </w:r>
      <w:proofErr w:type="spellStart"/>
      <w:r w:rsidR="002230D3">
        <w:rPr>
          <w:rFonts w:eastAsia="함초롬바탕"/>
        </w:rPr>
        <w:t>Ta</w:t>
      </w:r>
      <w:r w:rsidR="002230D3">
        <w:rPr>
          <w:rFonts w:eastAsia="함초롬바탕"/>
        </w:rPr>
        <w:t>š</w:t>
      </w:r>
      <w:r w:rsidR="002230D3">
        <w:rPr>
          <w:rFonts w:eastAsia="함초롬바탕"/>
        </w:rPr>
        <w:t>majdan</w:t>
      </w:r>
      <w:proofErr w:type="spellEnd"/>
      <w:r w:rsidR="002230D3">
        <w:rPr>
          <w:rFonts w:eastAsia="함초롬바탕"/>
        </w:rPr>
        <w:t xml:space="preserve"> Park dedicated to persons who went missing or were killed during the conflicts in the territory of the former Yugoslavia.</w:t>
      </w:r>
    </w:p>
  </w:footnote>
  <w:footnote w:id="176">
    <w:p w:rsidR="00574A3D" w:rsidRDefault="00574A3D" w:rsidP="002230D3">
      <w:pPr>
        <w:pStyle w:val="a4"/>
        <w:rPr>
          <w:rFonts w:hint="eastAsia"/>
        </w:rPr>
      </w:pPr>
      <w:r>
        <w:rPr>
          <w:rStyle w:val="a6"/>
        </w:rPr>
        <w:footnoteRef/>
      </w:r>
      <w:r>
        <w:t xml:space="preserve"> </w:t>
      </w:r>
      <w:r w:rsidR="002230D3">
        <w:rPr>
          <w:rFonts w:eastAsia="함초롬바탕"/>
        </w:rPr>
        <w:t xml:space="preserve">Uruguay established a national commission on sites of memory. The commission comprises State authorities, civil society organizations and academic institutions, and involves victims throughout its processes. </w:t>
      </w:r>
    </w:p>
  </w:footnote>
  <w:footnote w:id="177">
    <w:p w:rsidR="00574A3D" w:rsidRDefault="00574A3D" w:rsidP="002230D3">
      <w:pPr>
        <w:pStyle w:val="a4"/>
        <w:rPr>
          <w:rFonts w:hint="eastAsia"/>
        </w:rPr>
      </w:pPr>
      <w:r>
        <w:rPr>
          <w:rStyle w:val="a6"/>
        </w:rPr>
        <w:footnoteRef/>
      </w:r>
      <w:r>
        <w:t xml:space="preserve"> </w:t>
      </w:r>
      <w:r w:rsidR="002230D3">
        <w:rPr>
          <w:rFonts w:eastAsia="함초롬바탕"/>
        </w:rPr>
        <w:t>A/HRC/45/45, para. 21.</w:t>
      </w:r>
    </w:p>
  </w:footnote>
  <w:footnote w:id="178">
    <w:p w:rsidR="00574A3D" w:rsidRDefault="00574A3D" w:rsidP="002230D3">
      <w:pPr>
        <w:pStyle w:val="a4"/>
        <w:rPr>
          <w:rFonts w:hint="eastAsia"/>
        </w:rPr>
      </w:pPr>
      <w:r>
        <w:rPr>
          <w:rStyle w:val="a6"/>
        </w:rPr>
        <w:footnoteRef/>
      </w:r>
      <w:r>
        <w:t xml:space="preserve"> </w:t>
      </w:r>
      <w:r w:rsidR="002230D3">
        <w:rPr>
          <w:rFonts w:eastAsia="함초롬바탕"/>
        </w:rPr>
        <w:t>Ibid., para. 102.</w:t>
      </w:r>
    </w:p>
  </w:footnote>
  <w:footnote w:id="179">
    <w:p w:rsidR="00574A3D" w:rsidRDefault="00574A3D" w:rsidP="002230D3">
      <w:pPr>
        <w:pStyle w:val="a4"/>
        <w:rPr>
          <w:rFonts w:hint="eastAsia"/>
        </w:rPr>
      </w:pPr>
      <w:r>
        <w:rPr>
          <w:rStyle w:val="a6"/>
        </w:rPr>
        <w:footnoteRef/>
      </w:r>
      <w:r>
        <w:t xml:space="preserve"> </w:t>
      </w:r>
      <w:r w:rsidR="002230D3">
        <w:rPr>
          <w:rFonts w:eastAsia="함초롬바탕"/>
        </w:rPr>
        <w:t>Ibid., para. 10.</w:t>
      </w:r>
    </w:p>
  </w:footnote>
  <w:footnote w:id="180">
    <w:p w:rsidR="00574A3D" w:rsidRDefault="00574A3D" w:rsidP="002230D3">
      <w:pPr>
        <w:pStyle w:val="a4"/>
        <w:rPr>
          <w:rFonts w:hint="eastAsia"/>
        </w:rPr>
      </w:pPr>
      <w:r>
        <w:rPr>
          <w:rStyle w:val="a6"/>
        </w:rPr>
        <w:footnoteRef/>
      </w:r>
      <w:r>
        <w:t xml:space="preserve"> </w:t>
      </w:r>
      <w:r w:rsidR="002230D3">
        <w:rPr>
          <w:rFonts w:eastAsia="함초롬바탕"/>
        </w:rPr>
        <w:t>Ibid., paras. 39, 40 and 108.</w:t>
      </w:r>
    </w:p>
  </w:footnote>
  <w:footnote w:id="181">
    <w:p w:rsidR="00574A3D" w:rsidRDefault="00574A3D" w:rsidP="002230D3">
      <w:pPr>
        <w:pStyle w:val="a4"/>
        <w:rPr>
          <w:rFonts w:hint="eastAsia"/>
        </w:rPr>
      </w:pPr>
      <w:r>
        <w:rPr>
          <w:rStyle w:val="a6"/>
        </w:rPr>
        <w:footnoteRef/>
      </w:r>
      <w:r>
        <w:t xml:space="preserve"> </w:t>
      </w:r>
      <w:r w:rsidR="002230D3">
        <w:rPr>
          <w:rFonts w:eastAsia="함초롬바탕"/>
        </w:rPr>
        <w:t>Ibid., para. 31.</w:t>
      </w:r>
    </w:p>
  </w:footnote>
  <w:footnote w:id="182">
    <w:p w:rsidR="00574A3D" w:rsidRDefault="00574A3D" w:rsidP="002230D3">
      <w:pPr>
        <w:pStyle w:val="a4"/>
        <w:rPr>
          <w:rFonts w:hint="eastAsia"/>
        </w:rPr>
      </w:pPr>
      <w:r>
        <w:rPr>
          <w:rStyle w:val="a6"/>
        </w:rPr>
        <w:footnoteRef/>
      </w:r>
      <w:r>
        <w:t xml:space="preserve"> </w:t>
      </w:r>
      <w:r w:rsidR="002230D3">
        <w:rPr>
          <w:rFonts w:eastAsia="함초롬바탕"/>
        </w:rPr>
        <w:t>Ibid., para. 102.</w:t>
      </w:r>
    </w:p>
  </w:footnote>
  <w:footnote w:id="183">
    <w:p w:rsidR="00574A3D" w:rsidRDefault="00574A3D" w:rsidP="002230D3">
      <w:pPr>
        <w:pStyle w:val="a4"/>
        <w:rPr>
          <w:rFonts w:hint="eastAsia"/>
        </w:rPr>
      </w:pPr>
      <w:r>
        <w:rPr>
          <w:rStyle w:val="a6"/>
        </w:rPr>
        <w:footnoteRef/>
      </w:r>
      <w:r>
        <w:t xml:space="preserve"> </w:t>
      </w:r>
      <w:r w:rsidR="002230D3">
        <w:rPr>
          <w:rFonts w:eastAsia="함초롬바탕"/>
        </w:rPr>
        <w:t>Ibid., paras. 20 and 21.</w:t>
      </w:r>
    </w:p>
  </w:footnote>
  <w:footnote w:id="184">
    <w:p w:rsidR="00574A3D" w:rsidRDefault="00574A3D" w:rsidP="002230D3">
      <w:pPr>
        <w:pStyle w:val="a4"/>
        <w:rPr>
          <w:rFonts w:hint="eastAsia"/>
        </w:rPr>
      </w:pPr>
      <w:r>
        <w:rPr>
          <w:rStyle w:val="a6"/>
        </w:rPr>
        <w:footnoteRef/>
      </w:r>
      <w:r>
        <w:t xml:space="preserve"> </w:t>
      </w:r>
      <w:r w:rsidR="002230D3">
        <w:rPr>
          <w:rFonts w:eastAsia="함초롬바탕"/>
        </w:rPr>
        <w:t>Ibid., para. 51.</w:t>
      </w:r>
    </w:p>
  </w:footnote>
  <w:footnote w:id="185">
    <w:p w:rsidR="00574A3D" w:rsidRDefault="00574A3D" w:rsidP="002230D3">
      <w:pPr>
        <w:pStyle w:val="a4"/>
        <w:rPr>
          <w:rFonts w:hint="eastAsia"/>
        </w:rPr>
      </w:pPr>
      <w:r>
        <w:rPr>
          <w:rStyle w:val="a6"/>
        </w:rPr>
        <w:footnoteRef/>
      </w:r>
      <w:r>
        <w:t xml:space="preserve"> </w:t>
      </w:r>
      <w:r w:rsidR="002230D3">
        <w:rPr>
          <w:rFonts w:eastAsia="함초롬바탕"/>
        </w:rPr>
        <w:t>Updated set of principles, principle 35.</w:t>
      </w:r>
    </w:p>
  </w:footnote>
  <w:footnote w:id="186">
    <w:p w:rsidR="00574A3D" w:rsidRDefault="00574A3D" w:rsidP="002230D3">
      <w:pPr>
        <w:pStyle w:val="a4"/>
        <w:rPr>
          <w:rFonts w:hint="eastAsia"/>
        </w:rPr>
      </w:pPr>
      <w:r>
        <w:rPr>
          <w:rStyle w:val="a6"/>
        </w:rPr>
        <w:footnoteRef/>
      </w:r>
      <w:r>
        <w:t xml:space="preserve"> </w:t>
      </w:r>
      <w:r w:rsidR="002230D3">
        <w:rPr>
          <w:rFonts w:eastAsia="함초롬바탕"/>
        </w:rPr>
        <w:t>Ibid.</w:t>
      </w:r>
    </w:p>
  </w:footnote>
  <w:footnote w:id="187">
    <w:p w:rsidR="00574A3D" w:rsidRDefault="00574A3D" w:rsidP="002230D3">
      <w:pPr>
        <w:pStyle w:val="a4"/>
        <w:rPr>
          <w:rFonts w:hint="eastAsia"/>
        </w:rPr>
      </w:pPr>
      <w:r>
        <w:rPr>
          <w:rStyle w:val="a6"/>
        </w:rPr>
        <w:footnoteRef/>
      </w:r>
      <w:r>
        <w:t xml:space="preserve"> </w:t>
      </w:r>
      <w:r w:rsidR="002230D3">
        <w:rPr>
          <w:rFonts w:eastAsia="함초롬바탕"/>
        </w:rPr>
        <w:t>African Commission on Human and Peoples</w:t>
      </w:r>
      <w:r w:rsidR="002230D3">
        <w:rPr>
          <w:rFonts w:eastAsia="함초롬바탕"/>
        </w:rPr>
        <w:t>’</w:t>
      </w:r>
      <w:r w:rsidR="002230D3">
        <w:rPr>
          <w:rFonts w:eastAsia="함초롬바탕"/>
        </w:rPr>
        <w:t xml:space="preserve"> Rights, general comment No. 4 (2017), para. 45.</w:t>
      </w:r>
    </w:p>
  </w:footnote>
  <w:footnote w:id="188">
    <w:p w:rsidR="00574A3D" w:rsidRPr="002230D3" w:rsidRDefault="00574A3D" w:rsidP="002230D3">
      <w:pPr>
        <w:pStyle w:val="a4"/>
        <w:rPr>
          <w:rFonts w:hint="eastAsia"/>
        </w:rPr>
      </w:pPr>
      <w:r>
        <w:rPr>
          <w:rStyle w:val="a6"/>
        </w:rPr>
        <w:footnoteRef/>
      </w:r>
      <w:r>
        <w:t xml:space="preserve"> </w:t>
      </w:r>
      <w:r w:rsidR="002230D3">
        <w:rPr>
          <w:rFonts w:eastAsia="함초롬바탕"/>
        </w:rPr>
        <w:t>Updated set of principles, principle 35.</w:t>
      </w:r>
    </w:p>
  </w:footnote>
  <w:footnote w:id="189">
    <w:p w:rsidR="00574A3D" w:rsidRPr="002230D3" w:rsidRDefault="00574A3D" w:rsidP="002230D3">
      <w:pPr>
        <w:pStyle w:val="a4"/>
        <w:rPr>
          <w:rFonts w:hint="eastAsia"/>
        </w:rPr>
      </w:pPr>
      <w:r>
        <w:rPr>
          <w:rStyle w:val="a6"/>
        </w:rPr>
        <w:footnoteRef/>
      </w:r>
      <w:r>
        <w:t xml:space="preserve"> </w:t>
      </w:r>
      <w:r w:rsidR="002230D3">
        <w:rPr>
          <w:rFonts w:eastAsia="함초롬바탕"/>
        </w:rPr>
        <w:t>See, e.g., International Covenant on Civil and Political Rights, art. 2 (2); American Convention on Human Rights, arts. 2 and 63 (1); and African Charter on Human and Peoples</w:t>
      </w:r>
      <w:r w:rsidR="002230D3">
        <w:rPr>
          <w:rFonts w:eastAsia="함초롬바탕"/>
        </w:rPr>
        <w:t>’</w:t>
      </w:r>
      <w:r w:rsidR="002230D3">
        <w:rPr>
          <w:rFonts w:eastAsia="함초롬바탕"/>
        </w:rPr>
        <w:t xml:space="preserve"> Rights, art. 1.</w:t>
      </w:r>
    </w:p>
  </w:footnote>
  <w:footnote w:id="190">
    <w:p w:rsidR="00574A3D" w:rsidRDefault="00574A3D" w:rsidP="002230D3">
      <w:pPr>
        <w:pStyle w:val="a4"/>
        <w:rPr>
          <w:rFonts w:hint="eastAsia"/>
        </w:rPr>
      </w:pPr>
      <w:r>
        <w:rPr>
          <w:rStyle w:val="a6"/>
        </w:rPr>
        <w:footnoteRef/>
      </w:r>
      <w:r>
        <w:t xml:space="preserve"> </w:t>
      </w:r>
      <w:r w:rsidR="002230D3">
        <w:rPr>
          <w:rFonts w:eastAsia="함초롬바탕"/>
        </w:rPr>
        <w:t>See, e.g., updated set of principles, principle 35 (b); and Basic Principles and Guidelines, para. 23 (h).</w:t>
      </w:r>
    </w:p>
  </w:footnote>
  <w:footnote w:id="191">
    <w:p w:rsidR="00574A3D" w:rsidRDefault="00574A3D" w:rsidP="002230D3">
      <w:pPr>
        <w:pStyle w:val="a4"/>
        <w:rPr>
          <w:rFonts w:hint="eastAsia"/>
        </w:rPr>
      </w:pPr>
      <w:r>
        <w:rPr>
          <w:rStyle w:val="a6"/>
        </w:rPr>
        <w:footnoteRef/>
      </w:r>
      <w:r>
        <w:t xml:space="preserve"> </w:t>
      </w:r>
      <w:r w:rsidR="002230D3">
        <w:rPr>
          <w:rFonts w:eastAsia="함초롬바탕"/>
        </w:rPr>
        <w:t>CCPR/C/BIH/CO/3, 13 April 2017, paras. 5</w:t>
      </w:r>
      <w:r w:rsidR="002230D3">
        <w:rPr>
          <w:rFonts w:eastAsia="함초롬바탕" w:hAnsi="함초롬바탕" w:cs="함초롬바탕" w:hint="eastAsia"/>
        </w:rPr>
        <w:t>–</w:t>
      </w:r>
      <w:r w:rsidR="002230D3">
        <w:rPr>
          <w:rFonts w:eastAsia="함초롬바탕"/>
        </w:rPr>
        <w:t>16; and CCPR/C/MEX/CO/6, 4 December 2019, paras. 4 and 5.</w:t>
      </w:r>
    </w:p>
  </w:footnote>
  <w:footnote w:id="192">
    <w:p w:rsidR="00574A3D" w:rsidRDefault="00574A3D" w:rsidP="002230D3">
      <w:pPr>
        <w:pStyle w:val="a4"/>
        <w:rPr>
          <w:rFonts w:hint="eastAsia"/>
        </w:rPr>
      </w:pPr>
      <w:r>
        <w:rPr>
          <w:rStyle w:val="a6"/>
        </w:rPr>
        <w:footnoteRef/>
      </w:r>
      <w:r>
        <w:t xml:space="preserve"> </w:t>
      </w:r>
      <w:r w:rsidR="002230D3">
        <w:rPr>
          <w:rFonts w:eastAsia="함초롬바탕"/>
        </w:rPr>
        <w:t>See, e.g., CCPR/C/BIH/CO/3, 13 April 2017, paras. 5</w:t>
      </w:r>
      <w:r w:rsidR="002230D3">
        <w:rPr>
          <w:rFonts w:eastAsia="함초롬바탕" w:hAnsi="함초롬바탕" w:cs="함초롬바탕" w:hint="eastAsia"/>
        </w:rPr>
        <w:t>–</w:t>
      </w:r>
      <w:r w:rsidR="002230D3">
        <w:rPr>
          <w:rFonts w:eastAsia="함초롬바탕"/>
        </w:rPr>
        <w:t xml:space="preserve">16; CCPR/C/MEX/CO/6, 4 December 2019, paras. 4 and 5; and Inter-American Court of Human Rights, </w:t>
      </w:r>
      <w:proofErr w:type="spellStart"/>
      <w:r w:rsidR="002230D3">
        <w:rPr>
          <w:rFonts w:eastAsia="함초롬바탕"/>
          <w:i/>
          <w:iCs/>
        </w:rPr>
        <w:t>Casierra</w:t>
      </w:r>
      <w:proofErr w:type="spellEnd"/>
      <w:r w:rsidR="002230D3">
        <w:rPr>
          <w:rFonts w:eastAsia="함초롬바탕"/>
          <w:i/>
          <w:iCs/>
        </w:rPr>
        <w:t xml:space="preserve"> </w:t>
      </w:r>
      <w:proofErr w:type="spellStart"/>
      <w:r w:rsidR="002230D3">
        <w:rPr>
          <w:rFonts w:eastAsia="함초롬바탕"/>
          <w:i/>
          <w:iCs/>
        </w:rPr>
        <w:t>Qui</w:t>
      </w:r>
      <w:r w:rsidR="002230D3">
        <w:rPr>
          <w:rFonts w:eastAsia="함초롬바탕"/>
          <w:i/>
          <w:iCs/>
        </w:rPr>
        <w:t>ñ</w:t>
      </w:r>
      <w:r w:rsidR="002230D3">
        <w:rPr>
          <w:rFonts w:eastAsia="함초롬바탕"/>
          <w:i/>
          <w:iCs/>
        </w:rPr>
        <w:t>onez</w:t>
      </w:r>
      <w:proofErr w:type="spellEnd"/>
      <w:r w:rsidR="002230D3">
        <w:rPr>
          <w:rFonts w:eastAsia="함초롬바탕"/>
          <w:i/>
          <w:iCs/>
        </w:rPr>
        <w:t xml:space="preserve"> et al. v. Ecuador</w:t>
      </w:r>
      <w:r w:rsidR="002230D3">
        <w:rPr>
          <w:rFonts w:eastAsia="함초롬바탕"/>
        </w:rPr>
        <w:t xml:space="preserve">, Judgment, 11 May 2022, para. 201; and </w:t>
      </w:r>
      <w:proofErr w:type="spellStart"/>
      <w:r w:rsidR="002230D3">
        <w:rPr>
          <w:rFonts w:eastAsia="함초롬바탕"/>
          <w:i/>
          <w:iCs/>
        </w:rPr>
        <w:t>Goibur</w:t>
      </w:r>
      <w:r w:rsidR="002230D3">
        <w:rPr>
          <w:rFonts w:eastAsia="함초롬바탕"/>
          <w:i/>
          <w:iCs/>
        </w:rPr>
        <w:t>ú</w:t>
      </w:r>
      <w:proofErr w:type="spellEnd"/>
      <w:r w:rsidR="002230D3">
        <w:rPr>
          <w:rFonts w:eastAsia="함초롬바탕"/>
          <w:i/>
          <w:iCs/>
        </w:rPr>
        <w:t xml:space="preserve"> et al. v. Paraguay</w:t>
      </w:r>
      <w:r w:rsidR="002230D3">
        <w:rPr>
          <w:rFonts w:eastAsia="함초롬바탕"/>
        </w:rPr>
        <w:t xml:space="preserve">, Judgment, 22 September 2006, para. 179. </w:t>
      </w:r>
    </w:p>
  </w:footnote>
  <w:footnote w:id="193">
    <w:p w:rsidR="00574A3D" w:rsidRDefault="00574A3D" w:rsidP="002230D3">
      <w:pPr>
        <w:pStyle w:val="a4"/>
        <w:rPr>
          <w:rFonts w:hint="eastAsia"/>
        </w:rPr>
      </w:pPr>
      <w:r>
        <w:rPr>
          <w:rStyle w:val="a6"/>
        </w:rPr>
        <w:footnoteRef/>
      </w:r>
      <w:r>
        <w:t xml:space="preserve"> </w:t>
      </w:r>
      <w:r w:rsidR="002230D3">
        <w:rPr>
          <w:rFonts w:eastAsia="함초롬바탕"/>
        </w:rPr>
        <w:t xml:space="preserve">See, e.g., Inter-American Court of Human Rights, </w:t>
      </w:r>
      <w:r w:rsidR="002230D3">
        <w:rPr>
          <w:rFonts w:eastAsia="함초롬바탕"/>
          <w:i/>
          <w:iCs/>
        </w:rPr>
        <w:t>Contreras et al. v. El Salvador</w:t>
      </w:r>
      <w:r w:rsidR="002230D3">
        <w:rPr>
          <w:rFonts w:eastAsia="함초롬바탕"/>
        </w:rPr>
        <w:t>, Judgment, 31 August 2011, paras. 218 and 219.</w:t>
      </w:r>
    </w:p>
  </w:footnote>
  <w:footnote w:id="194">
    <w:p w:rsidR="00574A3D" w:rsidRDefault="00574A3D" w:rsidP="002230D3">
      <w:pPr>
        <w:pStyle w:val="a4"/>
        <w:rPr>
          <w:rFonts w:hint="eastAsia"/>
        </w:rPr>
      </w:pPr>
      <w:r>
        <w:rPr>
          <w:rStyle w:val="a6"/>
        </w:rPr>
        <w:footnoteRef/>
      </w:r>
      <w:r>
        <w:t xml:space="preserve"> </w:t>
      </w:r>
      <w:r w:rsidR="002230D3">
        <w:rPr>
          <w:rFonts w:eastAsia="함초롬바탕"/>
        </w:rPr>
        <w:t>A/HRC/21/46, para. 38.</w:t>
      </w:r>
    </w:p>
  </w:footnote>
  <w:footnote w:id="195">
    <w:p w:rsidR="00574A3D" w:rsidRDefault="00574A3D" w:rsidP="002230D3">
      <w:pPr>
        <w:pStyle w:val="a4"/>
        <w:rPr>
          <w:rFonts w:hint="eastAsia"/>
        </w:rPr>
      </w:pPr>
      <w:r>
        <w:rPr>
          <w:rStyle w:val="a6"/>
        </w:rPr>
        <w:footnoteRef/>
      </w:r>
      <w:r>
        <w:t xml:space="preserve"> </w:t>
      </w:r>
      <w:r w:rsidR="002230D3">
        <w:rPr>
          <w:rFonts w:eastAsia="함초롬바탕"/>
        </w:rPr>
        <w:t>A/HRC/45/45, paras. 39 and 40.</w:t>
      </w:r>
    </w:p>
  </w:footnote>
  <w:footnote w:id="196">
    <w:p w:rsidR="00574A3D" w:rsidRPr="002230D3" w:rsidRDefault="00574A3D" w:rsidP="002230D3">
      <w:pPr>
        <w:pStyle w:val="a4"/>
        <w:rPr>
          <w:rFonts w:hint="eastAsia"/>
        </w:rPr>
      </w:pPr>
      <w:r>
        <w:rPr>
          <w:rStyle w:val="a6"/>
        </w:rPr>
        <w:footnoteRef/>
      </w:r>
      <w:r>
        <w:t xml:space="preserve"> </w:t>
      </w:r>
      <w:r w:rsidR="002230D3">
        <w:rPr>
          <w:rFonts w:eastAsia="함초롬바탕"/>
        </w:rPr>
        <w:t>Updated set of principles, principle 36 (a).</w:t>
      </w:r>
    </w:p>
  </w:footnote>
  <w:footnote w:id="197">
    <w:p w:rsidR="00574A3D" w:rsidRDefault="00574A3D" w:rsidP="002230D3">
      <w:pPr>
        <w:pStyle w:val="a4"/>
        <w:rPr>
          <w:rFonts w:hint="eastAsia"/>
        </w:rPr>
      </w:pPr>
      <w:r>
        <w:rPr>
          <w:rStyle w:val="a6"/>
        </w:rPr>
        <w:footnoteRef/>
      </w:r>
      <w:r>
        <w:t xml:space="preserve"> </w:t>
      </w:r>
      <w:r w:rsidR="002230D3">
        <w:rPr>
          <w:rFonts w:eastAsia="함초롬바탕"/>
        </w:rPr>
        <w:t>A/75/174, para. 110.</w:t>
      </w:r>
    </w:p>
  </w:footnote>
  <w:footnote w:id="198">
    <w:p w:rsidR="00574A3D" w:rsidRDefault="00574A3D" w:rsidP="00C9565A">
      <w:pPr>
        <w:pStyle w:val="a4"/>
        <w:rPr>
          <w:rFonts w:hint="eastAsia"/>
        </w:rPr>
      </w:pPr>
      <w:r>
        <w:rPr>
          <w:rStyle w:val="a6"/>
        </w:rPr>
        <w:footnoteRef/>
      </w:r>
      <w:r>
        <w:t xml:space="preserve"> </w:t>
      </w:r>
      <w:r w:rsidR="002230D3">
        <w:rPr>
          <w:rFonts w:eastAsia="함초롬바탕"/>
        </w:rPr>
        <w:t>A/HRC/21/46, para. 34.</w:t>
      </w:r>
    </w:p>
  </w:footnote>
  <w:footnote w:id="199">
    <w:p w:rsidR="00574A3D" w:rsidRDefault="00574A3D" w:rsidP="00C9565A">
      <w:pPr>
        <w:pStyle w:val="a4"/>
        <w:rPr>
          <w:rFonts w:hint="eastAsia"/>
        </w:rPr>
      </w:pPr>
      <w:r>
        <w:rPr>
          <w:rStyle w:val="a6"/>
        </w:rPr>
        <w:footnoteRef/>
      </w:r>
      <w:r>
        <w:t xml:space="preserve"> </w:t>
      </w:r>
      <w:r w:rsidR="00C9565A">
        <w:rPr>
          <w:rFonts w:eastAsia="함초롬바탕"/>
        </w:rPr>
        <w:t>Ibid., paras. 30 and 32.</w:t>
      </w:r>
    </w:p>
  </w:footnote>
  <w:footnote w:id="200">
    <w:p w:rsidR="00574A3D" w:rsidRDefault="00574A3D" w:rsidP="00C9565A">
      <w:pPr>
        <w:pStyle w:val="a4"/>
        <w:rPr>
          <w:rFonts w:hint="eastAsia"/>
        </w:rPr>
      </w:pPr>
      <w:r>
        <w:rPr>
          <w:rStyle w:val="a6"/>
        </w:rPr>
        <w:footnoteRef/>
      </w:r>
      <w:r>
        <w:t xml:space="preserve"> </w:t>
      </w:r>
      <w:r w:rsidR="00C9565A">
        <w:rPr>
          <w:rFonts w:eastAsia="함초롬바탕"/>
        </w:rPr>
        <w:t>Ibid., para. 41.</w:t>
      </w:r>
    </w:p>
  </w:footnote>
  <w:footnote w:id="201">
    <w:p w:rsidR="00574A3D" w:rsidRDefault="00574A3D" w:rsidP="00C9565A">
      <w:pPr>
        <w:pStyle w:val="a4"/>
        <w:rPr>
          <w:rFonts w:hint="eastAsia"/>
        </w:rPr>
      </w:pPr>
      <w:r>
        <w:rPr>
          <w:rStyle w:val="a6"/>
        </w:rPr>
        <w:footnoteRef/>
      </w:r>
      <w:r w:rsidR="00C9565A">
        <w:rPr>
          <w:rFonts w:eastAsia="함초롬바탕"/>
        </w:rPr>
        <w:t xml:space="preserve"> </w:t>
      </w:r>
      <w:r w:rsidR="00C9565A">
        <w:rPr>
          <w:rFonts w:eastAsia="함초롬바탕"/>
        </w:rPr>
        <w:t>Ibid., para. 23.</w:t>
      </w:r>
      <w:r>
        <w:t xml:space="preserve"> </w:t>
      </w:r>
    </w:p>
  </w:footnote>
  <w:footnote w:id="202">
    <w:p w:rsidR="00574A3D" w:rsidRDefault="00574A3D" w:rsidP="00C9565A">
      <w:pPr>
        <w:pStyle w:val="a4"/>
        <w:rPr>
          <w:rFonts w:hint="eastAsia"/>
        </w:rPr>
      </w:pPr>
      <w:r>
        <w:rPr>
          <w:rStyle w:val="a6"/>
        </w:rPr>
        <w:footnoteRef/>
      </w:r>
      <w:r>
        <w:t xml:space="preserve"> </w:t>
      </w:r>
      <w:r w:rsidR="00C9565A">
        <w:rPr>
          <w:rFonts w:eastAsia="함초롬바탕"/>
        </w:rPr>
        <w:t>Basic Principles and Guidelines, para. 23 (e).</w:t>
      </w:r>
    </w:p>
  </w:footnote>
  <w:footnote w:id="203">
    <w:p w:rsidR="00574A3D" w:rsidRDefault="00574A3D" w:rsidP="00C9565A">
      <w:pPr>
        <w:pStyle w:val="a4"/>
        <w:rPr>
          <w:rFonts w:hint="eastAsia"/>
        </w:rPr>
      </w:pPr>
      <w:r>
        <w:rPr>
          <w:rStyle w:val="a6"/>
        </w:rPr>
        <w:footnoteRef/>
      </w:r>
      <w:r>
        <w:t xml:space="preserve"> </w:t>
      </w:r>
      <w:r w:rsidR="00C9565A">
        <w:rPr>
          <w:rFonts w:eastAsia="함초롬바탕"/>
          <w:i/>
          <w:iCs/>
        </w:rPr>
        <w:t>“</w:t>
      </w:r>
      <w:proofErr w:type="spellStart"/>
      <w:r w:rsidR="00C9565A">
        <w:rPr>
          <w:rFonts w:eastAsia="함초롬바탕"/>
          <w:i/>
          <w:iCs/>
        </w:rPr>
        <w:t>Mapirip</w:t>
      </w:r>
      <w:r w:rsidR="00C9565A">
        <w:rPr>
          <w:rFonts w:eastAsia="함초롬바탕"/>
          <w:i/>
          <w:iCs/>
        </w:rPr>
        <w:t>á</w:t>
      </w:r>
      <w:r w:rsidR="00C9565A">
        <w:rPr>
          <w:rFonts w:eastAsia="함초롬바탕"/>
          <w:i/>
          <w:iCs/>
        </w:rPr>
        <w:t>n</w:t>
      </w:r>
      <w:proofErr w:type="spellEnd"/>
      <w:r w:rsidR="00C9565A">
        <w:rPr>
          <w:rFonts w:eastAsia="함초롬바탕"/>
          <w:i/>
          <w:iCs/>
        </w:rPr>
        <w:t xml:space="preserve"> Massacre</w:t>
      </w:r>
      <w:r w:rsidR="00C9565A">
        <w:rPr>
          <w:rFonts w:eastAsia="함초롬바탕"/>
          <w:i/>
          <w:iCs/>
        </w:rPr>
        <w:t>”</w:t>
      </w:r>
      <w:r w:rsidR="00C9565A">
        <w:rPr>
          <w:rFonts w:eastAsia="함초롬바탕"/>
          <w:i/>
          <w:iCs/>
        </w:rPr>
        <w:t xml:space="preserve"> v. Colombia</w:t>
      </w:r>
      <w:r w:rsidR="00C9565A">
        <w:rPr>
          <w:rFonts w:eastAsia="함초롬바탕"/>
        </w:rPr>
        <w:t>, para. 316.</w:t>
      </w:r>
    </w:p>
  </w:footnote>
  <w:footnote w:id="204">
    <w:p w:rsidR="00574A3D" w:rsidRDefault="00574A3D" w:rsidP="00C9565A">
      <w:pPr>
        <w:pStyle w:val="a4"/>
        <w:rPr>
          <w:rFonts w:hint="eastAsia"/>
        </w:rPr>
      </w:pPr>
      <w:r>
        <w:rPr>
          <w:rStyle w:val="a6"/>
        </w:rPr>
        <w:footnoteRef/>
      </w:r>
      <w:r>
        <w:t xml:space="preserve"> </w:t>
      </w:r>
      <w:r w:rsidR="00C9565A">
        <w:rPr>
          <w:rFonts w:eastAsia="함초롬바탕"/>
          <w:i/>
          <w:iCs/>
        </w:rPr>
        <w:t>Gonz</w:t>
      </w:r>
      <w:r w:rsidR="00C9565A">
        <w:rPr>
          <w:rFonts w:eastAsia="함초롬바탕"/>
          <w:i/>
          <w:iCs/>
        </w:rPr>
        <w:t>á</w:t>
      </w:r>
      <w:r w:rsidR="00C9565A">
        <w:rPr>
          <w:rFonts w:eastAsia="함초롬바탕"/>
          <w:i/>
          <w:iCs/>
        </w:rPr>
        <w:t>lez et al. (</w:t>
      </w:r>
      <w:r w:rsidR="00C9565A">
        <w:rPr>
          <w:rFonts w:eastAsia="함초롬바탕"/>
          <w:i/>
          <w:iCs/>
        </w:rPr>
        <w:t>“</w:t>
      </w:r>
      <w:r w:rsidR="00C9565A">
        <w:rPr>
          <w:rFonts w:eastAsia="함초롬바탕"/>
          <w:i/>
          <w:iCs/>
        </w:rPr>
        <w:t>Cotton Field</w:t>
      </w:r>
      <w:r w:rsidR="00C9565A">
        <w:rPr>
          <w:rFonts w:eastAsia="함초롬바탕"/>
          <w:i/>
          <w:iCs/>
        </w:rPr>
        <w:t>”</w:t>
      </w:r>
      <w:r w:rsidR="00C9565A">
        <w:rPr>
          <w:rFonts w:eastAsia="함초롬바탕"/>
          <w:i/>
          <w:iCs/>
        </w:rPr>
        <w:t>) v. Mexico,</w:t>
      </w:r>
      <w:r w:rsidR="00C9565A">
        <w:rPr>
          <w:rFonts w:eastAsia="함초롬바탕"/>
        </w:rPr>
        <w:t xml:space="preserve"> Judgment, 16 November 2009, para. 542.</w:t>
      </w:r>
    </w:p>
  </w:footnote>
  <w:footnote w:id="205">
    <w:p w:rsidR="00574A3D" w:rsidRDefault="00574A3D" w:rsidP="00C9565A">
      <w:pPr>
        <w:pStyle w:val="a4"/>
        <w:rPr>
          <w:rFonts w:hint="eastAsia"/>
        </w:rPr>
      </w:pPr>
      <w:r>
        <w:rPr>
          <w:rStyle w:val="a6"/>
        </w:rPr>
        <w:footnoteRef/>
      </w:r>
      <w:r>
        <w:t xml:space="preserve"> </w:t>
      </w:r>
      <w:r w:rsidR="00C9565A">
        <w:rPr>
          <w:rFonts w:eastAsia="함초롬바탕"/>
        </w:rPr>
        <w:t>A/75/174, para. 110.</w:t>
      </w:r>
    </w:p>
  </w:footnote>
  <w:footnote w:id="206">
    <w:p w:rsidR="00574A3D" w:rsidRPr="00C9565A" w:rsidRDefault="00574A3D" w:rsidP="00C9565A">
      <w:pPr>
        <w:pStyle w:val="a4"/>
        <w:rPr>
          <w:rFonts w:hint="eastAsia"/>
        </w:rPr>
      </w:pPr>
      <w:r>
        <w:rPr>
          <w:rStyle w:val="a6"/>
        </w:rPr>
        <w:footnoteRef/>
      </w:r>
      <w:r>
        <w:t xml:space="preserve"> </w:t>
      </w:r>
      <w:r w:rsidR="00C9565A">
        <w:rPr>
          <w:rFonts w:eastAsia="함초롬바탕"/>
        </w:rPr>
        <w:t>Updated set of principles, principle 35.</w:t>
      </w:r>
    </w:p>
  </w:footnote>
  <w:footnote w:id="207">
    <w:p w:rsidR="008F55F0" w:rsidRDefault="008F55F0" w:rsidP="00C9565A">
      <w:pPr>
        <w:pStyle w:val="a4"/>
        <w:rPr>
          <w:rFonts w:hint="eastAsia"/>
        </w:rPr>
      </w:pPr>
      <w:r>
        <w:rPr>
          <w:rStyle w:val="a6"/>
        </w:rPr>
        <w:footnoteRef/>
      </w:r>
      <w:r>
        <w:t xml:space="preserve"> </w:t>
      </w:r>
      <w:r w:rsidR="00C9565A">
        <w:rPr>
          <w:rFonts w:eastAsia="함초롬바탕"/>
        </w:rPr>
        <w:t>A/HRC/45/45, para. 109.</w:t>
      </w:r>
    </w:p>
  </w:footnote>
  <w:footnote w:id="208">
    <w:p w:rsidR="008F55F0" w:rsidRDefault="008F55F0" w:rsidP="00C9565A">
      <w:pPr>
        <w:pStyle w:val="a4"/>
        <w:rPr>
          <w:rFonts w:hint="eastAsia"/>
        </w:rPr>
      </w:pPr>
      <w:r>
        <w:rPr>
          <w:rStyle w:val="a6"/>
        </w:rPr>
        <w:footnoteRef/>
      </w:r>
      <w:r>
        <w:t xml:space="preserve"> </w:t>
      </w:r>
      <w:r w:rsidR="00C9565A">
        <w:rPr>
          <w:rFonts w:eastAsia="함초롬바탕"/>
        </w:rPr>
        <w:t>A/HRC/21/46, para. 54.</w:t>
      </w:r>
    </w:p>
  </w:footnote>
  <w:footnote w:id="209">
    <w:p w:rsidR="008F55F0" w:rsidRDefault="008F55F0" w:rsidP="00C9565A">
      <w:pPr>
        <w:pStyle w:val="a4"/>
        <w:rPr>
          <w:rFonts w:hint="eastAsia"/>
        </w:rPr>
      </w:pPr>
      <w:r>
        <w:rPr>
          <w:rStyle w:val="a6"/>
        </w:rPr>
        <w:footnoteRef/>
      </w:r>
      <w:r>
        <w:t xml:space="preserve"> </w:t>
      </w:r>
      <w:r w:rsidR="00C9565A">
        <w:rPr>
          <w:rFonts w:eastAsia="함초롬바탕"/>
        </w:rPr>
        <w:t>Basic Principles and Guidelines, para. 23 (a).</w:t>
      </w:r>
    </w:p>
  </w:footnote>
  <w:footnote w:id="210">
    <w:p w:rsidR="008F55F0" w:rsidRPr="00C9565A" w:rsidRDefault="008F55F0" w:rsidP="00C9565A">
      <w:pPr>
        <w:pStyle w:val="a4"/>
        <w:rPr>
          <w:rFonts w:hint="eastAsia"/>
        </w:rPr>
      </w:pPr>
      <w:r>
        <w:rPr>
          <w:rStyle w:val="a6"/>
        </w:rPr>
        <w:footnoteRef/>
      </w:r>
      <w:r>
        <w:t xml:space="preserve"> </w:t>
      </w:r>
      <w:r w:rsidR="00C9565A">
        <w:rPr>
          <w:rFonts w:eastAsia="함초롬바탕"/>
        </w:rPr>
        <w:t>Updated set of principles, principle 36 (c).</w:t>
      </w:r>
    </w:p>
  </w:footnote>
  <w:footnote w:id="211">
    <w:p w:rsidR="008F55F0" w:rsidRDefault="008F55F0" w:rsidP="00C9565A">
      <w:pPr>
        <w:pStyle w:val="a4"/>
        <w:rPr>
          <w:rFonts w:hint="eastAsia"/>
        </w:rPr>
      </w:pPr>
      <w:r>
        <w:rPr>
          <w:rStyle w:val="a6"/>
        </w:rPr>
        <w:footnoteRef/>
      </w:r>
      <w:r>
        <w:t xml:space="preserve"> </w:t>
      </w:r>
      <w:r w:rsidR="00C9565A">
        <w:rPr>
          <w:rFonts w:eastAsia="함초롬바탕"/>
        </w:rPr>
        <w:t>Ibid.</w:t>
      </w:r>
    </w:p>
  </w:footnote>
  <w:footnote w:id="212">
    <w:p w:rsidR="008F55F0" w:rsidRDefault="008F55F0" w:rsidP="00C9565A">
      <w:pPr>
        <w:pStyle w:val="a4"/>
        <w:rPr>
          <w:rFonts w:hint="eastAsia"/>
        </w:rPr>
      </w:pPr>
      <w:r>
        <w:rPr>
          <w:rStyle w:val="a6"/>
        </w:rPr>
        <w:footnoteRef/>
      </w:r>
      <w:r>
        <w:t xml:space="preserve"> </w:t>
      </w:r>
      <w:r w:rsidR="00C9565A">
        <w:rPr>
          <w:rFonts w:eastAsia="함초롬바탕"/>
        </w:rPr>
        <w:t>Ibid., principle 36 (d).</w:t>
      </w:r>
    </w:p>
  </w:footnote>
  <w:footnote w:id="213">
    <w:p w:rsidR="008F55F0" w:rsidRDefault="008F55F0" w:rsidP="00C9565A">
      <w:pPr>
        <w:pStyle w:val="a4"/>
        <w:rPr>
          <w:rFonts w:hint="eastAsia"/>
        </w:rPr>
      </w:pPr>
      <w:r>
        <w:rPr>
          <w:rStyle w:val="a6"/>
        </w:rPr>
        <w:footnoteRef/>
      </w:r>
      <w:r>
        <w:t xml:space="preserve"> </w:t>
      </w:r>
      <w:r w:rsidR="00C9565A">
        <w:rPr>
          <w:rFonts w:eastAsia="함초롬바탕"/>
        </w:rPr>
        <w:t>Ibid., principle 36 (b).</w:t>
      </w:r>
    </w:p>
  </w:footnote>
  <w:footnote w:id="214">
    <w:p w:rsidR="008F55F0" w:rsidRDefault="008F55F0" w:rsidP="00C9565A">
      <w:pPr>
        <w:pStyle w:val="a4"/>
        <w:rPr>
          <w:rFonts w:hint="eastAsia"/>
        </w:rPr>
      </w:pPr>
      <w:r>
        <w:rPr>
          <w:rStyle w:val="a6"/>
        </w:rPr>
        <w:footnoteRef/>
      </w:r>
      <w:r>
        <w:t xml:space="preserve"> </w:t>
      </w:r>
      <w:r w:rsidR="00C9565A">
        <w:rPr>
          <w:rFonts w:eastAsia="함초롬바탕"/>
        </w:rPr>
        <w:t>Basic Principles and Guidelines, para. 23 (b).</w:t>
      </w:r>
    </w:p>
  </w:footnote>
  <w:footnote w:id="215">
    <w:p w:rsidR="008F55F0" w:rsidRPr="00C9565A" w:rsidRDefault="008F55F0" w:rsidP="00C9565A">
      <w:pPr>
        <w:pStyle w:val="a4"/>
        <w:rPr>
          <w:rFonts w:hint="eastAsia"/>
        </w:rPr>
      </w:pPr>
      <w:r>
        <w:rPr>
          <w:rStyle w:val="a6"/>
        </w:rPr>
        <w:footnoteRef/>
      </w:r>
      <w:r>
        <w:t xml:space="preserve"> </w:t>
      </w:r>
      <w:r w:rsidR="00C9565A">
        <w:rPr>
          <w:rFonts w:eastAsia="함초롬바탕"/>
        </w:rPr>
        <w:t>A/HRC/45/45, para. 84; and Committee on the Elimination of Racial Discrimination, general recommendation No. 35 (2013)</w:t>
      </w:r>
    </w:p>
  </w:footnote>
  <w:footnote w:id="216">
    <w:p w:rsidR="008F55F0" w:rsidRPr="00C9565A" w:rsidRDefault="008F55F0" w:rsidP="00C9565A">
      <w:pPr>
        <w:pStyle w:val="a4"/>
        <w:rPr>
          <w:rFonts w:hint="eastAsia"/>
        </w:rPr>
      </w:pPr>
      <w:r>
        <w:rPr>
          <w:rStyle w:val="a6"/>
        </w:rPr>
        <w:footnoteRef/>
      </w:r>
      <w:r>
        <w:t xml:space="preserve"> </w:t>
      </w:r>
      <w:r w:rsidR="00C9565A">
        <w:rPr>
          <w:rFonts w:eastAsia="함초롬바탕"/>
        </w:rPr>
        <w:t xml:space="preserve">See, e.g., European Court of Human Rights, </w:t>
      </w:r>
      <w:r w:rsidR="00C9565A">
        <w:rPr>
          <w:rFonts w:eastAsia="함초롬바탕"/>
          <w:i/>
          <w:iCs/>
        </w:rPr>
        <w:t>Norwood v. the United Kingdom</w:t>
      </w:r>
      <w:r w:rsidR="00C9565A">
        <w:rPr>
          <w:rFonts w:eastAsia="함초롬바탕"/>
        </w:rPr>
        <w:t xml:space="preserve">; and Inter-American Court of Human Rights, </w:t>
      </w:r>
      <w:r w:rsidR="00C9565A">
        <w:rPr>
          <w:rFonts w:eastAsia="함초롬바탕"/>
          <w:i/>
          <w:iCs/>
        </w:rPr>
        <w:t>Palacios Urrutia v. Ecuador</w:t>
      </w:r>
      <w:r w:rsidR="00C9565A">
        <w:rPr>
          <w:rFonts w:eastAsia="함초롬바탕"/>
        </w:rPr>
        <w:t>, Judgment, 24 November 2021.</w:t>
      </w:r>
    </w:p>
  </w:footnote>
  <w:footnote w:id="217">
    <w:p w:rsidR="008F55F0" w:rsidRDefault="008F55F0" w:rsidP="00C9565A">
      <w:pPr>
        <w:pStyle w:val="a4"/>
        <w:rPr>
          <w:rFonts w:hint="eastAsia"/>
        </w:rPr>
      </w:pPr>
      <w:r>
        <w:rPr>
          <w:rStyle w:val="a6"/>
        </w:rPr>
        <w:footnoteRef/>
      </w:r>
      <w:r>
        <w:t xml:space="preserve"> </w:t>
      </w:r>
      <w:r w:rsidR="00C9565A">
        <w:rPr>
          <w:rFonts w:eastAsia="함초롬바탕"/>
        </w:rPr>
        <w:t xml:space="preserve">The Tribunal imposed penalties of up to 30 years in jail for citizens and public officials who worked together to incite violence through radio broadcasts and newspaper articles, on the grounds that hate media played a key role in the instigation of genocide and the killing of several thousand Tutsis. See </w:t>
      </w:r>
      <w:r w:rsidR="00C9565A">
        <w:rPr>
          <w:rFonts w:eastAsia="함초롬바탕"/>
          <w:i/>
          <w:iCs/>
        </w:rPr>
        <w:t xml:space="preserve">Prosecutor v. </w:t>
      </w:r>
      <w:proofErr w:type="spellStart"/>
      <w:r w:rsidR="00C9565A">
        <w:rPr>
          <w:rFonts w:eastAsia="함초롬바탕"/>
          <w:i/>
          <w:iCs/>
        </w:rPr>
        <w:t>Nahimana</w:t>
      </w:r>
      <w:proofErr w:type="spellEnd"/>
      <w:r w:rsidR="00C9565A">
        <w:rPr>
          <w:rFonts w:eastAsia="함초롬바탕"/>
          <w:i/>
          <w:iCs/>
        </w:rPr>
        <w:t xml:space="preserve">, </w:t>
      </w:r>
      <w:proofErr w:type="spellStart"/>
      <w:r w:rsidR="00C9565A">
        <w:rPr>
          <w:rFonts w:eastAsia="함초롬바탕"/>
          <w:i/>
          <w:iCs/>
        </w:rPr>
        <w:t>Barayagwiza</w:t>
      </w:r>
      <w:proofErr w:type="spellEnd"/>
      <w:r w:rsidR="00C9565A">
        <w:rPr>
          <w:rFonts w:eastAsia="함초롬바탕"/>
          <w:i/>
          <w:iCs/>
        </w:rPr>
        <w:t xml:space="preserve"> and </w:t>
      </w:r>
      <w:proofErr w:type="spellStart"/>
      <w:r w:rsidR="00C9565A">
        <w:rPr>
          <w:rFonts w:eastAsia="함초롬바탕"/>
          <w:i/>
          <w:iCs/>
        </w:rPr>
        <w:t>Ngeze</w:t>
      </w:r>
      <w:proofErr w:type="spellEnd"/>
      <w:r w:rsidR="00C9565A">
        <w:rPr>
          <w:rFonts w:eastAsia="함초롬바탕"/>
          <w:i/>
          <w:iCs/>
        </w:rPr>
        <w:t>.</w:t>
      </w:r>
    </w:p>
  </w:footnote>
  <w:footnote w:id="218">
    <w:p w:rsidR="008F55F0" w:rsidRPr="00C9565A" w:rsidRDefault="008F55F0" w:rsidP="00C9565A">
      <w:pPr>
        <w:pStyle w:val="a4"/>
        <w:rPr>
          <w:rFonts w:hint="eastAsia"/>
        </w:rPr>
      </w:pPr>
      <w:r>
        <w:rPr>
          <w:rStyle w:val="a6"/>
        </w:rPr>
        <w:footnoteRef/>
      </w:r>
      <w:r>
        <w:t xml:space="preserve"> </w:t>
      </w:r>
      <w:r w:rsidR="00C9565A">
        <w:rPr>
          <w:rFonts w:eastAsia="함초롬바탕"/>
        </w:rPr>
        <w:t>Judgement of 1 October 1946, in which Julius Streicher was convicted for the crime of persecution, for his incitement to murder and extermination.</w:t>
      </w:r>
    </w:p>
  </w:footnote>
  <w:footnote w:id="219">
    <w:p w:rsidR="008F55F0" w:rsidRDefault="008F55F0" w:rsidP="00C9565A">
      <w:pPr>
        <w:pStyle w:val="a4"/>
        <w:rPr>
          <w:rFonts w:hint="eastAsia"/>
        </w:rPr>
      </w:pPr>
      <w:r>
        <w:rPr>
          <w:rStyle w:val="a6"/>
        </w:rPr>
        <w:footnoteRef/>
      </w:r>
      <w:r>
        <w:t xml:space="preserve"> </w:t>
      </w:r>
      <w:r w:rsidR="00C9565A">
        <w:rPr>
          <w:rFonts w:eastAsia="함초롬바탕"/>
        </w:rPr>
        <w:t xml:space="preserve">See, e.g., </w:t>
      </w:r>
      <w:r w:rsidR="00C9565A">
        <w:rPr>
          <w:rFonts w:eastAsia="함초롬바탕"/>
          <w:i/>
          <w:iCs/>
        </w:rPr>
        <w:t xml:space="preserve">Prosecutor v. </w:t>
      </w:r>
      <w:proofErr w:type="spellStart"/>
      <w:r w:rsidR="00C9565A">
        <w:rPr>
          <w:rFonts w:eastAsia="함초롬바탕"/>
          <w:i/>
          <w:iCs/>
        </w:rPr>
        <w:t>Nyiramasuhuko</w:t>
      </w:r>
      <w:proofErr w:type="spellEnd"/>
      <w:r w:rsidR="00C9565A">
        <w:rPr>
          <w:rFonts w:eastAsia="함초롬바탕"/>
          <w:i/>
          <w:iCs/>
        </w:rPr>
        <w:t xml:space="preserve"> et al</w:t>
      </w:r>
      <w:r w:rsidR="00C9565A">
        <w:rPr>
          <w:rFonts w:eastAsia="함초롬바탕"/>
        </w:rPr>
        <w:t>., case No. ICTR-98-42-T, Judgment, 24 June 2011.</w:t>
      </w:r>
    </w:p>
  </w:footnote>
  <w:footnote w:id="220">
    <w:p w:rsidR="008F55F0" w:rsidRDefault="008F55F0" w:rsidP="00C9565A">
      <w:pPr>
        <w:pStyle w:val="a4"/>
        <w:rPr>
          <w:rFonts w:hint="eastAsia"/>
        </w:rPr>
      </w:pPr>
      <w:r>
        <w:rPr>
          <w:rStyle w:val="a6"/>
        </w:rPr>
        <w:footnoteRef/>
      </w:r>
      <w:r>
        <w:t xml:space="preserve"> </w:t>
      </w:r>
      <w:r w:rsidR="00C9565A">
        <w:rPr>
          <w:rFonts w:eastAsia="함초롬바탕"/>
        </w:rPr>
        <w:t>A/HRC/45/45, para. 86; see also paras. 87</w:t>
      </w:r>
      <w:r w:rsidR="00C9565A">
        <w:rPr>
          <w:rFonts w:eastAsia="함초롬바탕" w:hAnsi="함초롬바탕" w:cs="함초롬바탕" w:hint="eastAsia"/>
        </w:rPr>
        <w:t>–</w:t>
      </w:r>
      <w:r w:rsidR="00C9565A">
        <w:rPr>
          <w:rFonts w:eastAsia="함초롬바탕"/>
        </w:rPr>
        <w:t>89.</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70AAA"/>
    <w:multiLevelType w:val="multilevel"/>
    <w:tmpl w:val="0440895C"/>
    <w:lvl w:ilvl="0">
      <w:start w:val="2"/>
      <w:numFmt w:val="decimal"/>
      <w:suff w:val="space"/>
      <w:lvlText w:val="%1."/>
      <w:lvlJc w:val="left"/>
      <w:pPr>
        <w:ind w:left="0" w:firstLine="0"/>
      </w:pPr>
      <w:rPr>
        <w:rFonts w:hint="eastAsia"/>
      </w:rPr>
    </w:lvl>
    <w:lvl w:ilvl="1">
      <w:start w:val="1"/>
      <w:numFmt w:val="ganada"/>
      <w:suff w:val="space"/>
      <w:lvlText w:val="%2."/>
      <w:lvlJc w:val="left"/>
      <w:pPr>
        <w:ind w:left="0" w:firstLine="0"/>
      </w:pPr>
      <w:rPr>
        <w:rFonts w:hint="eastAsia"/>
      </w:rPr>
    </w:lvl>
    <w:lvl w:ilvl="2">
      <w:start w:val="1"/>
      <w:numFmt w:val="decimal"/>
      <w:suff w:val="space"/>
      <w:lvlText w:val="%3)"/>
      <w:lvlJc w:val="left"/>
      <w:pPr>
        <w:ind w:left="0" w:firstLine="0"/>
      </w:pPr>
      <w:rPr>
        <w:rFonts w:hint="eastAsia"/>
      </w:rPr>
    </w:lvl>
    <w:lvl w:ilvl="3">
      <w:start w:val="1"/>
      <w:numFmt w:val="ganada"/>
      <w:suff w:val="space"/>
      <w:lvlText w:val="%4)"/>
      <w:lvlJc w:val="left"/>
      <w:pPr>
        <w:ind w:left="0" w:firstLine="0"/>
      </w:pPr>
      <w:rPr>
        <w:rFonts w:hint="eastAsia"/>
      </w:rPr>
    </w:lvl>
    <w:lvl w:ilvl="4">
      <w:start w:val="1"/>
      <w:numFmt w:val="decimal"/>
      <w:suff w:val="space"/>
      <w:lvlText w:val="(%5)"/>
      <w:lvlJc w:val="left"/>
      <w:pPr>
        <w:ind w:left="0" w:firstLine="0"/>
      </w:pPr>
      <w:rPr>
        <w:rFonts w:hint="eastAsia"/>
      </w:rPr>
    </w:lvl>
    <w:lvl w:ilvl="5">
      <w:start w:val="1"/>
      <w:numFmt w:val="ganada"/>
      <w:suff w:val="space"/>
      <w:lvlText w:val="(%6)"/>
      <w:lvlJc w:val="left"/>
      <w:pPr>
        <w:ind w:left="0" w:firstLine="0"/>
      </w:pPr>
      <w:rPr>
        <w:rFonts w:hint="eastAsia"/>
      </w:rPr>
    </w:lvl>
    <w:lvl w:ilvl="6">
      <w:start w:val="1"/>
      <w:numFmt w:val="decimalEnclosedCircle"/>
      <w:suff w:val="space"/>
      <w:lvlText w:val="%7"/>
      <w:lvlJc w:val="left"/>
      <w:pPr>
        <w:ind w:left="0" w:firstLine="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36"/>
    <w:rsid w:val="002230D3"/>
    <w:rsid w:val="00227BAB"/>
    <w:rsid w:val="003F29FC"/>
    <w:rsid w:val="0053143E"/>
    <w:rsid w:val="00574A3D"/>
    <w:rsid w:val="0061348B"/>
    <w:rsid w:val="00660408"/>
    <w:rsid w:val="006B1519"/>
    <w:rsid w:val="007C3B6F"/>
    <w:rsid w:val="008F55F0"/>
    <w:rsid w:val="0094792F"/>
    <w:rsid w:val="00966E4F"/>
    <w:rsid w:val="00A03B36"/>
    <w:rsid w:val="00B51BCB"/>
    <w:rsid w:val="00C9565A"/>
    <w:rsid w:val="00F75E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48FC"/>
  <w15:chartTrackingRefBased/>
  <w15:docId w15:val="{06BAA6C1-F2DA-49B1-BEE5-FDF255FB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C3B6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03B36"/>
    <w:pPr>
      <w:spacing w:after="0" w:line="384" w:lineRule="auto"/>
      <w:textAlignment w:val="baseline"/>
    </w:pPr>
    <w:rPr>
      <w:rFonts w:ascii="함초롬바탕" w:eastAsia="굴림" w:hAnsi="굴림" w:cs="굴림"/>
      <w:color w:val="000000"/>
      <w:kern w:val="0"/>
      <w:szCs w:val="20"/>
    </w:rPr>
  </w:style>
  <w:style w:type="paragraph" w:customStyle="1" w:styleId="a4">
    <w:name w:val="각주"/>
    <w:basedOn w:val="a"/>
    <w:rsid w:val="00A03B36"/>
    <w:pPr>
      <w:spacing w:after="0" w:line="264" w:lineRule="auto"/>
      <w:ind w:left="524" w:hanging="262"/>
      <w:textAlignment w:val="baseline"/>
    </w:pPr>
    <w:rPr>
      <w:rFonts w:ascii="함초롬바탕" w:eastAsia="굴림" w:hAnsi="굴림" w:cs="굴림"/>
      <w:color w:val="000000"/>
      <w:kern w:val="0"/>
      <w:sz w:val="18"/>
      <w:szCs w:val="18"/>
    </w:rPr>
  </w:style>
  <w:style w:type="paragraph" w:styleId="a5">
    <w:name w:val="footnote text"/>
    <w:basedOn w:val="a"/>
    <w:link w:val="Char"/>
    <w:uiPriority w:val="99"/>
    <w:semiHidden/>
    <w:unhideWhenUsed/>
    <w:rsid w:val="006B1519"/>
    <w:pPr>
      <w:snapToGrid w:val="0"/>
      <w:jc w:val="left"/>
    </w:pPr>
  </w:style>
  <w:style w:type="character" w:customStyle="1" w:styleId="Char">
    <w:name w:val="각주 텍스트 Char"/>
    <w:basedOn w:val="a0"/>
    <w:link w:val="a5"/>
    <w:uiPriority w:val="99"/>
    <w:semiHidden/>
    <w:rsid w:val="006B1519"/>
  </w:style>
  <w:style w:type="character" w:styleId="a6">
    <w:name w:val="footnote reference"/>
    <w:basedOn w:val="a0"/>
    <w:uiPriority w:val="99"/>
    <w:semiHidden/>
    <w:unhideWhenUsed/>
    <w:rsid w:val="006B15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81177">
      <w:bodyDiv w:val="1"/>
      <w:marLeft w:val="0"/>
      <w:marRight w:val="0"/>
      <w:marTop w:val="0"/>
      <w:marBottom w:val="0"/>
      <w:divBdr>
        <w:top w:val="none" w:sz="0" w:space="0" w:color="auto"/>
        <w:left w:val="none" w:sz="0" w:space="0" w:color="auto"/>
        <w:bottom w:val="none" w:sz="0" w:space="0" w:color="auto"/>
        <w:right w:val="none" w:sz="0" w:space="0" w:color="auto"/>
      </w:divBdr>
    </w:div>
    <w:div w:id="30540151">
      <w:bodyDiv w:val="1"/>
      <w:marLeft w:val="0"/>
      <w:marRight w:val="0"/>
      <w:marTop w:val="0"/>
      <w:marBottom w:val="0"/>
      <w:divBdr>
        <w:top w:val="none" w:sz="0" w:space="0" w:color="auto"/>
        <w:left w:val="none" w:sz="0" w:space="0" w:color="auto"/>
        <w:bottom w:val="none" w:sz="0" w:space="0" w:color="auto"/>
        <w:right w:val="none" w:sz="0" w:space="0" w:color="auto"/>
      </w:divBdr>
    </w:div>
    <w:div w:id="33039628">
      <w:bodyDiv w:val="1"/>
      <w:marLeft w:val="0"/>
      <w:marRight w:val="0"/>
      <w:marTop w:val="0"/>
      <w:marBottom w:val="0"/>
      <w:divBdr>
        <w:top w:val="none" w:sz="0" w:space="0" w:color="auto"/>
        <w:left w:val="none" w:sz="0" w:space="0" w:color="auto"/>
        <w:bottom w:val="none" w:sz="0" w:space="0" w:color="auto"/>
        <w:right w:val="none" w:sz="0" w:space="0" w:color="auto"/>
      </w:divBdr>
    </w:div>
    <w:div w:id="48306308">
      <w:bodyDiv w:val="1"/>
      <w:marLeft w:val="0"/>
      <w:marRight w:val="0"/>
      <w:marTop w:val="0"/>
      <w:marBottom w:val="0"/>
      <w:divBdr>
        <w:top w:val="none" w:sz="0" w:space="0" w:color="auto"/>
        <w:left w:val="none" w:sz="0" w:space="0" w:color="auto"/>
        <w:bottom w:val="none" w:sz="0" w:space="0" w:color="auto"/>
        <w:right w:val="none" w:sz="0" w:space="0" w:color="auto"/>
      </w:divBdr>
    </w:div>
    <w:div w:id="52974294">
      <w:bodyDiv w:val="1"/>
      <w:marLeft w:val="0"/>
      <w:marRight w:val="0"/>
      <w:marTop w:val="0"/>
      <w:marBottom w:val="0"/>
      <w:divBdr>
        <w:top w:val="none" w:sz="0" w:space="0" w:color="auto"/>
        <w:left w:val="none" w:sz="0" w:space="0" w:color="auto"/>
        <w:bottom w:val="none" w:sz="0" w:space="0" w:color="auto"/>
        <w:right w:val="none" w:sz="0" w:space="0" w:color="auto"/>
      </w:divBdr>
    </w:div>
    <w:div w:id="62722240">
      <w:bodyDiv w:val="1"/>
      <w:marLeft w:val="0"/>
      <w:marRight w:val="0"/>
      <w:marTop w:val="0"/>
      <w:marBottom w:val="0"/>
      <w:divBdr>
        <w:top w:val="none" w:sz="0" w:space="0" w:color="auto"/>
        <w:left w:val="none" w:sz="0" w:space="0" w:color="auto"/>
        <w:bottom w:val="none" w:sz="0" w:space="0" w:color="auto"/>
        <w:right w:val="none" w:sz="0" w:space="0" w:color="auto"/>
      </w:divBdr>
    </w:div>
    <w:div w:id="63766900">
      <w:bodyDiv w:val="1"/>
      <w:marLeft w:val="0"/>
      <w:marRight w:val="0"/>
      <w:marTop w:val="0"/>
      <w:marBottom w:val="0"/>
      <w:divBdr>
        <w:top w:val="none" w:sz="0" w:space="0" w:color="auto"/>
        <w:left w:val="none" w:sz="0" w:space="0" w:color="auto"/>
        <w:bottom w:val="none" w:sz="0" w:space="0" w:color="auto"/>
        <w:right w:val="none" w:sz="0" w:space="0" w:color="auto"/>
      </w:divBdr>
    </w:div>
    <w:div w:id="67120184">
      <w:bodyDiv w:val="1"/>
      <w:marLeft w:val="0"/>
      <w:marRight w:val="0"/>
      <w:marTop w:val="0"/>
      <w:marBottom w:val="0"/>
      <w:divBdr>
        <w:top w:val="none" w:sz="0" w:space="0" w:color="auto"/>
        <w:left w:val="none" w:sz="0" w:space="0" w:color="auto"/>
        <w:bottom w:val="none" w:sz="0" w:space="0" w:color="auto"/>
        <w:right w:val="none" w:sz="0" w:space="0" w:color="auto"/>
      </w:divBdr>
    </w:div>
    <w:div w:id="68432639">
      <w:bodyDiv w:val="1"/>
      <w:marLeft w:val="0"/>
      <w:marRight w:val="0"/>
      <w:marTop w:val="0"/>
      <w:marBottom w:val="0"/>
      <w:divBdr>
        <w:top w:val="none" w:sz="0" w:space="0" w:color="auto"/>
        <w:left w:val="none" w:sz="0" w:space="0" w:color="auto"/>
        <w:bottom w:val="none" w:sz="0" w:space="0" w:color="auto"/>
        <w:right w:val="none" w:sz="0" w:space="0" w:color="auto"/>
      </w:divBdr>
    </w:div>
    <w:div w:id="77101755">
      <w:bodyDiv w:val="1"/>
      <w:marLeft w:val="0"/>
      <w:marRight w:val="0"/>
      <w:marTop w:val="0"/>
      <w:marBottom w:val="0"/>
      <w:divBdr>
        <w:top w:val="none" w:sz="0" w:space="0" w:color="auto"/>
        <w:left w:val="none" w:sz="0" w:space="0" w:color="auto"/>
        <w:bottom w:val="none" w:sz="0" w:space="0" w:color="auto"/>
        <w:right w:val="none" w:sz="0" w:space="0" w:color="auto"/>
      </w:divBdr>
    </w:div>
    <w:div w:id="77293585">
      <w:bodyDiv w:val="1"/>
      <w:marLeft w:val="0"/>
      <w:marRight w:val="0"/>
      <w:marTop w:val="0"/>
      <w:marBottom w:val="0"/>
      <w:divBdr>
        <w:top w:val="none" w:sz="0" w:space="0" w:color="auto"/>
        <w:left w:val="none" w:sz="0" w:space="0" w:color="auto"/>
        <w:bottom w:val="none" w:sz="0" w:space="0" w:color="auto"/>
        <w:right w:val="none" w:sz="0" w:space="0" w:color="auto"/>
      </w:divBdr>
    </w:div>
    <w:div w:id="94904156">
      <w:bodyDiv w:val="1"/>
      <w:marLeft w:val="0"/>
      <w:marRight w:val="0"/>
      <w:marTop w:val="0"/>
      <w:marBottom w:val="0"/>
      <w:divBdr>
        <w:top w:val="none" w:sz="0" w:space="0" w:color="auto"/>
        <w:left w:val="none" w:sz="0" w:space="0" w:color="auto"/>
        <w:bottom w:val="none" w:sz="0" w:space="0" w:color="auto"/>
        <w:right w:val="none" w:sz="0" w:space="0" w:color="auto"/>
      </w:divBdr>
    </w:div>
    <w:div w:id="95053835">
      <w:bodyDiv w:val="1"/>
      <w:marLeft w:val="0"/>
      <w:marRight w:val="0"/>
      <w:marTop w:val="0"/>
      <w:marBottom w:val="0"/>
      <w:divBdr>
        <w:top w:val="none" w:sz="0" w:space="0" w:color="auto"/>
        <w:left w:val="none" w:sz="0" w:space="0" w:color="auto"/>
        <w:bottom w:val="none" w:sz="0" w:space="0" w:color="auto"/>
        <w:right w:val="none" w:sz="0" w:space="0" w:color="auto"/>
      </w:divBdr>
    </w:div>
    <w:div w:id="98722517">
      <w:bodyDiv w:val="1"/>
      <w:marLeft w:val="0"/>
      <w:marRight w:val="0"/>
      <w:marTop w:val="0"/>
      <w:marBottom w:val="0"/>
      <w:divBdr>
        <w:top w:val="none" w:sz="0" w:space="0" w:color="auto"/>
        <w:left w:val="none" w:sz="0" w:space="0" w:color="auto"/>
        <w:bottom w:val="none" w:sz="0" w:space="0" w:color="auto"/>
        <w:right w:val="none" w:sz="0" w:space="0" w:color="auto"/>
      </w:divBdr>
    </w:div>
    <w:div w:id="99763089">
      <w:bodyDiv w:val="1"/>
      <w:marLeft w:val="0"/>
      <w:marRight w:val="0"/>
      <w:marTop w:val="0"/>
      <w:marBottom w:val="0"/>
      <w:divBdr>
        <w:top w:val="none" w:sz="0" w:space="0" w:color="auto"/>
        <w:left w:val="none" w:sz="0" w:space="0" w:color="auto"/>
        <w:bottom w:val="none" w:sz="0" w:space="0" w:color="auto"/>
        <w:right w:val="none" w:sz="0" w:space="0" w:color="auto"/>
      </w:divBdr>
    </w:div>
    <w:div w:id="105123879">
      <w:bodyDiv w:val="1"/>
      <w:marLeft w:val="0"/>
      <w:marRight w:val="0"/>
      <w:marTop w:val="0"/>
      <w:marBottom w:val="0"/>
      <w:divBdr>
        <w:top w:val="none" w:sz="0" w:space="0" w:color="auto"/>
        <w:left w:val="none" w:sz="0" w:space="0" w:color="auto"/>
        <w:bottom w:val="none" w:sz="0" w:space="0" w:color="auto"/>
        <w:right w:val="none" w:sz="0" w:space="0" w:color="auto"/>
      </w:divBdr>
    </w:div>
    <w:div w:id="129398092">
      <w:bodyDiv w:val="1"/>
      <w:marLeft w:val="0"/>
      <w:marRight w:val="0"/>
      <w:marTop w:val="0"/>
      <w:marBottom w:val="0"/>
      <w:divBdr>
        <w:top w:val="none" w:sz="0" w:space="0" w:color="auto"/>
        <w:left w:val="none" w:sz="0" w:space="0" w:color="auto"/>
        <w:bottom w:val="none" w:sz="0" w:space="0" w:color="auto"/>
        <w:right w:val="none" w:sz="0" w:space="0" w:color="auto"/>
      </w:divBdr>
    </w:div>
    <w:div w:id="132412160">
      <w:bodyDiv w:val="1"/>
      <w:marLeft w:val="0"/>
      <w:marRight w:val="0"/>
      <w:marTop w:val="0"/>
      <w:marBottom w:val="0"/>
      <w:divBdr>
        <w:top w:val="none" w:sz="0" w:space="0" w:color="auto"/>
        <w:left w:val="none" w:sz="0" w:space="0" w:color="auto"/>
        <w:bottom w:val="none" w:sz="0" w:space="0" w:color="auto"/>
        <w:right w:val="none" w:sz="0" w:space="0" w:color="auto"/>
      </w:divBdr>
    </w:div>
    <w:div w:id="148332833">
      <w:bodyDiv w:val="1"/>
      <w:marLeft w:val="0"/>
      <w:marRight w:val="0"/>
      <w:marTop w:val="0"/>
      <w:marBottom w:val="0"/>
      <w:divBdr>
        <w:top w:val="none" w:sz="0" w:space="0" w:color="auto"/>
        <w:left w:val="none" w:sz="0" w:space="0" w:color="auto"/>
        <w:bottom w:val="none" w:sz="0" w:space="0" w:color="auto"/>
        <w:right w:val="none" w:sz="0" w:space="0" w:color="auto"/>
      </w:divBdr>
    </w:div>
    <w:div w:id="164249910">
      <w:bodyDiv w:val="1"/>
      <w:marLeft w:val="0"/>
      <w:marRight w:val="0"/>
      <w:marTop w:val="0"/>
      <w:marBottom w:val="0"/>
      <w:divBdr>
        <w:top w:val="none" w:sz="0" w:space="0" w:color="auto"/>
        <w:left w:val="none" w:sz="0" w:space="0" w:color="auto"/>
        <w:bottom w:val="none" w:sz="0" w:space="0" w:color="auto"/>
        <w:right w:val="none" w:sz="0" w:space="0" w:color="auto"/>
      </w:divBdr>
    </w:div>
    <w:div w:id="175048342">
      <w:bodyDiv w:val="1"/>
      <w:marLeft w:val="0"/>
      <w:marRight w:val="0"/>
      <w:marTop w:val="0"/>
      <w:marBottom w:val="0"/>
      <w:divBdr>
        <w:top w:val="none" w:sz="0" w:space="0" w:color="auto"/>
        <w:left w:val="none" w:sz="0" w:space="0" w:color="auto"/>
        <w:bottom w:val="none" w:sz="0" w:space="0" w:color="auto"/>
        <w:right w:val="none" w:sz="0" w:space="0" w:color="auto"/>
      </w:divBdr>
    </w:div>
    <w:div w:id="180584356">
      <w:bodyDiv w:val="1"/>
      <w:marLeft w:val="0"/>
      <w:marRight w:val="0"/>
      <w:marTop w:val="0"/>
      <w:marBottom w:val="0"/>
      <w:divBdr>
        <w:top w:val="none" w:sz="0" w:space="0" w:color="auto"/>
        <w:left w:val="none" w:sz="0" w:space="0" w:color="auto"/>
        <w:bottom w:val="none" w:sz="0" w:space="0" w:color="auto"/>
        <w:right w:val="none" w:sz="0" w:space="0" w:color="auto"/>
      </w:divBdr>
    </w:div>
    <w:div w:id="182401239">
      <w:bodyDiv w:val="1"/>
      <w:marLeft w:val="0"/>
      <w:marRight w:val="0"/>
      <w:marTop w:val="0"/>
      <w:marBottom w:val="0"/>
      <w:divBdr>
        <w:top w:val="none" w:sz="0" w:space="0" w:color="auto"/>
        <w:left w:val="none" w:sz="0" w:space="0" w:color="auto"/>
        <w:bottom w:val="none" w:sz="0" w:space="0" w:color="auto"/>
        <w:right w:val="none" w:sz="0" w:space="0" w:color="auto"/>
      </w:divBdr>
    </w:div>
    <w:div w:id="183516835">
      <w:bodyDiv w:val="1"/>
      <w:marLeft w:val="0"/>
      <w:marRight w:val="0"/>
      <w:marTop w:val="0"/>
      <w:marBottom w:val="0"/>
      <w:divBdr>
        <w:top w:val="none" w:sz="0" w:space="0" w:color="auto"/>
        <w:left w:val="none" w:sz="0" w:space="0" w:color="auto"/>
        <w:bottom w:val="none" w:sz="0" w:space="0" w:color="auto"/>
        <w:right w:val="none" w:sz="0" w:space="0" w:color="auto"/>
      </w:divBdr>
    </w:div>
    <w:div w:id="199519728">
      <w:bodyDiv w:val="1"/>
      <w:marLeft w:val="0"/>
      <w:marRight w:val="0"/>
      <w:marTop w:val="0"/>
      <w:marBottom w:val="0"/>
      <w:divBdr>
        <w:top w:val="none" w:sz="0" w:space="0" w:color="auto"/>
        <w:left w:val="none" w:sz="0" w:space="0" w:color="auto"/>
        <w:bottom w:val="none" w:sz="0" w:space="0" w:color="auto"/>
        <w:right w:val="none" w:sz="0" w:space="0" w:color="auto"/>
      </w:divBdr>
    </w:div>
    <w:div w:id="209658891">
      <w:bodyDiv w:val="1"/>
      <w:marLeft w:val="0"/>
      <w:marRight w:val="0"/>
      <w:marTop w:val="0"/>
      <w:marBottom w:val="0"/>
      <w:divBdr>
        <w:top w:val="none" w:sz="0" w:space="0" w:color="auto"/>
        <w:left w:val="none" w:sz="0" w:space="0" w:color="auto"/>
        <w:bottom w:val="none" w:sz="0" w:space="0" w:color="auto"/>
        <w:right w:val="none" w:sz="0" w:space="0" w:color="auto"/>
      </w:divBdr>
    </w:div>
    <w:div w:id="223877119">
      <w:bodyDiv w:val="1"/>
      <w:marLeft w:val="0"/>
      <w:marRight w:val="0"/>
      <w:marTop w:val="0"/>
      <w:marBottom w:val="0"/>
      <w:divBdr>
        <w:top w:val="none" w:sz="0" w:space="0" w:color="auto"/>
        <w:left w:val="none" w:sz="0" w:space="0" w:color="auto"/>
        <w:bottom w:val="none" w:sz="0" w:space="0" w:color="auto"/>
        <w:right w:val="none" w:sz="0" w:space="0" w:color="auto"/>
      </w:divBdr>
    </w:div>
    <w:div w:id="230315612">
      <w:bodyDiv w:val="1"/>
      <w:marLeft w:val="0"/>
      <w:marRight w:val="0"/>
      <w:marTop w:val="0"/>
      <w:marBottom w:val="0"/>
      <w:divBdr>
        <w:top w:val="none" w:sz="0" w:space="0" w:color="auto"/>
        <w:left w:val="none" w:sz="0" w:space="0" w:color="auto"/>
        <w:bottom w:val="none" w:sz="0" w:space="0" w:color="auto"/>
        <w:right w:val="none" w:sz="0" w:space="0" w:color="auto"/>
      </w:divBdr>
    </w:div>
    <w:div w:id="236481363">
      <w:bodyDiv w:val="1"/>
      <w:marLeft w:val="0"/>
      <w:marRight w:val="0"/>
      <w:marTop w:val="0"/>
      <w:marBottom w:val="0"/>
      <w:divBdr>
        <w:top w:val="none" w:sz="0" w:space="0" w:color="auto"/>
        <w:left w:val="none" w:sz="0" w:space="0" w:color="auto"/>
        <w:bottom w:val="none" w:sz="0" w:space="0" w:color="auto"/>
        <w:right w:val="none" w:sz="0" w:space="0" w:color="auto"/>
      </w:divBdr>
    </w:div>
    <w:div w:id="239100705">
      <w:bodyDiv w:val="1"/>
      <w:marLeft w:val="0"/>
      <w:marRight w:val="0"/>
      <w:marTop w:val="0"/>
      <w:marBottom w:val="0"/>
      <w:divBdr>
        <w:top w:val="none" w:sz="0" w:space="0" w:color="auto"/>
        <w:left w:val="none" w:sz="0" w:space="0" w:color="auto"/>
        <w:bottom w:val="none" w:sz="0" w:space="0" w:color="auto"/>
        <w:right w:val="none" w:sz="0" w:space="0" w:color="auto"/>
      </w:divBdr>
    </w:div>
    <w:div w:id="247810529">
      <w:bodyDiv w:val="1"/>
      <w:marLeft w:val="0"/>
      <w:marRight w:val="0"/>
      <w:marTop w:val="0"/>
      <w:marBottom w:val="0"/>
      <w:divBdr>
        <w:top w:val="none" w:sz="0" w:space="0" w:color="auto"/>
        <w:left w:val="none" w:sz="0" w:space="0" w:color="auto"/>
        <w:bottom w:val="none" w:sz="0" w:space="0" w:color="auto"/>
        <w:right w:val="none" w:sz="0" w:space="0" w:color="auto"/>
      </w:divBdr>
    </w:div>
    <w:div w:id="251789798">
      <w:bodyDiv w:val="1"/>
      <w:marLeft w:val="0"/>
      <w:marRight w:val="0"/>
      <w:marTop w:val="0"/>
      <w:marBottom w:val="0"/>
      <w:divBdr>
        <w:top w:val="none" w:sz="0" w:space="0" w:color="auto"/>
        <w:left w:val="none" w:sz="0" w:space="0" w:color="auto"/>
        <w:bottom w:val="none" w:sz="0" w:space="0" w:color="auto"/>
        <w:right w:val="none" w:sz="0" w:space="0" w:color="auto"/>
      </w:divBdr>
    </w:div>
    <w:div w:id="258563225">
      <w:bodyDiv w:val="1"/>
      <w:marLeft w:val="0"/>
      <w:marRight w:val="0"/>
      <w:marTop w:val="0"/>
      <w:marBottom w:val="0"/>
      <w:divBdr>
        <w:top w:val="none" w:sz="0" w:space="0" w:color="auto"/>
        <w:left w:val="none" w:sz="0" w:space="0" w:color="auto"/>
        <w:bottom w:val="none" w:sz="0" w:space="0" w:color="auto"/>
        <w:right w:val="none" w:sz="0" w:space="0" w:color="auto"/>
      </w:divBdr>
    </w:div>
    <w:div w:id="266352566">
      <w:bodyDiv w:val="1"/>
      <w:marLeft w:val="0"/>
      <w:marRight w:val="0"/>
      <w:marTop w:val="0"/>
      <w:marBottom w:val="0"/>
      <w:divBdr>
        <w:top w:val="none" w:sz="0" w:space="0" w:color="auto"/>
        <w:left w:val="none" w:sz="0" w:space="0" w:color="auto"/>
        <w:bottom w:val="none" w:sz="0" w:space="0" w:color="auto"/>
        <w:right w:val="none" w:sz="0" w:space="0" w:color="auto"/>
      </w:divBdr>
    </w:div>
    <w:div w:id="293371719">
      <w:bodyDiv w:val="1"/>
      <w:marLeft w:val="0"/>
      <w:marRight w:val="0"/>
      <w:marTop w:val="0"/>
      <w:marBottom w:val="0"/>
      <w:divBdr>
        <w:top w:val="none" w:sz="0" w:space="0" w:color="auto"/>
        <w:left w:val="none" w:sz="0" w:space="0" w:color="auto"/>
        <w:bottom w:val="none" w:sz="0" w:space="0" w:color="auto"/>
        <w:right w:val="none" w:sz="0" w:space="0" w:color="auto"/>
      </w:divBdr>
    </w:div>
    <w:div w:id="294023718">
      <w:bodyDiv w:val="1"/>
      <w:marLeft w:val="0"/>
      <w:marRight w:val="0"/>
      <w:marTop w:val="0"/>
      <w:marBottom w:val="0"/>
      <w:divBdr>
        <w:top w:val="none" w:sz="0" w:space="0" w:color="auto"/>
        <w:left w:val="none" w:sz="0" w:space="0" w:color="auto"/>
        <w:bottom w:val="none" w:sz="0" w:space="0" w:color="auto"/>
        <w:right w:val="none" w:sz="0" w:space="0" w:color="auto"/>
      </w:divBdr>
    </w:div>
    <w:div w:id="304942213">
      <w:bodyDiv w:val="1"/>
      <w:marLeft w:val="0"/>
      <w:marRight w:val="0"/>
      <w:marTop w:val="0"/>
      <w:marBottom w:val="0"/>
      <w:divBdr>
        <w:top w:val="none" w:sz="0" w:space="0" w:color="auto"/>
        <w:left w:val="none" w:sz="0" w:space="0" w:color="auto"/>
        <w:bottom w:val="none" w:sz="0" w:space="0" w:color="auto"/>
        <w:right w:val="none" w:sz="0" w:space="0" w:color="auto"/>
      </w:divBdr>
    </w:div>
    <w:div w:id="306473436">
      <w:bodyDiv w:val="1"/>
      <w:marLeft w:val="0"/>
      <w:marRight w:val="0"/>
      <w:marTop w:val="0"/>
      <w:marBottom w:val="0"/>
      <w:divBdr>
        <w:top w:val="none" w:sz="0" w:space="0" w:color="auto"/>
        <w:left w:val="none" w:sz="0" w:space="0" w:color="auto"/>
        <w:bottom w:val="none" w:sz="0" w:space="0" w:color="auto"/>
        <w:right w:val="none" w:sz="0" w:space="0" w:color="auto"/>
      </w:divBdr>
    </w:div>
    <w:div w:id="310331100">
      <w:bodyDiv w:val="1"/>
      <w:marLeft w:val="0"/>
      <w:marRight w:val="0"/>
      <w:marTop w:val="0"/>
      <w:marBottom w:val="0"/>
      <w:divBdr>
        <w:top w:val="none" w:sz="0" w:space="0" w:color="auto"/>
        <w:left w:val="none" w:sz="0" w:space="0" w:color="auto"/>
        <w:bottom w:val="none" w:sz="0" w:space="0" w:color="auto"/>
        <w:right w:val="none" w:sz="0" w:space="0" w:color="auto"/>
      </w:divBdr>
    </w:div>
    <w:div w:id="311175689">
      <w:bodyDiv w:val="1"/>
      <w:marLeft w:val="0"/>
      <w:marRight w:val="0"/>
      <w:marTop w:val="0"/>
      <w:marBottom w:val="0"/>
      <w:divBdr>
        <w:top w:val="none" w:sz="0" w:space="0" w:color="auto"/>
        <w:left w:val="none" w:sz="0" w:space="0" w:color="auto"/>
        <w:bottom w:val="none" w:sz="0" w:space="0" w:color="auto"/>
        <w:right w:val="none" w:sz="0" w:space="0" w:color="auto"/>
      </w:divBdr>
    </w:div>
    <w:div w:id="313263628">
      <w:bodyDiv w:val="1"/>
      <w:marLeft w:val="0"/>
      <w:marRight w:val="0"/>
      <w:marTop w:val="0"/>
      <w:marBottom w:val="0"/>
      <w:divBdr>
        <w:top w:val="none" w:sz="0" w:space="0" w:color="auto"/>
        <w:left w:val="none" w:sz="0" w:space="0" w:color="auto"/>
        <w:bottom w:val="none" w:sz="0" w:space="0" w:color="auto"/>
        <w:right w:val="none" w:sz="0" w:space="0" w:color="auto"/>
      </w:divBdr>
    </w:div>
    <w:div w:id="319161574">
      <w:bodyDiv w:val="1"/>
      <w:marLeft w:val="0"/>
      <w:marRight w:val="0"/>
      <w:marTop w:val="0"/>
      <w:marBottom w:val="0"/>
      <w:divBdr>
        <w:top w:val="none" w:sz="0" w:space="0" w:color="auto"/>
        <w:left w:val="none" w:sz="0" w:space="0" w:color="auto"/>
        <w:bottom w:val="none" w:sz="0" w:space="0" w:color="auto"/>
        <w:right w:val="none" w:sz="0" w:space="0" w:color="auto"/>
      </w:divBdr>
    </w:div>
    <w:div w:id="336348045">
      <w:bodyDiv w:val="1"/>
      <w:marLeft w:val="0"/>
      <w:marRight w:val="0"/>
      <w:marTop w:val="0"/>
      <w:marBottom w:val="0"/>
      <w:divBdr>
        <w:top w:val="none" w:sz="0" w:space="0" w:color="auto"/>
        <w:left w:val="none" w:sz="0" w:space="0" w:color="auto"/>
        <w:bottom w:val="none" w:sz="0" w:space="0" w:color="auto"/>
        <w:right w:val="none" w:sz="0" w:space="0" w:color="auto"/>
      </w:divBdr>
    </w:div>
    <w:div w:id="339963960">
      <w:bodyDiv w:val="1"/>
      <w:marLeft w:val="0"/>
      <w:marRight w:val="0"/>
      <w:marTop w:val="0"/>
      <w:marBottom w:val="0"/>
      <w:divBdr>
        <w:top w:val="none" w:sz="0" w:space="0" w:color="auto"/>
        <w:left w:val="none" w:sz="0" w:space="0" w:color="auto"/>
        <w:bottom w:val="none" w:sz="0" w:space="0" w:color="auto"/>
        <w:right w:val="none" w:sz="0" w:space="0" w:color="auto"/>
      </w:divBdr>
    </w:div>
    <w:div w:id="343020065">
      <w:bodyDiv w:val="1"/>
      <w:marLeft w:val="0"/>
      <w:marRight w:val="0"/>
      <w:marTop w:val="0"/>
      <w:marBottom w:val="0"/>
      <w:divBdr>
        <w:top w:val="none" w:sz="0" w:space="0" w:color="auto"/>
        <w:left w:val="none" w:sz="0" w:space="0" w:color="auto"/>
        <w:bottom w:val="none" w:sz="0" w:space="0" w:color="auto"/>
        <w:right w:val="none" w:sz="0" w:space="0" w:color="auto"/>
      </w:divBdr>
    </w:div>
    <w:div w:id="379939170">
      <w:bodyDiv w:val="1"/>
      <w:marLeft w:val="0"/>
      <w:marRight w:val="0"/>
      <w:marTop w:val="0"/>
      <w:marBottom w:val="0"/>
      <w:divBdr>
        <w:top w:val="none" w:sz="0" w:space="0" w:color="auto"/>
        <w:left w:val="none" w:sz="0" w:space="0" w:color="auto"/>
        <w:bottom w:val="none" w:sz="0" w:space="0" w:color="auto"/>
        <w:right w:val="none" w:sz="0" w:space="0" w:color="auto"/>
      </w:divBdr>
    </w:div>
    <w:div w:id="383217426">
      <w:bodyDiv w:val="1"/>
      <w:marLeft w:val="0"/>
      <w:marRight w:val="0"/>
      <w:marTop w:val="0"/>
      <w:marBottom w:val="0"/>
      <w:divBdr>
        <w:top w:val="none" w:sz="0" w:space="0" w:color="auto"/>
        <w:left w:val="none" w:sz="0" w:space="0" w:color="auto"/>
        <w:bottom w:val="none" w:sz="0" w:space="0" w:color="auto"/>
        <w:right w:val="none" w:sz="0" w:space="0" w:color="auto"/>
      </w:divBdr>
    </w:div>
    <w:div w:id="385840625">
      <w:bodyDiv w:val="1"/>
      <w:marLeft w:val="0"/>
      <w:marRight w:val="0"/>
      <w:marTop w:val="0"/>
      <w:marBottom w:val="0"/>
      <w:divBdr>
        <w:top w:val="none" w:sz="0" w:space="0" w:color="auto"/>
        <w:left w:val="none" w:sz="0" w:space="0" w:color="auto"/>
        <w:bottom w:val="none" w:sz="0" w:space="0" w:color="auto"/>
        <w:right w:val="none" w:sz="0" w:space="0" w:color="auto"/>
      </w:divBdr>
    </w:div>
    <w:div w:id="388505915">
      <w:bodyDiv w:val="1"/>
      <w:marLeft w:val="0"/>
      <w:marRight w:val="0"/>
      <w:marTop w:val="0"/>
      <w:marBottom w:val="0"/>
      <w:divBdr>
        <w:top w:val="none" w:sz="0" w:space="0" w:color="auto"/>
        <w:left w:val="none" w:sz="0" w:space="0" w:color="auto"/>
        <w:bottom w:val="none" w:sz="0" w:space="0" w:color="auto"/>
        <w:right w:val="none" w:sz="0" w:space="0" w:color="auto"/>
      </w:divBdr>
    </w:div>
    <w:div w:id="410740943">
      <w:bodyDiv w:val="1"/>
      <w:marLeft w:val="0"/>
      <w:marRight w:val="0"/>
      <w:marTop w:val="0"/>
      <w:marBottom w:val="0"/>
      <w:divBdr>
        <w:top w:val="none" w:sz="0" w:space="0" w:color="auto"/>
        <w:left w:val="none" w:sz="0" w:space="0" w:color="auto"/>
        <w:bottom w:val="none" w:sz="0" w:space="0" w:color="auto"/>
        <w:right w:val="none" w:sz="0" w:space="0" w:color="auto"/>
      </w:divBdr>
    </w:div>
    <w:div w:id="418260268">
      <w:bodyDiv w:val="1"/>
      <w:marLeft w:val="0"/>
      <w:marRight w:val="0"/>
      <w:marTop w:val="0"/>
      <w:marBottom w:val="0"/>
      <w:divBdr>
        <w:top w:val="none" w:sz="0" w:space="0" w:color="auto"/>
        <w:left w:val="none" w:sz="0" w:space="0" w:color="auto"/>
        <w:bottom w:val="none" w:sz="0" w:space="0" w:color="auto"/>
        <w:right w:val="none" w:sz="0" w:space="0" w:color="auto"/>
      </w:divBdr>
    </w:div>
    <w:div w:id="419957653">
      <w:bodyDiv w:val="1"/>
      <w:marLeft w:val="0"/>
      <w:marRight w:val="0"/>
      <w:marTop w:val="0"/>
      <w:marBottom w:val="0"/>
      <w:divBdr>
        <w:top w:val="none" w:sz="0" w:space="0" w:color="auto"/>
        <w:left w:val="none" w:sz="0" w:space="0" w:color="auto"/>
        <w:bottom w:val="none" w:sz="0" w:space="0" w:color="auto"/>
        <w:right w:val="none" w:sz="0" w:space="0" w:color="auto"/>
      </w:divBdr>
    </w:div>
    <w:div w:id="421266410">
      <w:bodyDiv w:val="1"/>
      <w:marLeft w:val="0"/>
      <w:marRight w:val="0"/>
      <w:marTop w:val="0"/>
      <w:marBottom w:val="0"/>
      <w:divBdr>
        <w:top w:val="none" w:sz="0" w:space="0" w:color="auto"/>
        <w:left w:val="none" w:sz="0" w:space="0" w:color="auto"/>
        <w:bottom w:val="none" w:sz="0" w:space="0" w:color="auto"/>
        <w:right w:val="none" w:sz="0" w:space="0" w:color="auto"/>
      </w:divBdr>
    </w:div>
    <w:div w:id="430860908">
      <w:bodyDiv w:val="1"/>
      <w:marLeft w:val="0"/>
      <w:marRight w:val="0"/>
      <w:marTop w:val="0"/>
      <w:marBottom w:val="0"/>
      <w:divBdr>
        <w:top w:val="none" w:sz="0" w:space="0" w:color="auto"/>
        <w:left w:val="none" w:sz="0" w:space="0" w:color="auto"/>
        <w:bottom w:val="none" w:sz="0" w:space="0" w:color="auto"/>
        <w:right w:val="none" w:sz="0" w:space="0" w:color="auto"/>
      </w:divBdr>
    </w:div>
    <w:div w:id="433601158">
      <w:bodyDiv w:val="1"/>
      <w:marLeft w:val="0"/>
      <w:marRight w:val="0"/>
      <w:marTop w:val="0"/>
      <w:marBottom w:val="0"/>
      <w:divBdr>
        <w:top w:val="none" w:sz="0" w:space="0" w:color="auto"/>
        <w:left w:val="none" w:sz="0" w:space="0" w:color="auto"/>
        <w:bottom w:val="none" w:sz="0" w:space="0" w:color="auto"/>
        <w:right w:val="none" w:sz="0" w:space="0" w:color="auto"/>
      </w:divBdr>
    </w:div>
    <w:div w:id="457451357">
      <w:bodyDiv w:val="1"/>
      <w:marLeft w:val="0"/>
      <w:marRight w:val="0"/>
      <w:marTop w:val="0"/>
      <w:marBottom w:val="0"/>
      <w:divBdr>
        <w:top w:val="none" w:sz="0" w:space="0" w:color="auto"/>
        <w:left w:val="none" w:sz="0" w:space="0" w:color="auto"/>
        <w:bottom w:val="none" w:sz="0" w:space="0" w:color="auto"/>
        <w:right w:val="none" w:sz="0" w:space="0" w:color="auto"/>
      </w:divBdr>
    </w:div>
    <w:div w:id="474297199">
      <w:bodyDiv w:val="1"/>
      <w:marLeft w:val="0"/>
      <w:marRight w:val="0"/>
      <w:marTop w:val="0"/>
      <w:marBottom w:val="0"/>
      <w:divBdr>
        <w:top w:val="none" w:sz="0" w:space="0" w:color="auto"/>
        <w:left w:val="none" w:sz="0" w:space="0" w:color="auto"/>
        <w:bottom w:val="none" w:sz="0" w:space="0" w:color="auto"/>
        <w:right w:val="none" w:sz="0" w:space="0" w:color="auto"/>
      </w:divBdr>
    </w:div>
    <w:div w:id="489948858">
      <w:bodyDiv w:val="1"/>
      <w:marLeft w:val="0"/>
      <w:marRight w:val="0"/>
      <w:marTop w:val="0"/>
      <w:marBottom w:val="0"/>
      <w:divBdr>
        <w:top w:val="none" w:sz="0" w:space="0" w:color="auto"/>
        <w:left w:val="none" w:sz="0" w:space="0" w:color="auto"/>
        <w:bottom w:val="none" w:sz="0" w:space="0" w:color="auto"/>
        <w:right w:val="none" w:sz="0" w:space="0" w:color="auto"/>
      </w:divBdr>
    </w:div>
    <w:div w:id="491682067">
      <w:bodyDiv w:val="1"/>
      <w:marLeft w:val="0"/>
      <w:marRight w:val="0"/>
      <w:marTop w:val="0"/>
      <w:marBottom w:val="0"/>
      <w:divBdr>
        <w:top w:val="none" w:sz="0" w:space="0" w:color="auto"/>
        <w:left w:val="none" w:sz="0" w:space="0" w:color="auto"/>
        <w:bottom w:val="none" w:sz="0" w:space="0" w:color="auto"/>
        <w:right w:val="none" w:sz="0" w:space="0" w:color="auto"/>
      </w:divBdr>
    </w:div>
    <w:div w:id="499926639">
      <w:bodyDiv w:val="1"/>
      <w:marLeft w:val="0"/>
      <w:marRight w:val="0"/>
      <w:marTop w:val="0"/>
      <w:marBottom w:val="0"/>
      <w:divBdr>
        <w:top w:val="none" w:sz="0" w:space="0" w:color="auto"/>
        <w:left w:val="none" w:sz="0" w:space="0" w:color="auto"/>
        <w:bottom w:val="none" w:sz="0" w:space="0" w:color="auto"/>
        <w:right w:val="none" w:sz="0" w:space="0" w:color="auto"/>
      </w:divBdr>
    </w:div>
    <w:div w:id="505289905">
      <w:bodyDiv w:val="1"/>
      <w:marLeft w:val="0"/>
      <w:marRight w:val="0"/>
      <w:marTop w:val="0"/>
      <w:marBottom w:val="0"/>
      <w:divBdr>
        <w:top w:val="none" w:sz="0" w:space="0" w:color="auto"/>
        <w:left w:val="none" w:sz="0" w:space="0" w:color="auto"/>
        <w:bottom w:val="none" w:sz="0" w:space="0" w:color="auto"/>
        <w:right w:val="none" w:sz="0" w:space="0" w:color="auto"/>
      </w:divBdr>
    </w:div>
    <w:div w:id="517354612">
      <w:bodyDiv w:val="1"/>
      <w:marLeft w:val="0"/>
      <w:marRight w:val="0"/>
      <w:marTop w:val="0"/>
      <w:marBottom w:val="0"/>
      <w:divBdr>
        <w:top w:val="none" w:sz="0" w:space="0" w:color="auto"/>
        <w:left w:val="none" w:sz="0" w:space="0" w:color="auto"/>
        <w:bottom w:val="none" w:sz="0" w:space="0" w:color="auto"/>
        <w:right w:val="none" w:sz="0" w:space="0" w:color="auto"/>
      </w:divBdr>
    </w:div>
    <w:div w:id="537085973">
      <w:bodyDiv w:val="1"/>
      <w:marLeft w:val="0"/>
      <w:marRight w:val="0"/>
      <w:marTop w:val="0"/>
      <w:marBottom w:val="0"/>
      <w:divBdr>
        <w:top w:val="none" w:sz="0" w:space="0" w:color="auto"/>
        <w:left w:val="none" w:sz="0" w:space="0" w:color="auto"/>
        <w:bottom w:val="none" w:sz="0" w:space="0" w:color="auto"/>
        <w:right w:val="none" w:sz="0" w:space="0" w:color="auto"/>
      </w:divBdr>
    </w:div>
    <w:div w:id="541136212">
      <w:bodyDiv w:val="1"/>
      <w:marLeft w:val="0"/>
      <w:marRight w:val="0"/>
      <w:marTop w:val="0"/>
      <w:marBottom w:val="0"/>
      <w:divBdr>
        <w:top w:val="none" w:sz="0" w:space="0" w:color="auto"/>
        <w:left w:val="none" w:sz="0" w:space="0" w:color="auto"/>
        <w:bottom w:val="none" w:sz="0" w:space="0" w:color="auto"/>
        <w:right w:val="none" w:sz="0" w:space="0" w:color="auto"/>
      </w:divBdr>
    </w:div>
    <w:div w:id="544491334">
      <w:bodyDiv w:val="1"/>
      <w:marLeft w:val="0"/>
      <w:marRight w:val="0"/>
      <w:marTop w:val="0"/>
      <w:marBottom w:val="0"/>
      <w:divBdr>
        <w:top w:val="none" w:sz="0" w:space="0" w:color="auto"/>
        <w:left w:val="none" w:sz="0" w:space="0" w:color="auto"/>
        <w:bottom w:val="none" w:sz="0" w:space="0" w:color="auto"/>
        <w:right w:val="none" w:sz="0" w:space="0" w:color="auto"/>
      </w:divBdr>
    </w:div>
    <w:div w:id="551619335">
      <w:bodyDiv w:val="1"/>
      <w:marLeft w:val="0"/>
      <w:marRight w:val="0"/>
      <w:marTop w:val="0"/>
      <w:marBottom w:val="0"/>
      <w:divBdr>
        <w:top w:val="none" w:sz="0" w:space="0" w:color="auto"/>
        <w:left w:val="none" w:sz="0" w:space="0" w:color="auto"/>
        <w:bottom w:val="none" w:sz="0" w:space="0" w:color="auto"/>
        <w:right w:val="none" w:sz="0" w:space="0" w:color="auto"/>
      </w:divBdr>
    </w:div>
    <w:div w:id="559362970">
      <w:bodyDiv w:val="1"/>
      <w:marLeft w:val="0"/>
      <w:marRight w:val="0"/>
      <w:marTop w:val="0"/>
      <w:marBottom w:val="0"/>
      <w:divBdr>
        <w:top w:val="none" w:sz="0" w:space="0" w:color="auto"/>
        <w:left w:val="none" w:sz="0" w:space="0" w:color="auto"/>
        <w:bottom w:val="none" w:sz="0" w:space="0" w:color="auto"/>
        <w:right w:val="none" w:sz="0" w:space="0" w:color="auto"/>
      </w:divBdr>
    </w:div>
    <w:div w:id="580143371">
      <w:bodyDiv w:val="1"/>
      <w:marLeft w:val="0"/>
      <w:marRight w:val="0"/>
      <w:marTop w:val="0"/>
      <w:marBottom w:val="0"/>
      <w:divBdr>
        <w:top w:val="none" w:sz="0" w:space="0" w:color="auto"/>
        <w:left w:val="none" w:sz="0" w:space="0" w:color="auto"/>
        <w:bottom w:val="none" w:sz="0" w:space="0" w:color="auto"/>
        <w:right w:val="none" w:sz="0" w:space="0" w:color="auto"/>
      </w:divBdr>
    </w:div>
    <w:div w:id="583496373">
      <w:bodyDiv w:val="1"/>
      <w:marLeft w:val="0"/>
      <w:marRight w:val="0"/>
      <w:marTop w:val="0"/>
      <w:marBottom w:val="0"/>
      <w:divBdr>
        <w:top w:val="none" w:sz="0" w:space="0" w:color="auto"/>
        <w:left w:val="none" w:sz="0" w:space="0" w:color="auto"/>
        <w:bottom w:val="none" w:sz="0" w:space="0" w:color="auto"/>
        <w:right w:val="none" w:sz="0" w:space="0" w:color="auto"/>
      </w:divBdr>
    </w:div>
    <w:div w:id="588469086">
      <w:bodyDiv w:val="1"/>
      <w:marLeft w:val="0"/>
      <w:marRight w:val="0"/>
      <w:marTop w:val="0"/>
      <w:marBottom w:val="0"/>
      <w:divBdr>
        <w:top w:val="none" w:sz="0" w:space="0" w:color="auto"/>
        <w:left w:val="none" w:sz="0" w:space="0" w:color="auto"/>
        <w:bottom w:val="none" w:sz="0" w:space="0" w:color="auto"/>
        <w:right w:val="none" w:sz="0" w:space="0" w:color="auto"/>
      </w:divBdr>
    </w:div>
    <w:div w:id="597643270">
      <w:bodyDiv w:val="1"/>
      <w:marLeft w:val="0"/>
      <w:marRight w:val="0"/>
      <w:marTop w:val="0"/>
      <w:marBottom w:val="0"/>
      <w:divBdr>
        <w:top w:val="none" w:sz="0" w:space="0" w:color="auto"/>
        <w:left w:val="none" w:sz="0" w:space="0" w:color="auto"/>
        <w:bottom w:val="none" w:sz="0" w:space="0" w:color="auto"/>
        <w:right w:val="none" w:sz="0" w:space="0" w:color="auto"/>
      </w:divBdr>
    </w:div>
    <w:div w:id="621158591">
      <w:bodyDiv w:val="1"/>
      <w:marLeft w:val="0"/>
      <w:marRight w:val="0"/>
      <w:marTop w:val="0"/>
      <w:marBottom w:val="0"/>
      <w:divBdr>
        <w:top w:val="none" w:sz="0" w:space="0" w:color="auto"/>
        <w:left w:val="none" w:sz="0" w:space="0" w:color="auto"/>
        <w:bottom w:val="none" w:sz="0" w:space="0" w:color="auto"/>
        <w:right w:val="none" w:sz="0" w:space="0" w:color="auto"/>
      </w:divBdr>
    </w:div>
    <w:div w:id="632102357">
      <w:bodyDiv w:val="1"/>
      <w:marLeft w:val="0"/>
      <w:marRight w:val="0"/>
      <w:marTop w:val="0"/>
      <w:marBottom w:val="0"/>
      <w:divBdr>
        <w:top w:val="none" w:sz="0" w:space="0" w:color="auto"/>
        <w:left w:val="none" w:sz="0" w:space="0" w:color="auto"/>
        <w:bottom w:val="none" w:sz="0" w:space="0" w:color="auto"/>
        <w:right w:val="none" w:sz="0" w:space="0" w:color="auto"/>
      </w:divBdr>
    </w:div>
    <w:div w:id="635330068">
      <w:bodyDiv w:val="1"/>
      <w:marLeft w:val="0"/>
      <w:marRight w:val="0"/>
      <w:marTop w:val="0"/>
      <w:marBottom w:val="0"/>
      <w:divBdr>
        <w:top w:val="none" w:sz="0" w:space="0" w:color="auto"/>
        <w:left w:val="none" w:sz="0" w:space="0" w:color="auto"/>
        <w:bottom w:val="none" w:sz="0" w:space="0" w:color="auto"/>
        <w:right w:val="none" w:sz="0" w:space="0" w:color="auto"/>
      </w:divBdr>
    </w:div>
    <w:div w:id="647245887">
      <w:bodyDiv w:val="1"/>
      <w:marLeft w:val="0"/>
      <w:marRight w:val="0"/>
      <w:marTop w:val="0"/>
      <w:marBottom w:val="0"/>
      <w:divBdr>
        <w:top w:val="none" w:sz="0" w:space="0" w:color="auto"/>
        <w:left w:val="none" w:sz="0" w:space="0" w:color="auto"/>
        <w:bottom w:val="none" w:sz="0" w:space="0" w:color="auto"/>
        <w:right w:val="none" w:sz="0" w:space="0" w:color="auto"/>
      </w:divBdr>
    </w:div>
    <w:div w:id="654184581">
      <w:bodyDiv w:val="1"/>
      <w:marLeft w:val="0"/>
      <w:marRight w:val="0"/>
      <w:marTop w:val="0"/>
      <w:marBottom w:val="0"/>
      <w:divBdr>
        <w:top w:val="none" w:sz="0" w:space="0" w:color="auto"/>
        <w:left w:val="none" w:sz="0" w:space="0" w:color="auto"/>
        <w:bottom w:val="none" w:sz="0" w:space="0" w:color="auto"/>
        <w:right w:val="none" w:sz="0" w:space="0" w:color="auto"/>
      </w:divBdr>
    </w:div>
    <w:div w:id="668749250">
      <w:bodyDiv w:val="1"/>
      <w:marLeft w:val="0"/>
      <w:marRight w:val="0"/>
      <w:marTop w:val="0"/>
      <w:marBottom w:val="0"/>
      <w:divBdr>
        <w:top w:val="none" w:sz="0" w:space="0" w:color="auto"/>
        <w:left w:val="none" w:sz="0" w:space="0" w:color="auto"/>
        <w:bottom w:val="none" w:sz="0" w:space="0" w:color="auto"/>
        <w:right w:val="none" w:sz="0" w:space="0" w:color="auto"/>
      </w:divBdr>
    </w:div>
    <w:div w:id="673000273">
      <w:bodyDiv w:val="1"/>
      <w:marLeft w:val="0"/>
      <w:marRight w:val="0"/>
      <w:marTop w:val="0"/>
      <w:marBottom w:val="0"/>
      <w:divBdr>
        <w:top w:val="none" w:sz="0" w:space="0" w:color="auto"/>
        <w:left w:val="none" w:sz="0" w:space="0" w:color="auto"/>
        <w:bottom w:val="none" w:sz="0" w:space="0" w:color="auto"/>
        <w:right w:val="none" w:sz="0" w:space="0" w:color="auto"/>
      </w:divBdr>
    </w:div>
    <w:div w:id="686295159">
      <w:bodyDiv w:val="1"/>
      <w:marLeft w:val="0"/>
      <w:marRight w:val="0"/>
      <w:marTop w:val="0"/>
      <w:marBottom w:val="0"/>
      <w:divBdr>
        <w:top w:val="none" w:sz="0" w:space="0" w:color="auto"/>
        <w:left w:val="none" w:sz="0" w:space="0" w:color="auto"/>
        <w:bottom w:val="none" w:sz="0" w:space="0" w:color="auto"/>
        <w:right w:val="none" w:sz="0" w:space="0" w:color="auto"/>
      </w:divBdr>
    </w:div>
    <w:div w:id="700790284">
      <w:bodyDiv w:val="1"/>
      <w:marLeft w:val="0"/>
      <w:marRight w:val="0"/>
      <w:marTop w:val="0"/>
      <w:marBottom w:val="0"/>
      <w:divBdr>
        <w:top w:val="none" w:sz="0" w:space="0" w:color="auto"/>
        <w:left w:val="none" w:sz="0" w:space="0" w:color="auto"/>
        <w:bottom w:val="none" w:sz="0" w:space="0" w:color="auto"/>
        <w:right w:val="none" w:sz="0" w:space="0" w:color="auto"/>
      </w:divBdr>
    </w:div>
    <w:div w:id="700938024">
      <w:bodyDiv w:val="1"/>
      <w:marLeft w:val="0"/>
      <w:marRight w:val="0"/>
      <w:marTop w:val="0"/>
      <w:marBottom w:val="0"/>
      <w:divBdr>
        <w:top w:val="none" w:sz="0" w:space="0" w:color="auto"/>
        <w:left w:val="none" w:sz="0" w:space="0" w:color="auto"/>
        <w:bottom w:val="none" w:sz="0" w:space="0" w:color="auto"/>
        <w:right w:val="none" w:sz="0" w:space="0" w:color="auto"/>
      </w:divBdr>
    </w:div>
    <w:div w:id="727072968">
      <w:bodyDiv w:val="1"/>
      <w:marLeft w:val="0"/>
      <w:marRight w:val="0"/>
      <w:marTop w:val="0"/>
      <w:marBottom w:val="0"/>
      <w:divBdr>
        <w:top w:val="none" w:sz="0" w:space="0" w:color="auto"/>
        <w:left w:val="none" w:sz="0" w:space="0" w:color="auto"/>
        <w:bottom w:val="none" w:sz="0" w:space="0" w:color="auto"/>
        <w:right w:val="none" w:sz="0" w:space="0" w:color="auto"/>
      </w:divBdr>
    </w:div>
    <w:div w:id="735710772">
      <w:bodyDiv w:val="1"/>
      <w:marLeft w:val="0"/>
      <w:marRight w:val="0"/>
      <w:marTop w:val="0"/>
      <w:marBottom w:val="0"/>
      <w:divBdr>
        <w:top w:val="none" w:sz="0" w:space="0" w:color="auto"/>
        <w:left w:val="none" w:sz="0" w:space="0" w:color="auto"/>
        <w:bottom w:val="none" w:sz="0" w:space="0" w:color="auto"/>
        <w:right w:val="none" w:sz="0" w:space="0" w:color="auto"/>
      </w:divBdr>
    </w:div>
    <w:div w:id="752239587">
      <w:bodyDiv w:val="1"/>
      <w:marLeft w:val="0"/>
      <w:marRight w:val="0"/>
      <w:marTop w:val="0"/>
      <w:marBottom w:val="0"/>
      <w:divBdr>
        <w:top w:val="none" w:sz="0" w:space="0" w:color="auto"/>
        <w:left w:val="none" w:sz="0" w:space="0" w:color="auto"/>
        <w:bottom w:val="none" w:sz="0" w:space="0" w:color="auto"/>
        <w:right w:val="none" w:sz="0" w:space="0" w:color="auto"/>
      </w:divBdr>
    </w:div>
    <w:div w:id="754277527">
      <w:bodyDiv w:val="1"/>
      <w:marLeft w:val="0"/>
      <w:marRight w:val="0"/>
      <w:marTop w:val="0"/>
      <w:marBottom w:val="0"/>
      <w:divBdr>
        <w:top w:val="none" w:sz="0" w:space="0" w:color="auto"/>
        <w:left w:val="none" w:sz="0" w:space="0" w:color="auto"/>
        <w:bottom w:val="none" w:sz="0" w:space="0" w:color="auto"/>
        <w:right w:val="none" w:sz="0" w:space="0" w:color="auto"/>
      </w:divBdr>
    </w:div>
    <w:div w:id="793139293">
      <w:bodyDiv w:val="1"/>
      <w:marLeft w:val="0"/>
      <w:marRight w:val="0"/>
      <w:marTop w:val="0"/>
      <w:marBottom w:val="0"/>
      <w:divBdr>
        <w:top w:val="none" w:sz="0" w:space="0" w:color="auto"/>
        <w:left w:val="none" w:sz="0" w:space="0" w:color="auto"/>
        <w:bottom w:val="none" w:sz="0" w:space="0" w:color="auto"/>
        <w:right w:val="none" w:sz="0" w:space="0" w:color="auto"/>
      </w:divBdr>
    </w:div>
    <w:div w:id="813181129">
      <w:bodyDiv w:val="1"/>
      <w:marLeft w:val="0"/>
      <w:marRight w:val="0"/>
      <w:marTop w:val="0"/>
      <w:marBottom w:val="0"/>
      <w:divBdr>
        <w:top w:val="none" w:sz="0" w:space="0" w:color="auto"/>
        <w:left w:val="none" w:sz="0" w:space="0" w:color="auto"/>
        <w:bottom w:val="none" w:sz="0" w:space="0" w:color="auto"/>
        <w:right w:val="none" w:sz="0" w:space="0" w:color="auto"/>
      </w:divBdr>
    </w:div>
    <w:div w:id="831219240">
      <w:bodyDiv w:val="1"/>
      <w:marLeft w:val="0"/>
      <w:marRight w:val="0"/>
      <w:marTop w:val="0"/>
      <w:marBottom w:val="0"/>
      <w:divBdr>
        <w:top w:val="none" w:sz="0" w:space="0" w:color="auto"/>
        <w:left w:val="none" w:sz="0" w:space="0" w:color="auto"/>
        <w:bottom w:val="none" w:sz="0" w:space="0" w:color="auto"/>
        <w:right w:val="none" w:sz="0" w:space="0" w:color="auto"/>
      </w:divBdr>
    </w:div>
    <w:div w:id="838470615">
      <w:bodyDiv w:val="1"/>
      <w:marLeft w:val="0"/>
      <w:marRight w:val="0"/>
      <w:marTop w:val="0"/>
      <w:marBottom w:val="0"/>
      <w:divBdr>
        <w:top w:val="none" w:sz="0" w:space="0" w:color="auto"/>
        <w:left w:val="none" w:sz="0" w:space="0" w:color="auto"/>
        <w:bottom w:val="none" w:sz="0" w:space="0" w:color="auto"/>
        <w:right w:val="none" w:sz="0" w:space="0" w:color="auto"/>
      </w:divBdr>
    </w:div>
    <w:div w:id="855575799">
      <w:bodyDiv w:val="1"/>
      <w:marLeft w:val="0"/>
      <w:marRight w:val="0"/>
      <w:marTop w:val="0"/>
      <w:marBottom w:val="0"/>
      <w:divBdr>
        <w:top w:val="none" w:sz="0" w:space="0" w:color="auto"/>
        <w:left w:val="none" w:sz="0" w:space="0" w:color="auto"/>
        <w:bottom w:val="none" w:sz="0" w:space="0" w:color="auto"/>
        <w:right w:val="none" w:sz="0" w:space="0" w:color="auto"/>
      </w:divBdr>
    </w:div>
    <w:div w:id="881210105">
      <w:bodyDiv w:val="1"/>
      <w:marLeft w:val="0"/>
      <w:marRight w:val="0"/>
      <w:marTop w:val="0"/>
      <w:marBottom w:val="0"/>
      <w:divBdr>
        <w:top w:val="none" w:sz="0" w:space="0" w:color="auto"/>
        <w:left w:val="none" w:sz="0" w:space="0" w:color="auto"/>
        <w:bottom w:val="none" w:sz="0" w:space="0" w:color="auto"/>
        <w:right w:val="none" w:sz="0" w:space="0" w:color="auto"/>
      </w:divBdr>
    </w:div>
    <w:div w:id="886457657">
      <w:bodyDiv w:val="1"/>
      <w:marLeft w:val="0"/>
      <w:marRight w:val="0"/>
      <w:marTop w:val="0"/>
      <w:marBottom w:val="0"/>
      <w:divBdr>
        <w:top w:val="none" w:sz="0" w:space="0" w:color="auto"/>
        <w:left w:val="none" w:sz="0" w:space="0" w:color="auto"/>
        <w:bottom w:val="none" w:sz="0" w:space="0" w:color="auto"/>
        <w:right w:val="none" w:sz="0" w:space="0" w:color="auto"/>
      </w:divBdr>
    </w:div>
    <w:div w:id="891424952">
      <w:bodyDiv w:val="1"/>
      <w:marLeft w:val="0"/>
      <w:marRight w:val="0"/>
      <w:marTop w:val="0"/>
      <w:marBottom w:val="0"/>
      <w:divBdr>
        <w:top w:val="none" w:sz="0" w:space="0" w:color="auto"/>
        <w:left w:val="none" w:sz="0" w:space="0" w:color="auto"/>
        <w:bottom w:val="none" w:sz="0" w:space="0" w:color="auto"/>
        <w:right w:val="none" w:sz="0" w:space="0" w:color="auto"/>
      </w:divBdr>
    </w:div>
    <w:div w:id="898129881">
      <w:bodyDiv w:val="1"/>
      <w:marLeft w:val="0"/>
      <w:marRight w:val="0"/>
      <w:marTop w:val="0"/>
      <w:marBottom w:val="0"/>
      <w:divBdr>
        <w:top w:val="none" w:sz="0" w:space="0" w:color="auto"/>
        <w:left w:val="none" w:sz="0" w:space="0" w:color="auto"/>
        <w:bottom w:val="none" w:sz="0" w:space="0" w:color="auto"/>
        <w:right w:val="none" w:sz="0" w:space="0" w:color="auto"/>
      </w:divBdr>
    </w:div>
    <w:div w:id="931664065">
      <w:bodyDiv w:val="1"/>
      <w:marLeft w:val="0"/>
      <w:marRight w:val="0"/>
      <w:marTop w:val="0"/>
      <w:marBottom w:val="0"/>
      <w:divBdr>
        <w:top w:val="none" w:sz="0" w:space="0" w:color="auto"/>
        <w:left w:val="none" w:sz="0" w:space="0" w:color="auto"/>
        <w:bottom w:val="none" w:sz="0" w:space="0" w:color="auto"/>
        <w:right w:val="none" w:sz="0" w:space="0" w:color="auto"/>
      </w:divBdr>
    </w:div>
    <w:div w:id="932977124">
      <w:bodyDiv w:val="1"/>
      <w:marLeft w:val="0"/>
      <w:marRight w:val="0"/>
      <w:marTop w:val="0"/>
      <w:marBottom w:val="0"/>
      <w:divBdr>
        <w:top w:val="none" w:sz="0" w:space="0" w:color="auto"/>
        <w:left w:val="none" w:sz="0" w:space="0" w:color="auto"/>
        <w:bottom w:val="none" w:sz="0" w:space="0" w:color="auto"/>
        <w:right w:val="none" w:sz="0" w:space="0" w:color="auto"/>
      </w:divBdr>
    </w:div>
    <w:div w:id="946354489">
      <w:bodyDiv w:val="1"/>
      <w:marLeft w:val="0"/>
      <w:marRight w:val="0"/>
      <w:marTop w:val="0"/>
      <w:marBottom w:val="0"/>
      <w:divBdr>
        <w:top w:val="none" w:sz="0" w:space="0" w:color="auto"/>
        <w:left w:val="none" w:sz="0" w:space="0" w:color="auto"/>
        <w:bottom w:val="none" w:sz="0" w:space="0" w:color="auto"/>
        <w:right w:val="none" w:sz="0" w:space="0" w:color="auto"/>
      </w:divBdr>
    </w:div>
    <w:div w:id="947272756">
      <w:bodyDiv w:val="1"/>
      <w:marLeft w:val="0"/>
      <w:marRight w:val="0"/>
      <w:marTop w:val="0"/>
      <w:marBottom w:val="0"/>
      <w:divBdr>
        <w:top w:val="none" w:sz="0" w:space="0" w:color="auto"/>
        <w:left w:val="none" w:sz="0" w:space="0" w:color="auto"/>
        <w:bottom w:val="none" w:sz="0" w:space="0" w:color="auto"/>
        <w:right w:val="none" w:sz="0" w:space="0" w:color="auto"/>
      </w:divBdr>
    </w:div>
    <w:div w:id="959798646">
      <w:bodyDiv w:val="1"/>
      <w:marLeft w:val="0"/>
      <w:marRight w:val="0"/>
      <w:marTop w:val="0"/>
      <w:marBottom w:val="0"/>
      <w:divBdr>
        <w:top w:val="none" w:sz="0" w:space="0" w:color="auto"/>
        <w:left w:val="none" w:sz="0" w:space="0" w:color="auto"/>
        <w:bottom w:val="none" w:sz="0" w:space="0" w:color="auto"/>
        <w:right w:val="none" w:sz="0" w:space="0" w:color="auto"/>
      </w:divBdr>
    </w:div>
    <w:div w:id="961229315">
      <w:bodyDiv w:val="1"/>
      <w:marLeft w:val="0"/>
      <w:marRight w:val="0"/>
      <w:marTop w:val="0"/>
      <w:marBottom w:val="0"/>
      <w:divBdr>
        <w:top w:val="none" w:sz="0" w:space="0" w:color="auto"/>
        <w:left w:val="none" w:sz="0" w:space="0" w:color="auto"/>
        <w:bottom w:val="none" w:sz="0" w:space="0" w:color="auto"/>
        <w:right w:val="none" w:sz="0" w:space="0" w:color="auto"/>
      </w:divBdr>
    </w:div>
    <w:div w:id="962003613">
      <w:bodyDiv w:val="1"/>
      <w:marLeft w:val="0"/>
      <w:marRight w:val="0"/>
      <w:marTop w:val="0"/>
      <w:marBottom w:val="0"/>
      <w:divBdr>
        <w:top w:val="none" w:sz="0" w:space="0" w:color="auto"/>
        <w:left w:val="none" w:sz="0" w:space="0" w:color="auto"/>
        <w:bottom w:val="none" w:sz="0" w:space="0" w:color="auto"/>
        <w:right w:val="none" w:sz="0" w:space="0" w:color="auto"/>
      </w:divBdr>
    </w:div>
    <w:div w:id="962149059">
      <w:bodyDiv w:val="1"/>
      <w:marLeft w:val="0"/>
      <w:marRight w:val="0"/>
      <w:marTop w:val="0"/>
      <w:marBottom w:val="0"/>
      <w:divBdr>
        <w:top w:val="none" w:sz="0" w:space="0" w:color="auto"/>
        <w:left w:val="none" w:sz="0" w:space="0" w:color="auto"/>
        <w:bottom w:val="none" w:sz="0" w:space="0" w:color="auto"/>
        <w:right w:val="none" w:sz="0" w:space="0" w:color="auto"/>
      </w:divBdr>
    </w:div>
    <w:div w:id="964770016">
      <w:bodyDiv w:val="1"/>
      <w:marLeft w:val="0"/>
      <w:marRight w:val="0"/>
      <w:marTop w:val="0"/>
      <w:marBottom w:val="0"/>
      <w:divBdr>
        <w:top w:val="none" w:sz="0" w:space="0" w:color="auto"/>
        <w:left w:val="none" w:sz="0" w:space="0" w:color="auto"/>
        <w:bottom w:val="none" w:sz="0" w:space="0" w:color="auto"/>
        <w:right w:val="none" w:sz="0" w:space="0" w:color="auto"/>
      </w:divBdr>
    </w:div>
    <w:div w:id="969021213">
      <w:bodyDiv w:val="1"/>
      <w:marLeft w:val="0"/>
      <w:marRight w:val="0"/>
      <w:marTop w:val="0"/>
      <w:marBottom w:val="0"/>
      <w:divBdr>
        <w:top w:val="none" w:sz="0" w:space="0" w:color="auto"/>
        <w:left w:val="none" w:sz="0" w:space="0" w:color="auto"/>
        <w:bottom w:val="none" w:sz="0" w:space="0" w:color="auto"/>
        <w:right w:val="none" w:sz="0" w:space="0" w:color="auto"/>
      </w:divBdr>
    </w:div>
    <w:div w:id="1008486945">
      <w:bodyDiv w:val="1"/>
      <w:marLeft w:val="0"/>
      <w:marRight w:val="0"/>
      <w:marTop w:val="0"/>
      <w:marBottom w:val="0"/>
      <w:divBdr>
        <w:top w:val="none" w:sz="0" w:space="0" w:color="auto"/>
        <w:left w:val="none" w:sz="0" w:space="0" w:color="auto"/>
        <w:bottom w:val="none" w:sz="0" w:space="0" w:color="auto"/>
        <w:right w:val="none" w:sz="0" w:space="0" w:color="auto"/>
      </w:divBdr>
    </w:div>
    <w:div w:id="1017193585">
      <w:bodyDiv w:val="1"/>
      <w:marLeft w:val="0"/>
      <w:marRight w:val="0"/>
      <w:marTop w:val="0"/>
      <w:marBottom w:val="0"/>
      <w:divBdr>
        <w:top w:val="none" w:sz="0" w:space="0" w:color="auto"/>
        <w:left w:val="none" w:sz="0" w:space="0" w:color="auto"/>
        <w:bottom w:val="none" w:sz="0" w:space="0" w:color="auto"/>
        <w:right w:val="none" w:sz="0" w:space="0" w:color="auto"/>
      </w:divBdr>
    </w:div>
    <w:div w:id="1027369010">
      <w:bodyDiv w:val="1"/>
      <w:marLeft w:val="0"/>
      <w:marRight w:val="0"/>
      <w:marTop w:val="0"/>
      <w:marBottom w:val="0"/>
      <w:divBdr>
        <w:top w:val="none" w:sz="0" w:space="0" w:color="auto"/>
        <w:left w:val="none" w:sz="0" w:space="0" w:color="auto"/>
        <w:bottom w:val="none" w:sz="0" w:space="0" w:color="auto"/>
        <w:right w:val="none" w:sz="0" w:space="0" w:color="auto"/>
      </w:divBdr>
    </w:div>
    <w:div w:id="1043557378">
      <w:bodyDiv w:val="1"/>
      <w:marLeft w:val="0"/>
      <w:marRight w:val="0"/>
      <w:marTop w:val="0"/>
      <w:marBottom w:val="0"/>
      <w:divBdr>
        <w:top w:val="none" w:sz="0" w:space="0" w:color="auto"/>
        <w:left w:val="none" w:sz="0" w:space="0" w:color="auto"/>
        <w:bottom w:val="none" w:sz="0" w:space="0" w:color="auto"/>
        <w:right w:val="none" w:sz="0" w:space="0" w:color="auto"/>
      </w:divBdr>
    </w:div>
    <w:div w:id="1043870490">
      <w:bodyDiv w:val="1"/>
      <w:marLeft w:val="0"/>
      <w:marRight w:val="0"/>
      <w:marTop w:val="0"/>
      <w:marBottom w:val="0"/>
      <w:divBdr>
        <w:top w:val="none" w:sz="0" w:space="0" w:color="auto"/>
        <w:left w:val="none" w:sz="0" w:space="0" w:color="auto"/>
        <w:bottom w:val="none" w:sz="0" w:space="0" w:color="auto"/>
        <w:right w:val="none" w:sz="0" w:space="0" w:color="auto"/>
      </w:divBdr>
    </w:div>
    <w:div w:id="1054352031">
      <w:bodyDiv w:val="1"/>
      <w:marLeft w:val="0"/>
      <w:marRight w:val="0"/>
      <w:marTop w:val="0"/>
      <w:marBottom w:val="0"/>
      <w:divBdr>
        <w:top w:val="none" w:sz="0" w:space="0" w:color="auto"/>
        <w:left w:val="none" w:sz="0" w:space="0" w:color="auto"/>
        <w:bottom w:val="none" w:sz="0" w:space="0" w:color="auto"/>
        <w:right w:val="none" w:sz="0" w:space="0" w:color="auto"/>
      </w:divBdr>
    </w:div>
    <w:div w:id="1065378023">
      <w:bodyDiv w:val="1"/>
      <w:marLeft w:val="0"/>
      <w:marRight w:val="0"/>
      <w:marTop w:val="0"/>
      <w:marBottom w:val="0"/>
      <w:divBdr>
        <w:top w:val="none" w:sz="0" w:space="0" w:color="auto"/>
        <w:left w:val="none" w:sz="0" w:space="0" w:color="auto"/>
        <w:bottom w:val="none" w:sz="0" w:space="0" w:color="auto"/>
        <w:right w:val="none" w:sz="0" w:space="0" w:color="auto"/>
      </w:divBdr>
    </w:div>
    <w:div w:id="1073167117">
      <w:bodyDiv w:val="1"/>
      <w:marLeft w:val="0"/>
      <w:marRight w:val="0"/>
      <w:marTop w:val="0"/>
      <w:marBottom w:val="0"/>
      <w:divBdr>
        <w:top w:val="none" w:sz="0" w:space="0" w:color="auto"/>
        <w:left w:val="none" w:sz="0" w:space="0" w:color="auto"/>
        <w:bottom w:val="none" w:sz="0" w:space="0" w:color="auto"/>
        <w:right w:val="none" w:sz="0" w:space="0" w:color="auto"/>
      </w:divBdr>
    </w:div>
    <w:div w:id="1078820617">
      <w:bodyDiv w:val="1"/>
      <w:marLeft w:val="0"/>
      <w:marRight w:val="0"/>
      <w:marTop w:val="0"/>
      <w:marBottom w:val="0"/>
      <w:divBdr>
        <w:top w:val="none" w:sz="0" w:space="0" w:color="auto"/>
        <w:left w:val="none" w:sz="0" w:space="0" w:color="auto"/>
        <w:bottom w:val="none" w:sz="0" w:space="0" w:color="auto"/>
        <w:right w:val="none" w:sz="0" w:space="0" w:color="auto"/>
      </w:divBdr>
    </w:div>
    <w:div w:id="1080298113">
      <w:bodyDiv w:val="1"/>
      <w:marLeft w:val="0"/>
      <w:marRight w:val="0"/>
      <w:marTop w:val="0"/>
      <w:marBottom w:val="0"/>
      <w:divBdr>
        <w:top w:val="none" w:sz="0" w:space="0" w:color="auto"/>
        <w:left w:val="none" w:sz="0" w:space="0" w:color="auto"/>
        <w:bottom w:val="none" w:sz="0" w:space="0" w:color="auto"/>
        <w:right w:val="none" w:sz="0" w:space="0" w:color="auto"/>
      </w:divBdr>
    </w:div>
    <w:div w:id="1080567745">
      <w:bodyDiv w:val="1"/>
      <w:marLeft w:val="0"/>
      <w:marRight w:val="0"/>
      <w:marTop w:val="0"/>
      <w:marBottom w:val="0"/>
      <w:divBdr>
        <w:top w:val="none" w:sz="0" w:space="0" w:color="auto"/>
        <w:left w:val="none" w:sz="0" w:space="0" w:color="auto"/>
        <w:bottom w:val="none" w:sz="0" w:space="0" w:color="auto"/>
        <w:right w:val="none" w:sz="0" w:space="0" w:color="auto"/>
      </w:divBdr>
    </w:div>
    <w:div w:id="1089042379">
      <w:bodyDiv w:val="1"/>
      <w:marLeft w:val="0"/>
      <w:marRight w:val="0"/>
      <w:marTop w:val="0"/>
      <w:marBottom w:val="0"/>
      <w:divBdr>
        <w:top w:val="none" w:sz="0" w:space="0" w:color="auto"/>
        <w:left w:val="none" w:sz="0" w:space="0" w:color="auto"/>
        <w:bottom w:val="none" w:sz="0" w:space="0" w:color="auto"/>
        <w:right w:val="none" w:sz="0" w:space="0" w:color="auto"/>
      </w:divBdr>
    </w:div>
    <w:div w:id="1111362223">
      <w:bodyDiv w:val="1"/>
      <w:marLeft w:val="0"/>
      <w:marRight w:val="0"/>
      <w:marTop w:val="0"/>
      <w:marBottom w:val="0"/>
      <w:divBdr>
        <w:top w:val="none" w:sz="0" w:space="0" w:color="auto"/>
        <w:left w:val="none" w:sz="0" w:space="0" w:color="auto"/>
        <w:bottom w:val="none" w:sz="0" w:space="0" w:color="auto"/>
        <w:right w:val="none" w:sz="0" w:space="0" w:color="auto"/>
      </w:divBdr>
    </w:div>
    <w:div w:id="1117794372">
      <w:bodyDiv w:val="1"/>
      <w:marLeft w:val="0"/>
      <w:marRight w:val="0"/>
      <w:marTop w:val="0"/>
      <w:marBottom w:val="0"/>
      <w:divBdr>
        <w:top w:val="none" w:sz="0" w:space="0" w:color="auto"/>
        <w:left w:val="none" w:sz="0" w:space="0" w:color="auto"/>
        <w:bottom w:val="none" w:sz="0" w:space="0" w:color="auto"/>
        <w:right w:val="none" w:sz="0" w:space="0" w:color="auto"/>
      </w:divBdr>
    </w:div>
    <w:div w:id="1120418378">
      <w:bodyDiv w:val="1"/>
      <w:marLeft w:val="0"/>
      <w:marRight w:val="0"/>
      <w:marTop w:val="0"/>
      <w:marBottom w:val="0"/>
      <w:divBdr>
        <w:top w:val="none" w:sz="0" w:space="0" w:color="auto"/>
        <w:left w:val="none" w:sz="0" w:space="0" w:color="auto"/>
        <w:bottom w:val="none" w:sz="0" w:space="0" w:color="auto"/>
        <w:right w:val="none" w:sz="0" w:space="0" w:color="auto"/>
      </w:divBdr>
    </w:div>
    <w:div w:id="1137452267">
      <w:bodyDiv w:val="1"/>
      <w:marLeft w:val="0"/>
      <w:marRight w:val="0"/>
      <w:marTop w:val="0"/>
      <w:marBottom w:val="0"/>
      <w:divBdr>
        <w:top w:val="none" w:sz="0" w:space="0" w:color="auto"/>
        <w:left w:val="none" w:sz="0" w:space="0" w:color="auto"/>
        <w:bottom w:val="none" w:sz="0" w:space="0" w:color="auto"/>
        <w:right w:val="none" w:sz="0" w:space="0" w:color="auto"/>
      </w:divBdr>
    </w:div>
    <w:div w:id="1153178653">
      <w:bodyDiv w:val="1"/>
      <w:marLeft w:val="0"/>
      <w:marRight w:val="0"/>
      <w:marTop w:val="0"/>
      <w:marBottom w:val="0"/>
      <w:divBdr>
        <w:top w:val="none" w:sz="0" w:space="0" w:color="auto"/>
        <w:left w:val="none" w:sz="0" w:space="0" w:color="auto"/>
        <w:bottom w:val="none" w:sz="0" w:space="0" w:color="auto"/>
        <w:right w:val="none" w:sz="0" w:space="0" w:color="auto"/>
      </w:divBdr>
    </w:div>
    <w:div w:id="1163623400">
      <w:bodyDiv w:val="1"/>
      <w:marLeft w:val="0"/>
      <w:marRight w:val="0"/>
      <w:marTop w:val="0"/>
      <w:marBottom w:val="0"/>
      <w:divBdr>
        <w:top w:val="none" w:sz="0" w:space="0" w:color="auto"/>
        <w:left w:val="none" w:sz="0" w:space="0" w:color="auto"/>
        <w:bottom w:val="none" w:sz="0" w:space="0" w:color="auto"/>
        <w:right w:val="none" w:sz="0" w:space="0" w:color="auto"/>
      </w:divBdr>
    </w:div>
    <w:div w:id="1167867744">
      <w:bodyDiv w:val="1"/>
      <w:marLeft w:val="0"/>
      <w:marRight w:val="0"/>
      <w:marTop w:val="0"/>
      <w:marBottom w:val="0"/>
      <w:divBdr>
        <w:top w:val="none" w:sz="0" w:space="0" w:color="auto"/>
        <w:left w:val="none" w:sz="0" w:space="0" w:color="auto"/>
        <w:bottom w:val="none" w:sz="0" w:space="0" w:color="auto"/>
        <w:right w:val="none" w:sz="0" w:space="0" w:color="auto"/>
      </w:divBdr>
    </w:div>
    <w:div w:id="1170562092">
      <w:bodyDiv w:val="1"/>
      <w:marLeft w:val="0"/>
      <w:marRight w:val="0"/>
      <w:marTop w:val="0"/>
      <w:marBottom w:val="0"/>
      <w:divBdr>
        <w:top w:val="none" w:sz="0" w:space="0" w:color="auto"/>
        <w:left w:val="none" w:sz="0" w:space="0" w:color="auto"/>
        <w:bottom w:val="none" w:sz="0" w:space="0" w:color="auto"/>
        <w:right w:val="none" w:sz="0" w:space="0" w:color="auto"/>
      </w:divBdr>
    </w:div>
    <w:div w:id="1174299821">
      <w:bodyDiv w:val="1"/>
      <w:marLeft w:val="0"/>
      <w:marRight w:val="0"/>
      <w:marTop w:val="0"/>
      <w:marBottom w:val="0"/>
      <w:divBdr>
        <w:top w:val="none" w:sz="0" w:space="0" w:color="auto"/>
        <w:left w:val="none" w:sz="0" w:space="0" w:color="auto"/>
        <w:bottom w:val="none" w:sz="0" w:space="0" w:color="auto"/>
        <w:right w:val="none" w:sz="0" w:space="0" w:color="auto"/>
      </w:divBdr>
    </w:div>
    <w:div w:id="1177692726">
      <w:bodyDiv w:val="1"/>
      <w:marLeft w:val="0"/>
      <w:marRight w:val="0"/>
      <w:marTop w:val="0"/>
      <w:marBottom w:val="0"/>
      <w:divBdr>
        <w:top w:val="none" w:sz="0" w:space="0" w:color="auto"/>
        <w:left w:val="none" w:sz="0" w:space="0" w:color="auto"/>
        <w:bottom w:val="none" w:sz="0" w:space="0" w:color="auto"/>
        <w:right w:val="none" w:sz="0" w:space="0" w:color="auto"/>
      </w:divBdr>
    </w:div>
    <w:div w:id="1212962440">
      <w:bodyDiv w:val="1"/>
      <w:marLeft w:val="0"/>
      <w:marRight w:val="0"/>
      <w:marTop w:val="0"/>
      <w:marBottom w:val="0"/>
      <w:divBdr>
        <w:top w:val="none" w:sz="0" w:space="0" w:color="auto"/>
        <w:left w:val="none" w:sz="0" w:space="0" w:color="auto"/>
        <w:bottom w:val="none" w:sz="0" w:space="0" w:color="auto"/>
        <w:right w:val="none" w:sz="0" w:space="0" w:color="auto"/>
      </w:divBdr>
    </w:div>
    <w:div w:id="1276403220">
      <w:bodyDiv w:val="1"/>
      <w:marLeft w:val="0"/>
      <w:marRight w:val="0"/>
      <w:marTop w:val="0"/>
      <w:marBottom w:val="0"/>
      <w:divBdr>
        <w:top w:val="none" w:sz="0" w:space="0" w:color="auto"/>
        <w:left w:val="none" w:sz="0" w:space="0" w:color="auto"/>
        <w:bottom w:val="none" w:sz="0" w:space="0" w:color="auto"/>
        <w:right w:val="none" w:sz="0" w:space="0" w:color="auto"/>
      </w:divBdr>
    </w:div>
    <w:div w:id="1302418053">
      <w:bodyDiv w:val="1"/>
      <w:marLeft w:val="0"/>
      <w:marRight w:val="0"/>
      <w:marTop w:val="0"/>
      <w:marBottom w:val="0"/>
      <w:divBdr>
        <w:top w:val="none" w:sz="0" w:space="0" w:color="auto"/>
        <w:left w:val="none" w:sz="0" w:space="0" w:color="auto"/>
        <w:bottom w:val="none" w:sz="0" w:space="0" w:color="auto"/>
        <w:right w:val="none" w:sz="0" w:space="0" w:color="auto"/>
      </w:divBdr>
    </w:div>
    <w:div w:id="1304966952">
      <w:bodyDiv w:val="1"/>
      <w:marLeft w:val="0"/>
      <w:marRight w:val="0"/>
      <w:marTop w:val="0"/>
      <w:marBottom w:val="0"/>
      <w:divBdr>
        <w:top w:val="none" w:sz="0" w:space="0" w:color="auto"/>
        <w:left w:val="none" w:sz="0" w:space="0" w:color="auto"/>
        <w:bottom w:val="none" w:sz="0" w:space="0" w:color="auto"/>
        <w:right w:val="none" w:sz="0" w:space="0" w:color="auto"/>
      </w:divBdr>
    </w:div>
    <w:div w:id="1314022708">
      <w:bodyDiv w:val="1"/>
      <w:marLeft w:val="0"/>
      <w:marRight w:val="0"/>
      <w:marTop w:val="0"/>
      <w:marBottom w:val="0"/>
      <w:divBdr>
        <w:top w:val="none" w:sz="0" w:space="0" w:color="auto"/>
        <w:left w:val="none" w:sz="0" w:space="0" w:color="auto"/>
        <w:bottom w:val="none" w:sz="0" w:space="0" w:color="auto"/>
        <w:right w:val="none" w:sz="0" w:space="0" w:color="auto"/>
      </w:divBdr>
    </w:div>
    <w:div w:id="1319264703">
      <w:bodyDiv w:val="1"/>
      <w:marLeft w:val="0"/>
      <w:marRight w:val="0"/>
      <w:marTop w:val="0"/>
      <w:marBottom w:val="0"/>
      <w:divBdr>
        <w:top w:val="none" w:sz="0" w:space="0" w:color="auto"/>
        <w:left w:val="none" w:sz="0" w:space="0" w:color="auto"/>
        <w:bottom w:val="none" w:sz="0" w:space="0" w:color="auto"/>
        <w:right w:val="none" w:sz="0" w:space="0" w:color="auto"/>
      </w:divBdr>
    </w:div>
    <w:div w:id="1336808736">
      <w:bodyDiv w:val="1"/>
      <w:marLeft w:val="0"/>
      <w:marRight w:val="0"/>
      <w:marTop w:val="0"/>
      <w:marBottom w:val="0"/>
      <w:divBdr>
        <w:top w:val="none" w:sz="0" w:space="0" w:color="auto"/>
        <w:left w:val="none" w:sz="0" w:space="0" w:color="auto"/>
        <w:bottom w:val="none" w:sz="0" w:space="0" w:color="auto"/>
        <w:right w:val="none" w:sz="0" w:space="0" w:color="auto"/>
      </w:divBdr>
    </w:div>
    <w:div w:id="1341159290">
      <w:bodyDiv w:val="1"/>
      <w:marLeft w:val="0"/>
      <w:marRight w:val="0"/>
      <w:marTop w:val="0"/>
      <w:marBottom w:val="0"/>
      <w:divBdr>
        <w:top w:val="none" w:sz="0" w:space="0" w:color="auto"/>
        <w:left w:val="none" w:sz="0" w:space="0" w:color="auto"/>
        <w:bottom w:val="none" w:sz="0" w:space="0" w:color="auto"/>
        <w:right w:val="none" w:sz="0" w:space="0" w:color="auto"/>
      </w:divBdr>
    </w:div>
    <w:div w:id="1341203778">
      <w:bodyDiv w:val="1"/>
      <w:marLeft w:val="0"/>
      <w:marRight w:val="0"/>
      <w:marTop w:val="0"/>
      <w:marBottom w:val="0"/>
      <w:divBdr>
        <w:top w:val="none" w:sz="0" w:space="0" w:color="auto"/>
        <w:left w:val="none" w:sz="0" w:space="0" w:color="auto"/>
        <w:bottom w:val="none" w:sz="0" w:space="0" w:color="auto"/>
        <w:right w:val="none" w:sz="0" w:space="0" w:color="auto"/>
      </w:divBdr>
    </w:div>
    <w:div w:id="1349407610">
      <w:bodyDiv w:val="1"/>
      <w:marLeft w:val="0"/>
      <w:marRight w:val="0"/>
      <w:marTop w:val="0"/>
      <w:marBottom w:val="0"/>
      <w:divBdr>
        <w:top w:val="none" w:sz="0" w:space="0" w:color="auto"/>
        <w:left w:val="none" w:sz="0" w:space="0" w:color="auto"/>
        <w:bottom w:val="none" w:sz="0" w:space="0" w:color="auto"/>
        <w:right w:val="none" w:sz="0" w:space="0" w:color="auto"/>
      </w:divBdr>
    </w:div>
    <w:div w:id="1366905899">
      <w:bodyDiv w:val="1"/>
      <w:marLeft w:val="0"/>
      <w:marRight w:val="0"/>
      <w:marTop w:val="0"/>
      <w:marBottom w:val="0"/>
      <w:divBdr>
        <w:top w:val="none" w:sz="0" w:space="0" w:color="auto"/>
        <w:left w:val="none" w:sz="0" w:space="0" w:color="auto"/>
        <w:bottom w:val="none" w:sz="0" w:space="0" w:color="auto"/>
        <w:right w:val="none" w:sz="0" w:space="0" w:color="auto"/>
      </w:divBdr>
    </w:div>
    <w:div w:id="1368751652">
      <w:bodyDiv w:val="1"/>
      <w:marLeft w:val="0"/>
      <w:marRight w:val="0"/>
      <w:marTop w:val="0"/>
      <w:marBottom w:val="0"/>
      <w:divBdr>
        <w:top w:val="none" w:sz="0" w:space="0" w:color="auto"/>
        <w:left w:val="none" w:sz="0" w:space="0" w:color="auto"/>
        <w:bottom w:val="none" w:sz="0" w:space="0" w:color="auto"/>
        <w:right w:val="none" w:sz="0" w:space="0" w:color="auto"/>
      </w:divBdr>
    </w:div>
    <w:div w:id="1376738830">
      <w:bodyDiv w:val="1"/>
      <w:marLeft w:val="0"/>
      <w:marRight w:val="0"/>
      <w:marTop w:val="0"/>
      <w:marBottom w:val="0"/>
      <w:divBdr>
        <w:top w:val="none" w:sz="0" w:space="0" w:color="auto"/>
        <w:left w:val="none" w:sz="0" w:space="0" w:color="auto"/>
        <w:bottom w:val="none" w:sz="0" w:space="0" w:color="auto"/>
        <w:right w:val="none" w:sz="0" w:space="0" w:color="auto"/>
      </w:divBdr>
    </w:div>
    <w:div w:id="1383360972">
      <w:bodyDiv w:val="1"/>
      <w:marLeft w:val="0"/>
      <w:marRight w:val="0"/>
      <w:marTop w:val="0"/>
      <w:marBottom w:val="0"/>
      <w:divBdr>
        <w:top w:val="none" w:sz="0" w:space="0" w:color="auto"/>
        <w:left w:val="none" w:sz="0" w:space="0" w:color="auto"/>
        <w:bottom w:val="none" w:sz="0" w:space="0" w:color="auto"/>
        <w:right w:val="none" w:sz="0" w:space="0" w:color="auto"/>
      </w:divBdr>
    </w:div>
    <w:div w:id="1384644975">
      <w:bodyDiv w:val="1"/>
      <w:marLeft w:val="0"/>
      <w:marRight w:val="0"/>
      <w:marTop w:val="0"/>
      <w:marBottom w:val="0"/>
      <w:divBdr>
        <w:top w:val="none" w:sz="0" w:space="0" w:color="auto"/>
        <w:left w:val="none" w:sz="0" w:space="0" w:color="auto"/>
        <w:bottom w:val="none" w:sz="0" w:space="0" w:color="auto"/>
        <w:right w:val="none" w:sz="0" w:space="0" w:color="auto"/>
      </w:divBdr>
    </w:div>
    <w:div w:id="1391804709">
      <w:bodyDiv w:val="1"/>
      <w:marLeft w:val="0"/>
      <w:marRight w:val="0"/>
      <w:marTop w:val="0"/>
      <w:marBottom w:val="0"/>
      <w:divBdr>
        <w:top w:val="none" w:sz="0" w:space="0" w:color="auto"/>
        <w:left w:val="none" w:sz="0" w:space="0" w:color="auto"/>
        <w:bottom w:val="none" w:sz="0" w:space="0" w:color="auto"/>
        <w:right w:val="none" w:sz="0" w:space="0" w:color="auto"/>
      </w:divBdr>
    </w:div>
    <w:div w:id="1425614438">
      <w:bodyDiv w:val="1"/>
      <w:marLeft w:val="0"/>
      <w:marRight w:val="0"/>
      <w:marTop w:val="0"/>
      <w:marBottom w:val="0"/>
      <w:divBdr>
        <w:top w:val="none" w:sz="0" w:space="0" w:color="auto"/>
        <w:left w:val="none" w:sz="0" w:space="0" w:color="auto"/>
        <w:bottom w:val="none" w:sz="0" w:space="0" w:color="auto"/>
        <w:right w:val="none" w:sz="0" w:space="0" w:color="auto"/>
      </w:divBdr>
    </w:div>
    <w:div w:id="1434085249">
      <w:bodyDiv w:val="1"/>
      <w:marLeft w:val="0"/>
      <w:marRight w:val="0"/>
      <w:marTop w:val="0"/>
      <w:marBottom w:val="0"/>
      <w:divBdr>
        <w:top w:val="none" w:sz="0" w:space="0" w:color="auto"/>
        <w:left w:val="none" w:sz="0" w:space="0" w:color="auto"/>
        <w:bottom w:val="none" w:sz="0" w:space="0" w:color="auto"/>
        <w:right w:val="none" w:sz="0" w:space="0" w:color="auto"/>
      </w:divBdr>
    </w:div>
    <w:div w:id="1436680319">
      <w:bodyDiv w:val="1"/>
      <w:marLeft w:val="0"/>
      <w:marRight w:val="0"/>
      <w:marTop w:val="0"/>
      <w:marBottom w:val="0"/>
      <w:divBdr>
        <w:top w:val="none" w:sz="0" w:space="0" w:color="auto"/>
        <w:left w:val="none" w:sz="0" w:space="0" w:color="auto"/>
        <w:bottom w:val="none" w:sz="0" w:space="0" w:color="auto"/>
        <w:right w:val="none" w:sz="0" w:space="0" w:color="auto"/>
      </w:divBdr>
    </w:div>
    <w:div w:id="1442918783">
      <w:bodyDiv w:val="1"/>
      <w:marLeft w:val="0"/>
      <w:marRight w:val="0"/>
      <w:marTop w:val="0"/>
      <w:marBottom w:val="0"/>
      <w:divBdr>
        <w:top w:val="none" w:sz="0" w:space="0" w:color="auto"/>
        <w:left w:val="none" w:sz="0" w:space="0" w:color="auto"/>
        <w:bottom w:val="none" w:sz="0" w:space="0" w:color="auto"/>
        <w:right w:val="none" w:sz="0" w:space="0" w:color="auto"/>
      </w:divBdr>
    </w:div>
    <w:div w:id="1447508667">
      <w:bodyDiv w:val="1"/>
      <w:marLeft w:val="0"/>
      <w:marRight w:val="0"/>
      <w:marTop w:val="0"/>
      <w:marBottom w:val="0"/>
      <w:divBdr>
        <w:top w:val="none" w:sz="0" w:space="0" w:color="auto"/>
        <w:left w:val="none" w:sz="0" w:space="0" w:color="auto"/>
        <w:bottom w:val="none" w:sz="0" w:space="0" w:color="auto"/>
        <w:right w:val="none" w:sz="0" w:space="0" w:color="auto"/>
      </w:divBdr>
    </w:div>
    <w:div w:id="1448112320">
      <w:bodyDiv w:val="1"/>
      <w:marLeft w:val="0"/>
      <w:marRight w:val="0"/>
      <w:marTop w:val="0"/>
      <w:marBottom w:val="0"/>
      <w:divBdr>
        <w:top w:val="none" w:sz="0" w:space="0" w:color="auto"/>
        <w:left w:val="none" w:sz="0" w:space="0" w:color="auto"/>
        <w:bottom w:val="none" w:sz="0" w:space="0" w:color="auto"/>
        <w:right w:val="none" w:sz="0" w:space="0" w:color="auto"/>
      </w:divBdr>
    </w:div>
    <w:div w:id="1455640067">
      <w:bodyDiv w:val="1"/>
      <w:marLeft w:val="0"/>
      <w:marRight w:val="0"/>
      <w:marTop w:val="0"/>
      <w:marBottom w:val="0"/>
      <w:divBdr>
        <w:top w:val="none" w:sz="0" w:space="0" w:color="auto"/>
        <w:left w:val="none" w:sz="0" w:space="0" w:color="auto"/>
        <w:bottom w:val="none" w:sz="0" w:space="0" w:color="auto"/>
        <w:right w:val="none" w:sz="0" w:space="0" w:color="auto"/>
      </w:divBdr>
    </w:div>
    <w:div w:id="1458990895">
      <w:bodyDiv w:val="1"/>
      <w:marLeft w:val="0"/>
      <w:marRight w:val="0"/>
      <w:marTop w:val="0"/>
      <w:marBottom w:val="0"/>
      <w:divBdr>
        <w:top w:val="none" w:sz="0" w:space="0" w:color="auto"/>
        <w:left w:val="none" w:sz="0" w:space="0" w:color="auto"/>
        <w:bottom w:val="none" w:sz="0" w:space="0" w:color="auto"/>
        <w:right w:val="none" w:sz="0" w:space="0" w:color="auto"/>
      </w:divBdr>
    </w:div>
    <w:div w:id="1464928957">
      <w:bodyDiv w:val="1"/>
      <w:marLeft w:val="0"/>
      <w:marRight w:val="0"/>
      <w:marTop w:val="0"/>
      <w:marBottom w:val="0"/>
      <w:divBdr>
        <w:top w:val="none" w:sz="0" w:space="0" w:color="auto"/>
        <w:left w:val="none" w:sz="0" w:space="0" w:color="auto"/>
        <w:bottom w:val="none" w:sz="0" w:space="0" w:color="auto"/>
        <w:right w:val="none" w:sz="0" w:space="0" w:color="auto"/>
      </w:divBdr>
    </w:div>
    <w:div w:id="1466654743">
      <w:bodyDiv w:val="1"/>
      <w:marLeft w:val="0"/>
      <w:marRight w:val="0"/>
      <w:marTop w:val="0"/>
      <w:marBottom w:val="0"/>
      <w:divBdr>
        <w:top w:val="none" w:sz="0" w:space="0" w:color="auto"/>
        <w:left w:val="none" w:sz="0" w:space="0" w:color="auto"/>
        <w:bottom w:val="none" w:sz="0" w:space="0" w:color="auto"/>
        <w:right w:val="none" w:sz="0" w:space="0" w:color="auto"/>
      </w:divBdr>
    </w:div>
    <w:div w:id="1468862624">
      <w:bodyDiv w:val="1"/>
      <w:marLeft w:val="0"/>
      <w:marRight w:val="0"/>
      <w:marTop w:val="0"/>
      <w:marBottom w:val="0"/>
      <w:divBdr>
        <w:top w:val="none" w:sz="0" w:space="0" w:color="auto"/>
        <w:left w:val="none" w:sz="0" w:space="0" w:color="auto"/>
        <w:bottom w:val="none" w:sz="0" w:space="0" w:color="auto"/>
        <w:right w:val="none" w:sz="0" w:space="0" w:color="auto"/>
      </w:divBdr>
    </w:div>
    <w:div w:id="1476878020">
      <w:bodyDiv w:val="1"/>
      <w:marLeft w:val="0"/>
      <w:marRight w:val="0"/>
      <w:marTop w:val="0"/>
      <w:marBottom w:val="0"/>
      <w:divBdr>
        <w:top w:val="none" w:sz="0" w:space="0" w:color="auto"/>
        <w:left w:val="none" w:sz="0" w:space="0" w:color="auto"/>
        <w:bottom w:val="none" w:sz="0" w:space="0" w:color="auto"/>
        <w:right w:val="none" w:sz="0" w:space="0" w:color="auto"/>
      </w:divBdr>
    </w:div>
    <w:div w:id="1504855290">
      <w:bodyDiv w:val="1"/>
      <w:marLeft w:val="0"/>
      <w:marRight w:val="0"/>
      <w:marTop w:val="0"/>
      <w:marBottom w:val="0"/>
      <w:divBdr>
        <w:top w:val="none" w:sz="0" w:space="0" w:color="auto"/>
        <w:left w:val="none" w:sz="0" w:space="0" w:color="auto"/>
        <w:bottom w:val="none" w:sz="0" w:space="0" w:color="auto"/>
        <w:right w:val="none" w:sz="0" w:space="0" w:color="auto"/>
      </w:divBdr>
    </w:div>
    <w:div w:id="1505852353">
      <w:bodyDiv w:val="1"/>
      <w:marLeft w:val="0"/>
      <w:marRight w:val="0"/>
      <w:marTop w:val="0"/>
      <w:marBottom w:val="0"/>
      <w:divBdr>
        <w:top w:val="none" w:sz="0" w:space="0" w:color="auto"/>
        <w:left w:val="none" w:sz="0" w:space="0" w:color="auto"/>
        <w:bottom w:val="none" w:sz="0" w:space="0" w:color="auto"/>
        <w:right w:val="none" w:sz="0" w:space="0" w:color="auto"/>
      </w:divBdr>
    </w:div>
    <w:div w:id="1505976091">
      <w:bodyDiv w:val="1"/>
      <w:marLeft w:val="0"/>
      <w:marRight w:val="0"/>
      <w:marTop w:val="0"/>
      <w:marBottom w:val="0"/>
      <w:divBdr>
        <w:top w:val="none" w:sz="0" w:space="0" w:color="auto"/>
        <w:left w:val="none" w:sz="0" w:space="0" w:color="auto"/>
        <w:bottom w:val="none" w:sz="0" w:space="0" w:color="auto"/>
        <w:right w:val="none" w:sz="0" w:space="0" w:color="auto"/>
      </w:divBdr>
    </w:div>
    <w:div w:id="1526627155">
      <w:bodyDiv w:val="1"/>
      <w:marLeft w:val="0"/>
      <w:marRight w:val="0"/>
      <w:marTop w:val="0"/>
      <w:marBottom w:val="0"/>
      <w:divBdr>
        <w:top w:val="none" w:sz="0" w:space="0" w:color="auto"/>
        <w:left w:val="none" w:sz="0" w:space="0" w:color="auto"/>
        <w:bottom w:val="none" w:sz="0" w:space="0" w:color="auto"/>
        <w:right w:val="none" w:sz="0" w:space="0" w:color="auto"/>
      </w:divBdr>
    </w:div>
    <w:div w:id="1531214793">
      <w:bodyDiv w:val="1"/>
      <w:marLeft w:val="0"/>
      <w:marRight w:val="0"/>
      <w:marTop w:val="0"/>
      <w:marBottom w:val="0"/>
      <w:divBdr>
        <w:top w:val="none" w:sz="0" w:space="0" w:color="auto"/>
        <w:left w:val="none" w:sz="0" w:space="0" w:color="auto"/>
        <w:bottom w:val="none" w:sz="0" w:space="0" w:color="auto"/>
        <w:right w:val="none" w:sz="0" w:space="0" w:color="auto"/>
      </w:divBdr>
    </w:div>
    <w:div w:id="1533037544">
      <w:bodyDiv w:val="1"/>
      <w:marLeft w:val="0"/>
      <w:marRight w:val="0"/>
      <w:marTop w:val="0"/>
      <w:marBottom w:val="0"/>
      <w:divBdr>
        <w:top w:val="none" w:sz="0" w:space="0" w:color="auto"/>
        <w:left w:val="none" w:sz="0" w:space="0" w:color="auto"/>
        <w:bottom w:val="none" w:sz="0" w:space="0" w:color="auto"/>
        <w:right w:val="none" w:sz="0" w:space="0" w:color="auto"/>
      </w:divBdr>
    </w:div>
    <w:div w:id="1536654373">
      <w:bodyDiv w:val="1"/>
      <w:marLeft w:val="0"/>
      <w:marRight w:val="0"/>
      <w:marTop w:val="0"/>
      <w:marBottom w:val="0"/>
      <w:divBdr>
        <w:top w:val="none" w:sz="0" w:space="0" w:color="auto"/>
        <w:left w:val="none" w:sz="0" w:space="0" w:color="auto"/>
        <w:bottom w:val="none" w:sz="0" w:space="0" w:color="auto"/>
        <w:right w:val="none" w:sz="0" w:space="0" w:color="auto"/>
      </w:divBdr>
    </w:div>
    <w:div w:id="1536767003">
      <w:bodyDiv w:val="1"/>
      <w:marLeft w:val="0"/>
      <w:marRight w:val="0"/>
      <w:marTop w:val="0"/>
      <w:marBottom w:val="0"/>
      <w:divBdr>
        <w:top w:val="none" w:sz="0" w:space="0" w:color="auto"/>
        <w:left w:val="none" w:sz="0" w:space="0" w:color="auto"/>
        <w:bottom w:val="none" w:sz="0" w:space="0" w:color="auto"/>
        <w:right w:val="none" w:sz="0" w:space="0" w:color="auto"/>
      </w:divBdr>
    </w:div>
    <w:div w:id="1540244889">
      <w:bodyDiv w:val="1"/>
      <w:marLeft w:val="0"/>
      <w:marRight w:val="0"/>
      <w:marTop w:val="0"/>
      <w:marBottom w:val="0"/>
      <w:divBdr>
        <w:top w:val="none" w:sz="0" w:space="0" w:color="auto"/>
        <w:left w:val="none" w:sz="0" w:space="0" w:color="auto"/>
        <w:bottom w:val="none" w:sz="0" w:space="0" w:color="auto"/>
        <w:right w:val="none" w:sz="0" w:space="0" w:color="auto"/>
      </w:divBdr>
    </w:div>
    <w:div w:id="1555120056">
      <w:bodyDiv w:val="1"/>
      <w:marLeft w:val="0"/>
      <w:marRight w:val="0"/>
      <w:marTop w:val="0"/>
      <w:marBottom w:val="0"/>
      <w:divBdr>
        <w:top w:val="none" w:sz="0" w:space="0" w:color="auto"/>
        <w:left w:val="none" w:sz="0" w:space="0" w:color="auto"/>
        <w:bottom w:val="none" w:sz="0" w:space="0" w:color="auto"/>
        <w:right w:val="none" w:sz="0" w:space="0" w:color="auto"/>
      </w:divBdr>
    </w:div>
    <w:div w:id="1556089302">
      <w:bodyDiv w:val="1"/>
      <w:marLeft w:val="0"/>
      <w:marRight w:val="0"/>
      <w:marTop w:val="0"/>
      <w:marBottom w:val="0"/>
      <w:divBdr>
        <w:top w:val="none" w:sz="0" w:space="0" w:color="auto"/>
        <w:left w:val="none" w:sz="0" w:space="0" w:color="auto"/>
        <w:bottom w:val="none" w:sz="0" w:space="0" w:color="auto"/>
        <w:right w:val="none" w:sz="0" w:space="0" w:color="auto"/>
      </w:divBdr>
    </w:div>
    <w:div w:id="1571229019">
      <w:bodyDiv w:val="1"/>
      <w:marLeft w:val="0"/>
      <w:marRight w:val="0"/>
      <w:marTop w:val="0"/>
      <w:marBottom w:val="0"/>
      <w:divBdr>
        <w:top w:val="none" w:sz="0" w:space="0" w:color="auto"/>
        <w:left w:val="none" w:sz="0" w:space="0" w:color="auto"/>
        <w:bottom w:val="none" w:sz="0" w:space="0" w:color="auto"/>
        <w:right w:val="none" w:sz="0" w:space="0" w:color="auto"/>
      </w:divBdr>
    </w:div>
    <w:div w:id="1572035420">
      <w:bodyDiv w:val="1"/>
      <w:marLeft w:val="0"/>
      <w:marRight w:val="0"/>
      <w:marTop w:val="0"/>
      <w:marBottom w:val="0"/>
      <w:divBdr>
        <w:top w:val="none" w:sz="0" w:space="0" w:color="auto"/>
        <w:left w:val="none" w:sz="0" w:space="0" w:color="auto"/>
        <w:bottom w:val="none" w:sz="0" w:space="0" w:color="auto"/>
        <w:right w:val="none" w:sz="0" w:space="0" w:color="auto"/>
      </w:divBdr>
    </w:div>
    <w:div w:id="1590263485">
      <w:bodyDiv w:val="1"/>
      <w:marLeft w:val="0"/>
      <w:marRight w:val="0"/>
      <w:marTop w:val="0"/>
      <w:marBottom w:val="0"/>
      <w:divBdr>
        <w:top w:val="none" w:sz="0" w:space="0" w:color="auto"/>
        <w:left w:val="none" w:sz="0" w:space="0" w:color="auto"/>
        <w:bottom w:val="none" w:sz="0" w:space="0" w:color="auto"/>
        <w:right w:val="none" w:sz="0" w:space="0" w:color="auto"/>
      </w:divBdr>
    </w:div>
    <w:div w:id="1615599826">
      <w:bodyDiv w:val="1"/>
      <w:marLeft w:val="0"/>
      <w:marRight w:val="0"/>
      <w:marTop w:val="0"/>
      <w:marBottom w:val="0"/>
      <w:divBdr>
        <w:top w:val="none" w:sz="0" w:space="0" w:color="auto"/>
        <w:left w:val="none" w:sz="0" w:space="0" w:color="auto"/>
        <w:bottom w:val="none" w:sz="0" w:space="0" w:color="auto"/>
        <w:right w:val="none" w:sz="0" w:space="0" w:color="auto"/>
      </w:divBdr>
    </w:div>
    <w:div w:id="1618221601">
      <w:bodyDiv w:val="1"/>
      <w:marLeft w:val="0"/>
      <w:marRight w:val="0"/>
      <w:marTop w:val="0"/>
      <w:marBottom w:val="0"/>
      <w:divBdr>
        <w:top w:val="none" w:sz="0" w:space="0" w:color="auto"/>
        <w:left w:val="none" w:sz="0" w:space="0" w:color="auto"/>
        <w:bottom w:val="none" w:sz="0" w:space="0" w:color="auto"/>
        <w:right w:val="none" w:sz="0" w:space="0" w:color="auto"/>
      </w:divBdr>
    </w:div>
    <w:div w:id="1619602246">
      <w:bodyDiv w:val="1"/>
      <w:marLeft w:val="0"/>
      <w:marRight w:val="0"/>
      <w:marTop w:val="0"/>
      <w:marBottom w:val="0"/>
      <w:divBdr>
        <w:top w:val="none" w:sz="0" w:space="0" w:color="auto"/>
        <w:left w:val="none" w:sz="0" w:space="0" w:color="auto"/>
        <w:bottom w:val="none" w:sz="0" w:space="0" w:color="auto"/>
        <w:right w:val="none" w:sz="0" w:space="0" w:color="auto"/>
      </w:divBdr>
    </w:div>
    <w:div w:id="1629117213">
      <w:bodyDiv w:val="1"/>
      <w:marLeft w:val="0"/>
      <w:marRight w:val="0"/>
      <w:marTop w:val="0"/>
      <w:marBottom w:val="0"/>
      <w:divBdr>
        <w:top w:val="none" w:sz="0" w:space="0" w:color="auto"/>
        <w:left w:val="none" w:sz="0" w:space="0" w:color="auto"/>
        <w:bottom w:val="none" w:sz="0" w:space="0" w:color="auto"/>
        <w:right w:val="none" w:sz="0" w:space="0" w:color="auto"/>
      </w:divBdr>
    </w:div>
    <w:div w:id="1635451560">
      <w:bodyDiv w:val="1"/>
      <w:marLeft w:val="0"/>
      <w:marRight w:val="0"/>
      <w:marTop w:val="0"/>
      <w:marBottom w:val="0"/>
      <w:divBdr>
        <w:top w:val="none" w:sz="0" w:space="0" w:color="auto"/>
        <w:left w:val="none" w:sz="0" w:space="0" w:color="auto"/>
        <w:bottom w:val="none" w:sz="0" w:space="0" w:color="auto"/>
        <w:right w:val="none" w:sz="0" w:space="0" w:color="auto"/>
      </w:divBdr>
    </w:div>
    <w:div w:id="1639529289">
      <w:bodyDiv w:val="1"/>
      <w:marLeft w:val="0"/>
      <w:marRight w:val="0"/>
      <w:marTop w:val="0"/>
      <w:marBottom w:val="0"/>
      <w:divBdr>
        <w:top w:val="none" w:sz="0" w:space="0" w:color="auto"/>
        <w:left w:val="none" w:sz="0" w:space="0" w:color="auto"/>
        <w:bottom w:val="none" w:sz="0" w:space="0" w:color="auto"/>
        <w:right w:val="none" w:sz="0" w:space="0" w:color="auto"/>
      </w:divBdr>
    </w:div>
    <w:div w:id="1655837778">
      <w:bodyDiv w:val="1"/>
      <w:marLeft w:val="0"/>
      <w:marRight w:val="0"/>
      <w:marTop w:val="0"/>
      <w:marBottom w:val="0"/>
      <w:divBdr>
        <w:top w:val="none" w:sz="0" w:space="0" w:color="auto"/>
        <w:left w:val="none" w:sz="0" w:space="0" w:color="auto"/>
        <w:bottom w:val="none" w:sz="0" w:space="0" w:color="auto"/>
        <w:right w:val="none" w:sz="0" w:space="0" w:color="auto"/>
      </w:divBdr>
    </w:div>
    <w:div w:id="1675764937">
      <w:bodyDiv w:val="1"/>
      <w:marLeft w:val="0"/>
      <w:marRight w:val="0"/>
      <w:marTop w:val="0"/>
      <w:marBottom w:val="0"/>
      <w:divBdr>
        <w:top w:val="none" w:sz="0" w:space="0" w:color="auto"/>
        <w:left w:val="none" w:sz="0" w:space="0" w:color="auto"/>
        <w:bottom w:val="none" w:sz="0" w:space="0" w:color="auto"/>
        <w:right w:val="none" w:sz="0" w:space="0" w:color="auto"/>
      </w:divBdr>
    </w:div>
    <w:div w:id="1676230001">
      <w:bodyDiv w:val="1"/>
      <w:marLeft w:val="0"/>
      <w:marRight w:val="0"/>
      <w:marTop w:val="0"/>
      <w:marBottom w:val="0"/>
      <w:divBdr>
        <w:top w:val="none" w:sz="0" w:space="0" w:color="auto"/>
        <w:left w:val="none" w:sz="0" w:space="0" w:color="auto"/>
        <w:bottom w:val="none" w:sz="0" w:space="0" w:color="auto"/>
        <w:right w:val="none" w:sz="0" w:space="0" w:color="auto"/>
      </w:divBdr>
    </w:div>
    <w:div w:id="1679505478">
      <w:bodyDiv w:val="1"/>
      <w:marLeft w:val="0"/>
      <w:marRight w:val="0"/>
      <w:marTop w:val="0"/>
      <w:marBottom w:val="0"/>
      <w:divBdr>
        <w:top w:val="none" w:sz="0" w:space="0" w:color="auto"/>
        <w:left w:val="none" w:sz="0" w:space="0" w:color="auto"/>
        <w:bottom w:val="none" w:sz="0" w:space="0" w:color="auto"/>
        <w:right w:val="none" w:sz="0" w:space="0" w:color="auto"/>
      </w:divBdr>
    </w:div>
    <w:div w:id="1682315221">
      <w:bodyDiv w:val="1"/>
      <w:marLeft w:val="0"/>
      <w:marRight w:val="0"/>
      <w:marTop w:val="0"/>
      <w:marBottom w:val="0"/>
      <w:divBdr>
        <w:top w:val="none" w:sz="0" w:space="0" w:color="auto"/>
        <w:left w:val="none" w:sz="0" w:space="0" w:color="auto"/>
        <w:bottom w:val="none" w:sz="0" w:space="0" w:color="auto"/>
        <w:right w:val="none" w:sz="0" w:space="0" w:color="auto"/>
      </w:divBdr>
    </w:div>
    <w:div w:id="1691570552">
      <w:bodyDiv w:val="1"/>
      <w:marLeft w:val="0"/>
      <w:marRight w:val="0"/>
      <w:marTop w:val="0"/>
      <w:marBottom w:val="0"/>
      <w:divBdr>
        <w:top w:val="none" w:sz="0" w:space="0" w:color="auto"/>
        <w:left w:val="none" w:sz="0" w:space="0" w:color="auto"/>
        <w:bottom w:val="none" w:sz="0" w:space="0" w:color="auto"/>
        <w:right w:val="none" w:sz="0" w:space="0" w:color="auto"/>
      </w:divBdr>
    </w:div>
    <w:div w:id="1699816400">
      <w:bodyDiv w:val="1"/>
      <w:marLeft w:val="0"/>
      <w:marRight w:val="0"/>
      <w:marTop w:val="0"/>
      <w:marBottom w:val="0"/>
      <w:divBdr>
        <w:top w:val="none" w:sz="0" w:space="0" w:color="auto"/>
        <w:left w:val="none" w:sz="0" w:space="0" w:color="auto"/>
        <w:bottom w:val="none" w:sz="0" w:space="0" w:color="auto"/>
        <w:right w:val="none" w:sz="0" w:space="0" w:color="auto"/>
      </w:divBdr>
    </w:div>
    <w:div w:id="1712992482">
      <w:bodyDiv w:val="1"/>
      <w:marLeft w:val="0"/>
      <w:marRight w:val="0"/>
      <w:marTop w:val="0"/>
      <w:marBottom w:val="0"/>
      <w:divBdr>
        <w:top w:val="none" w:sz="0" w:space="0" w:color="auto"/>
        <w:left w:val="none" w:sz="0" w:space="0" w:color="auto"/>
        <w:bottom w:val="none" w:sz="0" w:space="0" w:color="auto"/>
        <w:right w:val="none" w:sz="0" w:space="0" w:color="auto"/>
      </w:divBdr>
    </w:div>
    <w:div w:id="1716616391">
      <w:bodyDiv w:val="1"/>
      <w:marLeft w:val="0"/>
      <w:marRight w:val="0"/>
      <w:marTop w:val="0"/>
      <w:marBottom w:val="0"/>
      <w:divBdr>
        <w:top w:val="none" w:sz="0" w:space="0" w:color="auto"/>
        <w:left w:val="none" w:sz="0" w:space="0" w:color="auto"/>
        <w:bottom w:val="none" w:sz="0" w:space="0" w:color="auto"/>
        <w:right w:val="none" w:sz="0" w:space="0" w:color="auto"/>
      </w:divBdr>
    </w:div>
    <w:div w:id="1720517029">
      <w:bodyDiv w:val="1"/>
      <w:marLeft w:val="0"/>
      <w:marRight w:val="0"/>
      <w:marTop w:val="0"/>
      <w:marBottom w:val="0"/>
      <w:divBdr>
        <w:top w:val="none" w:sz="0" w:space="0" w:color="auto"/>
        <w:left w:val="none" w:sz="0" w:space="0" w:color="auto"/>
        <w:bottom w:val="none" w:sz="0" w:space="0" w:color="auto"/>
        <w:right w:val="none" w:sz="0" w:space="0" w:color="auto"/>
      </w:divBdr>
    </w:div>
    <w:div w:id="1728915408">
      <w:bodyDiv w:val="1"/>
      <w:marLeft w:val="0"/>
      <w:marRight w:val="0"/>
      <w:marTop w:val="0"/>
      <w:marBottom w:val="0"/>
      <w:divBdr>
        <w:top w:val="none" w:sz="0" w:space="0" w:color="auto"/>
        <w:left w:val="none" w:sz="0" w:space="0" w:color="auto"/>
        <w:bottom w:val="none" w:sz="0" w:space="0" w:color="auto"/>
        <w:right w:val="none" w:sz="0" w:space="0" w:color="auto"/>
      </w:divBdr>
    </w:div>
    <w:div w:id="1740134608">
      <w:bodyDiv w:val="1"/>
      <w:marLeft w:val="0"/>
      <w:marRight w:val="0"/>
      <w:marTop w:val="0"/>
      <w:marBottom w:val="0"/>
      <w:divBdr>
        <w:top w:val="none" w:sz="0" w:space="0" w:color="auto"/>
        <w:left w:val="none" w:sz="0" w:space="0" w:color="auto"/>
        <w:bottom w:val="none" w:sz="0" w:space="0" w:color="auto"/>
        <w:right w:val="none" w:sz="0" w:space="0" w:color="auto"/>
      </w:divBdr>
    </w:div>
    <w:div w:id="1741439365">
      <w:bodyDiv w:val="1"/>
      <w:marLeft w:val="0"/>
      <w:marRight w:val="0"/>
      <w:marTop w:val="0"/>
      <w:marBottom w:val="0"/>
      <w:divBdr>
        <w:top w:val="none" w:sz="0" w:space="0" w:color="auto"/>
        <w:left w:val="none" w:sz="0" w:space="0" w:color="auto"/>
        <w:bottom w:val="none" w:sz="0" w:space="0" w:color="auto"/>
        <w:right w:val="none" w:sz="0" w:space="0" w:color="auto"/>
      </w:divBdr>
    </w:div>
    <w:div w:id="1747066669">
      <w:bodyDiv w:val="1"/>
      <w:marLeft w:val="0"/>
      <w:marRight w:val="0"/>
      <w:marTop w:val="0"/>
      <w:marBottom w:val="0"/>
      <w:divBdr>
        <w:top w:val="none" w:sz="0" w:space="0" w:color="auto"/>
        <w:left w:val="none" w:sz="0" w:space="0" w:color="auto"/>
        <w:bottom w:val="none" w:sz="0" w:space="0" w:color="auto"/>
        <w:right w:val="none" w:sz="0" w:space="0" w:color="auto"/>
      </w:divBdr>
    </w:div>
    <w:div w:id="1747875816">
      <w:bodyDiv w:val="1"/>
      <w:marLeft w:val="0"/>
      <w:marRight w:val="0"/>
      <w:marTop w:val="0"/>
      <w:marBottom w:val="0"/>
      <w:divBdr>
        <w:top w:val="none" w:sz="0" w:space="0" w:color="auto"/>
        <w:left w:val="none" w:sz="0" w:space="0" w:color="auto"/>
        <w:bottom w:val="none" w:sz="0" w:space="0" w:color="auto"/>
        <w:right w:val="none" w:sz="0" w:space="0" w:color="auto"/>
      </w:divBdr>
    </w:div>
    <w:div w:id="1771000097">
      <w:bodyDiv w:val="1"/>
      <w:marLeft w:val="0"/>
      <w:marRight w:val="0"/>
      <w:marTop w:val="0"/>
      <w:marBottom w:val="0"/>
      <w:divBdr>
        <w:top w:val="none" w:sz="0" w:space="0" w:color="auto"/>
        <w:left w:val="none" w:sz="0" w:space="0" w:color="auto"/>
        <w:bottom w:val="none" w:sz="0" w:space="0" w:color="auto"/>
        <w:right w:val="none" w:sz="0" w:space="0" w:color="auto"/>
      </w:divBdr>
    </w:div>
    <w:div w:id="1794518186">
      <w:bodyDiv w:val="1"/>
      <w:marLeft w:val="0"/>
      <w:marRight w:val="0"/>
      <w:marTop w:val="0"/>
      <w:marBottom w:val="0"/>
      <w:divBdr>
        <w:top w:val="none" w:sz="0" w:space="0" w:color="auto"/>
        <w:left w:val="none" w:sz="0" w:space="0" w:color="auto"/>
        <w:bottom w:val="none" w:sz="0" w:space="0" w:color="auto"/>
        <w:right w:val="none" w:sz="0" w:space="0" w:color="auto"/>
      </w:divBdr>
    </w:div>
    <w:div w:id="1797521996">
      <w:bodyDiv w:val="1"/>
      <w:marLeft w:val="0"/>
      <w:marRight w:val="0"/>
      <w:marTop w:val="0"/>
      <w:marBottom w:val="0"/>
      <w:divBdr>
        <w:top w:val="none" w:sz="0" w:space="0" w:color="auto"/>
        <w:left w:val="none" w:sz="0" w:space="0" w:color="auto"/>
        <w:bottom w:val="none" w:sz="0" w:space="0" w:color="auto"/>
        <w:right w:val="none" w:sz="0" w:space="0" w:color="auto"/>
      </w:divBdr>
    </w:div>
    <w:div w:id="1808278261">
      <w:bodyDiv w:val="1"/>
      <w:marLeft w:val="0"/>
      <w:marRight w:val="0"/>
      <w:marTop w:val="0"/>
      <w:marBottom w:val="0"/>
      <w:divBdr>
        <w:top w:val="none" w:sz="0" w:space="0" w:color="auto"/>
        <w:left w:val="none" w:sz="0" w:space="0" w:color="auto"/>
        <w:bottom w:val="none" w:sz="0" w:space="0" w:color="auto"/>
        <w:right w:val="none" w:sz="0" w:space="0" w:color="auto"/>
      </w:divBdr>
    </w:div>
    <w:div w:id="1839882202">
      <w:bodyDiv w:val="1"/>
      <w:marLeft w:val="0"/>
      <w:marRight w:val="0"/>
      <w:marTop w:val="0"/>
      <w:marBottom w:val="0"/>
      <w:divBdr>
        <w:top w:val="none" w:sz="0" w:space="0" w:color="auto"/>
        <w:left w:val="none" w:sz="0" w:space="0" w:color="auto"/>
        <w:bottom w:val="none" w:sz="0" w:space="0" w:color="auto"/>
        <w:right w:val="none" w:sz="0" w:space="0" w:color="auto"/>
      </w:divBdr>
    </w:div>
    <w:div w:id="1840074230">
      <w:bodyDiv w:val="1"/>
      <w:marLeft w:val="0"/>
      <w:marRight w:val="0"/>
      <w:marTop w:val="0"/>
      <w:marBottom w:val="0"/>
      <w:divBdr>
        <w:top w:val="none" w:sz="0" w:space="0" w:color="auto"/>
        <w:left w:val="none" w:sz="0" w:space="0" w:color="auto"/>
        <w:bottom w:val="none" w:sz="0" w:space="0" w:color="auto"/>
        <w:right w:val="none" w:sz="0" w:space="0" w:color="auto"/>
      </w:divBdr>
    </w:div>
    <w:div w:id="1843008660">
      <w:bodyDiv w:val="1"/>
      <w:marLeft w:val="0"/>
      <w:marRight w:val="0"/>
      <w:marTop w:val="0"/>
      <w:marBottom w:val="0"/>
      <w:divBdr>
        <w:top w:val="none" w:sz="0" w:space="0" w:color="auto"/>
        <w:left w:val="none" w:sz="0" w:space="0" w:color="auto"/>
        <w:bottom w:val="none" w:sz="0" w:space="0" w:color="auto"/>
        <w:right w:val="none" w:sz="0" w:space="0" w:color="auto"/>
      </w:divBdr>
    </w:div>
    <w:div w:id="1854877659">
      <w:bodyDiv w:val="1"/>
      <w:marLeft w:val="0"/>
      <w:marRight w:val="0"/>
      <w:marTop w:val="0"/>
      <w:marBottom w:val="0"/>
      <w:divBdr>
        <w:top w:val="none" w:sz="0" w:space="0" w:color="auto"/>
        <w:left w:val="none" w:sz="0" w:space="0" w:color="auto"/>
        <w:bottom w:val="none" w:sz="0" w:space="0" w:color="auto"/>
        <w:right w:val="none" w:sz="0" w:space="0" w:color="auto"/>
      </w:divBdr>
    </w:div>
    <w:div w:id="1858959104">
      <w:bodyDiv w:val="1"/>
      <w:marLeft w:val="0"/>
      <w:marRight w:val="0"/>
      <w:marTop w:val="0"/>
      <w:marBottom w:val="0"/>
      <w:divBdr>
        <w:top w:val="none" w:sz="0" w:space="0" w:color="auto"/>
        <w:left w:val="none" w:sz="0" w:space="0" w:color="auto"/>
        <w:bottom w:val="none" w:sz="0" w:space="0" w:color="auto"/>
        <w:right w:val="none" w:sz="0" w:space="0" w:color="auto"/>
      </w:divBdr>
    </w:div>
    <w:div w:id="1871259717">
      <w:bodyDiv w:val="1"/>
      <w:marLeft w:val="0"/>
      <w:marRight w:val="0"/>
      <w:marTop w:val="0"/>
      <w:marBottom w:val="0"/>
      <w:divBdr>
        <w:top w:val="none" w:sz="0" w:space="0" w:color="auto"/>
        <w:left w:val="none" w:sz="0" w:space="0" w:color="auto"/>
        <w:bottom w:val="none" w:sz="0" w:space="0" w:color="auto"/>
        <w:right w:val="none" w:sz="0" w:space="0" w:color="auto"/>
      </w:divBdr>
    </w:div>
    <w:div w:id="1882356219">
      <w:bodyDiv w:val="1"/>
      <w:marLeft w:val="0"/>
      <w:marRight w:val="0"/>
      <w:marTop w:val="0"/>
      <w:marBottom w:val="0"/>
      <w:divBdr>
        <w:top w:val="none" w:sz="0" w:space="0" w:color="auto"/>
        <w:left w:val="none" w:sz="0" w:space="0" w:color="auto"/>
        <w:bottom w:val="none" w:sz="0" w:space="0" w:color="auto"/>
        <w:right w:val="none" w:sz="0" w:space="0" w:color="auto"/>
      </w:divBdr>
    </w:div>
    <w:div w:id="1887328915">
      <w:bodyDiv w:val="1"/>
      <w:marLeft w:val="0"/>
      <w:marRight w:val="0"/>
      <w:marTop w:val="0"/>
      <w:marBottom w:val="0"/>
      <w:divBdr>
        <w:top w:val="none" w:sz="0" w:space="0" w:color="auto"/>
        <w:left w:val="none" w:sz="0" w:space="0" w:color="auto"/>
        <w:bottom w:val="none" w:sz="0" w:space="0" w:color="auto"/>
        <w:right w:val="none" w:sz="0" w:space="0" w:color="auto"/>
      </w:divBdr>
    </w:div>
    <w:div w:id="1892186069">
      <w:bodyDiv w:val="1"/>
      <w:marLeft w:val="0"/>
      <w:marRight w:val="0"/>
      <w:marTop w:val="0"/>
      <w:marBottom w:val="0"/>
      <w:divBdr>
        <w:top w:val="none" w:sz="0" w:space="0" w:color="auto"/>
        <w:left w:val="none" w:sz="0" w:space="0" w:color="auto"/>
        <w:bottom w:val="none" w:sz="0" w:space="0" w:color="auto"/>
        <w:right w:val="none" w:sz="0" w:space="0" w:color="auto"/>
      </w:divBdr>
    </w:div>
    <w:div w:id="1899710304">
      <w:bodyDiv w:val="1"/>
      <w:marLeft w:val="0"/>
      <w:marRight w:val="0"/>
      <w:marTop w:val="0"/>
      <w:marBottom w:val="0"/>
      <w:divBdr>
        <w:top w:val="none" w:sz="0" w:space="0" w:color="auto"/>
        <w:left w:val="none" w:sz="0" w:space="0" w:color="auto"/>
        <w:bottom w:val="none" w:sz="0" w:space="0" w:color="auto"/>
        <w:right w:val="none" w:sz="0" w:space="0" w:color="auto"/>
      </w:divBdr>
    </w:div>
    <w:div w:id="1900245345">
      <w:bodyDiv w:val="1"/>
      <w:marLeft w:val="0"/>
      <w:marRight w:val="0"/>
      <w:marTop w:val="0"/>
      <w:marBottom w:val="0"/>
      <w:divBdr>
        <w:top w:val="none" w:sz="0" w:space="0" w:color="auto"/>
        <w:left w:val="none" w:sz="0" w:space="0" w:color="auto"/>
        <w:bottom w:val="none" w:sz="0" w:space="0" w:color="auto"/>
        <w:right w:val="none" w:sz="0" w:space="0" w:color="auto"/>
      </w:divBdr>
    </w:div>
    <w:div w:id="1900629714">
      <w:bodyDiv w:val="1"/>
      <w:marLeft w:val="0"/>
      <w:marRight w:val="0"/>
      <w:marTop w:val="0"/>
      <w:marBottom w:val="0"/>
      <w:divBdr>
        <w:top w:val="none" w:sz="0" w:space="0" w:color="auto"/>
        <w:left w:val="none" w:sz="0" w:space="0" w:color="auto"/>
        <w:bottom w:val="none" w:sz="0" w:space="0" w:color="auto"/>
        <w:right w:val="none" w:sz="0" w:space="0" w:color="auto"/>
      </w:divBdr>
    </w:div>
    <w:div w:id="1909338946">
      <w:bodyDiv w:val="1"/>
      <w:marLeft w:val="0"/>
      <w:marRight w:val="0"/>
      <w:marTop w:val="0"/>
      <w:marBottom w:val="0"/>
      <w:divBdr>
        <w:top w:val="none" w:sz="0" w:space="0" w:color="auto"/>
        <w:left w:val="none" w:sz="0" w:space="0" w:color="auto"/>
        <w:bottom w:val="none" w:sz="0" w:space="0" w:color="auto"/>
        <w:right w:val="none" w:sz="0" w:space="0" w:color="auto"/>
      </w:divBdr>
    </w:div>
    <w:div w:id="1911110167">
      <w:bodyDiv w:val="1"/>
      <w:marLeft w:val="0"/>
      <w:marRight w:val="0"/>
      <w:marTop w:val="0"/>
      <w:marBottom w:val="0"/>
      <w:divBdr>
        <w:top w:val="none" w:sz="0" w:space="0" w:color="auto"/>
        <w:left w:val="none" w:sz="0" w:space="0" w:color="auto"/>
        <w:bottom w:val="none" w:sz="0" w:space="0" w:color="auto"/>
        <w:right w:val="none" w:sz="0" w:space="0" w:color="auto"/>
      </w:divBdr>
    </w:div>
    <w:div w:id="1945185142">
      <w:bodyDiv w:val="1"/>
      <w:marLeft w:val="0"/>
      <w:marRight w:val="0"/>
      <w:marTop w:val="0"/>
      <w:marBottom w:val="0"/>
      <w:divBdr>
        <w:top w:val="none" w:sz="0" w:space="0" w:color="auto"/>
        <w:left w:val="none" w:sz="0" w:space="0" w:color="auto"/>
        <w:bottom w:val="none" w:sz="0" w:space="0" w:color="auto"/>
        <w:right w:val="none" w:sz="0" w:space="0" w:color="auto"/>
      </w:divBdr>
    </w:div>
    <w:div w:id="1945840191">
      <w:bodyDiv w:val="1"/>
      <w:marLeft w:val="0"/>
      <w:marRight w:val="0"/>
      <w:marTop w:val="0"/>
      <w:marBottom w:val="0"/>
      <w:divBdr>
        <w:top w:val="none" w:sz="0" w:space="0" w:color="auto"/>
        <w:left w:val="none" w:sz="0" w:space="0" w:color="auto"/>
        <w:bottom w:val="none" w:sz="0" w:space="0" w:color="auto"/>
        <w:right w:val="none" w:sz="0" w:space="0" w:color="auto"/>
      </w:divBdr>
    </w:div>
    <w:div w:id="1982998624">
      <w:bodyDiv w:val="1"/>
      <w:marLeft w:val="0"/>
      <w:marRight w:val="0"/>
      <w:marTop w:val="0"/>
      <w:marBottom w:val="0"/>
      <w:divBdr>
        <w:top w:val="none" w:sz="0" w:space="0" w:color="auto"/>
        <w:left w:val="none" w:sz="0" w:space="0" w:color="auto"/>
        <w:bottom w:val="none" w:sz="0" w:space="0" w:color="auto"/>
        <w:right w:val="none" w:sz="0" w:space="0" w:color="auto"/>
      </w:divBdr>
    </w:div>
    <w:div w:id="1987121482">
      <w:bodyDiv w:val="1"/>
      <w:marLeft w:val="0"/>
      <w:marRight w:val="0"/>
      <w:marTop w:val="0"/>
      <w:marBottom w:val="0"/>
      <w:divBdr>
        <w:top w:val="none" w:sz="0" w:space="0" w:color="auto"/>
        <w:left w:val="none" w:sz="0" w:space="0" w:color="auto"/>
        <w:bottom w:val="none" w:sz="0" w:space="0" w:color="auto"/>
        <w:right w:val="none" w:sz="0" w:space="0" w:color="auto"/>
      </w:divBdr>
    </w:div>
    <w:div w:id="1996299330">
      <w:bodyDiv w:val="1"/>
      <w:marLeft w:val="0"/>
      <w:marRight w:val="0"/>
      <w:marTop w:val="0"/>
      <w:marBottom w:val="0"/>
      <w:divBdr>
        <w:top w:val="none" w:sz="0" w:space="0" w:color="auto"/>
        <w:left w:val="none" w:sz="0" w:space="0" w:color="auto"/>
        <w:bottom w:val="none" w:sz="0" w:space="0" w:color="auto"/>
        <w:right w:val="none" w:sz="0" w:space="0" w:color="auto"/>
      </w:divBdr>
    </w:div>
    <w:div w:id="2000771302">
      <w:bodyDiv w:val="1"/>
      <w:marLeft w:val="0"/>
      <w:marRight w:val="0"/>
      <w:marTop w:val="0"/>
      <w:marBottom w:val="0"/>
      <w:divBdr>
        <w:top w:val="none" w:sz="0" w:space="0" w:color="auto"/>
        <w:left w:val="none" w:sz="0" w:space="0" w:color="auto"/>
        <w:bottom w:val="none" w:sz="0" w:space="0" w:color="auto"/>
        <w:right w:val="none" w:sz="0" w:space="0" w:color="auto"/>
      </w:divBdr>
    </w:div>
    <w:div w:id="2017027655">
      <w:bodyDiv w:val="1"/>
      <w:marLeft w:val="0"/>
      <w:marRight w:val="0"/>
      <w:marTop w:val="0"/>
      <w:marBottom w:val="0"/>
      <w:divBdr>
        <w:top w:val="none" w:sz="0" w:space="0" w:color="auto"/>
        <w:left w:val="none" w:sz="0" w:space="0" w:color="auto"/>
        <w:bottom w:val="none" w:sz="0" w:space="0" w:color="auto"/>
        <w:right w:val="none" w:sz="0" w:space="0" w:color="auto"/>
      </w:divBdr>
    </w:div>
    <w:div w:id="2023243342">
      <w:bodyDiv w:val="1"/>
      <w:marLeft w:val="0"/>
      <w:marRight w:val="0"/>
      <w:marTop w:val="0"/>
      <w:marBottom w:val="0"/>
      <w:divBdr>
        <w:top w:val="none" w:sz="0" w:space="0" w:color="auto"/>
        <w:left w:val="none" w:sz="0" w:space="0" w:color="auto"/>
        <w:bottom w:val="none" w:sz="0" w:space="0" w:color="auto"/>
        <w:right w:val="none" w:sz="0" w:space="0" w:color="auto"/>
      </w:divBdr>
    </w:div>
    <w:div w:id="2073044634">
      <w:bodyDiv w:val="1"/>
      <w:marLeft w:val="0"/>
      <w:marRight w:val="0"/>
      <w:marTop w:val="0"/>
      <w:marBottom w:val="0"/>
      <w:divBdr>
        <w:top w:val="none" w:sz="0" w:space="0" w:color="auto"/>
        <w:left w:val="none" w:sz="0" w:space="0" w:color="auto"/>
        <w:bottom w:val="none" w:sz="0" w:space="0" w:color="auto"/>
        <w:right w:val="none" w:sz="0" w:space="0" w:color="auto"/>
      </w:divBdr>
    </w:div>
    <w:div w:id="2086798081">
      <w:bodyDiv w:val="1"/>
      <w:marLeft w:val="0"/>
      <w:marRight w:val="0"/>
      <w:marTop w:val="0"/>
      <w:marBottom w:val="0"/>
      <w:divBdr>
        <w:top w:val="none" w:sz="0" w:space="0" w:color="auto"/>
        <w:left w:val="none" w:sz="0" w:space="0" w:color="auto"/>
        <w:bottom w:val="none" w:sz="0" w:space="0" w:color="auto"/>
        <w:right w:val="none" w:sz="0" w:space="0" w:color="auto"/>
      </w:divBdr>
    </w:div>
    <w:div w:id="2086952372">
      <w:bodyDiv w:val="1"/>
      <w:marLeft w:val="0"/>
      <w:marRight w:val="0"/>
      <w:marTop w:val="0"/>
      <w:marBottom w:val="0"/>
      <w:divBdr>
        <w:top w:val="none" w:sz="0" w:space="0" w:color="auto"/>
        <w:left w:val="none" w:sz="0" w:space="0" w:color="auto"/>
        <w:bottom w:val="none" w:sz="0" w:space="0" w:color="auto"/>
        <w:right w:val="none" w:sz="0" w:space="0" w:color="auto"/>
      </w:divBdr>
    </w:div>
    <w:div w:id="2097285117">
      <w:bodyDiv w:val="1"/>
      <w:marLeft w:val="0"/>
      <w:marRight w:val="0"/>
      <w:marTop w:val="0"/>
      <w:marBottom w:val="0"/>
      <w:divBdr>
        <w:top w:val="none" w:sz="0" w:space="0" w:color="auto"/>
        <w:left w:val="none" w:sz="0" w:space="0" w:color="auto"/>
        <w:bottom w:val="none" w:sz="0" w:space="0" w:color="auto"/>
        <w:right w:val="none" w:sz="0" w:space="0" w:color="auto"/>
      </w:divBdr>
    </w:div>
    <w:div w:id="2102139317">
      <w:bodyDiv w:val="1"/>
      <w:marLeft w:val="0"/>
      <w:marRight w:val="0"/>
      <w:marTop w:val="0"/>
      <w:marBottom w:val="0"/>
      <w:divBdr>
        <w:top w:val="none" w:sz="0" w:space="0" w:color="auto"/>
        <w:left w:val="none" w:sz="0" w:space="0" w:color="auto"/>
        <w:bottom w:val="none" w:sz="0" w:space="0" w:color="auto"/>
        <w:right w:val="none" w:sz="0" w:space="0" w:color="auto"/>
      </w:divBdr>
    </w:div>
    <w:div w:id="2115516032">
      <w:bodyDiv w:val="1"/>
      <w:marLeft w:val="0"/>
      <w:marRight w:val="0"/>
      <w:marTop w:val="0"/>
      <w:marBottom w:val="0"/>
      <w:divBdr>
        <w:top w:val="none" w:sz="0" w:space="0" w:color="auto"/>
        <w:left w:val="none" w:sz="0" w:space="0" w:color="auto"/>
        <w:bottom w:val="none" w:sz="0" w:space="0" w:color="auto"/>
        <w:right w:val="none" w:sz="0" w:space="0" w:color="auto"/>
      </w:divBdr>
    </w:div>
    <w:div w:id="2120056409">
      <w:bodyDiv w:val="1"/>
      <w:marLeft w:val="0"/>
      <w:marRight w:val="0"/>
      <w:marTop w:val="0"/>
      <w:marBottom w:val="0"/>
      <w:divBdr>
        <w:top w:val="none" w:sz="0" w:space="0" w:color="auto"/>
        <w:left w:val="none" w:sz="0" w:space="0" w:color="auto"/>
        <w:bottom w:val="none" w:sz="0" w:space="0" w:color="auto"/>
        <w:right w:val="none" w:sz="0" w:space="0" w:color="auto"/>
      </w:divBdr>
    </w:div>
    <w:div w:id="2142727693">
      <w:bodyDiv w:val="1"/>
      <w:marLeft w:val="0"/>
      <w:marRight w:val="0"/>
      <w:marTop w:val="0"/>
      <w:marBottom w:val="0"/>
      <w:divBdr>
        <w:top w:val="none" w:sz="0" w:space="0" w:color="auto"/>
        <w:left w:val="none" w:sz="0" w:space="0" w:color="auto"/>
        <w:bottom w:val="none" w:sz="0" w:space="0" w:color="auto"/>
        <w:right w:val="none" w:sz="0" w:space="0" w:color="auto"/>
      </w:divBdr>
    </w:div>
    <w:div w:id="214711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C3A3-347B-4C48-B95F-D1FE1D19B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32</Pages>
  <Words>3432</Words>
  <Characters>19564</Characters>
  <Application>Microsoft Office Word</Application>
  <DocSecurity>0</DocSecurity>
  <Lines>163</Lines>
  <Paragraphs>45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2023-12-27T05:35:00Z</dcterms:created>
  <dcterms:modified xsi:type="dcterms:W3CDTF">2023-12-27T07:57:00Z</dcterms:modified>
</cp:coreProperties>
</file>