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D60A6" w:rsidRDefault="009D60A6" w:rsidP="009D60A6">
      <w:pPr>
        <w:wordWrap/>
        <w:spacing w:after="0" w:line="26" w:lineRule="atLeast"/>
        <w:textAlignment w:val="baseline"/>
        <w:rPr>
          <w:rFonts w:ascii="HY헤드라인M" w:eastAsia="HY헤드라인M" w:hAnsi="굴림" w:cs="굴림"/>
          <w:b/>
          <w:bCs/>
          <w:color w:val="000000"/>
          <w:w w:val="95"/>
          <w:kern w:val="0"/>
          <w:sz w:val="32"/>
          <w:szCs w:val="32"/>
        </w:rPr>
      </w:pPr>
      <w:r w:rsidRPr="009D60A6">
        <w:rPr>
          <w:rFonts w:ascii="HY헤드라인M" w:eastAsia="HY헤드라인M" w:hAnsi="HY헤드라인M" w:cs="굴림" w:hint="eastAsia"/>
          <w:b/>
          <w:bCs/>
          <w:color w:val="000000"/>
          <w:w w:val="95"/>
          <w:kern w:val="0"/>
          <w:sz w:val="32"/>
          <w:szCs w:val="32"/>
        </w:rPr>
        <w:t xml:space="preserve">□ </w:t>
      </w:r>
      <w:r w:rsidRPr="009D60A6">
        <w:rPr>
          <w:rFonts w:ascii="HY헤드라인M" w:eastAsia="HY헤드라인M" w:hAnsi="굴림" w:cs="굴림" w:hint="eastAsia"/>
          <w:b/>
          <w:bCs/>
          <w:color w:val="000000"/>
          <w:w w:val="95"/>
          <w:kern w:val="0"/>
          <w:sz w:val="32"/>
          <w:szCs w:val="32"/>
        </w:rPr>
        <w:t>보고서</w:t>
      </w:r>
      <w:r w:rsidRPr="009D60A6">
        <w:rPr>
          <w:rFonts w:ascii="HY헤드라인M" w:eastAsia="HY헤드라인M" w:hAnsi="굴림" w:cs="굴림" w:hint="eastAsia"/>
          <w:b/>
          <w:bCs/>
          <w:color w:val="000000"/>
          <w:spacing w:val="-6"/>
          <w:w w:val="95"/>
          <w:kern w:val="0"/>
          <w:sz w:val="32"/>
          <w:szCs w:val="32"/>
        </w:rPr>
        <w:t xml:space="preserve">(A/HRC/51/27) </w:t>
      </w:r>
      <w:r w:rsidRPr="009D60A6">
        <w:rPr>
          <w:rFonts w:ascii="HY헤드라인M" w:eastAsia="HY헤드라인M" w:hAnsi="굴림" w:cs="굴림" w:hint="eastAsia"/>
          <w:b/>
          <w:bCs/>
          <w:color w:val="000000"/>
          <w:w w:val="95"/>
          <w:kern w:val="0"/>
          <w:sz w:val="32"/>
          <w:szCs w:val="32"/>
        </w:rPr>
        <w:t>비공식국문번역본</w:t>
      </w:r>
    </w:p>
    <w:p w:rsidR="009D60A6" w:rsidRPr="009D60A6" w:rsidRDefault="009D60A6" w:rsidP="009D60A6">
      <w:pPr>
        <w:wordWrap/>
        <w:spacing w:after="0" w:line="26" w:lineRule="atLeast"/>
        <w:textAlignment w:val="baseline"/>
        <w:rPr>
          <w:rFonts w:ascii="HY헤드라인M" w:eastAsia="HY헤드라인M" w:hAnsi="굴림" w:cs="굴림"/>
          <w:b/>
          <w:bCs/>
          <w:color w:val="000000"/>
          <w:w w:val="95"/>
          <w:kern w:val="0"/>
          <w:sz w:val="32"/>
          <w:szCs w:val="32"/>
        </w:rPr>
      </w:pPr>
    </w:p>
    <w:tbl>
      <w:tblPr>
        <w:tblOverlap w:val="never"/>
        <w:tblW w:w="0" w:type="auto"/>
        <w:tblCellMar>
          <w:top w:w="15" w:type="dxa"/>
          <w:left w:w="15" w:type="dxa"/>
          <w:bottom w:w="15" w:type="dxa"/>
          <w:right w:w="15" w:type="dxa"/>
        </w:tblCellMar>
        <w:tblLook w:val="04A0" w:firstRow="1" w:lastRow="0" w:firstColumn="1" w:lastColumn="0" w:noHBand="0" w:noVBand="1"/>
      </w:tblPr>
      <w:tblGrid>
        <w:gridCol w:w="1210"/>
        <w:gridCol w:w="2166"/>
        <w:gridCol w:w="3081"/>
        <w:gridCol w:w="2841"/>
      </w:tblGrid>
      <w:tr w:rsidR="009D60A6" w:rsidRPr="009D60A6" w:rsidTr="009D60A6">
        <w:trPr>
          <w:trHeight w:val="600"/>
        </w:trPr>
        <w:tc>
          <w:tcPr>
            <w:tcW w:w="1259" w:type="dxa"/>
            <w:tcBorders>
              <w:top w:val="nil"/>
              <w:left w:val="nil"/>
              <w:bottom w:val="single" w:sz="4" w:space="0" w:color="0A0000"/>
              <w:right w:val="nil"/>
            </w:tcBorders>
            <w:tcMar>
              <w:top w:w="28" w:type="dxa"/>
              <w:left w:w="102" w:type="dxa"/>
              <w:bottom w:w="28" w:type="dxa"/>
              <w:right w:w="102" w:type="dxa"/>
            </w:tcMar>
            <w:hideMark/>
          </w:tcPr>
          <w:p w:rsidR="009D60A6" w:rsidRPr="009D60A6" w:rsidRDefault="009D60A6" w:rsidP="009D60A6">
            <w:pPr>
              <w:tabs>
                <w:tab w:val="right" w:pos="850"/>
                <w:tab w:val="left" w:pos="1134"/>
                <w:tab w:val="right" w:leader="middleDot" w:pos="8504"/>
              </w:tabs>
              <w:wordWrap/>
              <w:snapToGrid w:val="0"/>
              <w:spacing w:before="360" w:after="240" w:line="26" w:lineRule="atLeast"/>
              <w:jc w:val="left"/>
              <w:textAlignment w:val="baseline"/>
              <w:rPr>
                <w:rFonts w:ascii="Times New Roman" w:eastAsia="굴림" w:hAnsi="굴림" w:cs="굴림"/>
                <w:color w:val="000000"/>
                <w:kern w:val="0"/>
                <w:sz w:val="24"/>
                <w:szCs w:val="24"/>
              </w:rPr>
            </w:pPr>
          </w:p>
        </w:tc>
        <w:tc>
          <w:tcPr>
            <w:tcW w:w="2236" w:type="dxa"/>
            <w:tcBorders>
              <w:top w:val="nil"/>
              <w:left w:val="nil"/>
              <w:bottom w:val="single" w:sz="4" w:space="0" w:color="0A0000"/>
              <w:right w:val="nil"/>
            </w:tcBorders>
            <w:tcMar>
              <w:top w:w="28" w:type="dxa"/>
              <w:left w:w="102" w:type="dxa"/>
              <w:bottom w:w="28" w:type="dxa"/>
              <w:right w:w="102" w:type="dxa"/>
            </w:tcMar>
            <w:vAlign w:val="bottom"/>
            <w:hideMark/>
          </w:tcPr>
          <w:p w:rsidR="009D60A6" w:rsidRPr="009D60A6" w:rsidRDefault="009D60A6" w:rsidP="009D60A6">
            <w:pPr>
              <w:wordWrap/>
              <w:snapToGrid w:val="0"/>
              <w:spacing w:after="80" w:line="26" w:lineRule="atLeast"/>
              <w:jc w:val="left"/>
              <w:textAlignment w:val="baseline"/>
              <w:rPr>
                <w:rFonts w:ascii="Times New Roman" w:eastAsia="굴림" w:hAnsi="굴림" w:cs="굴림"/>
                <w:color w:val="000000"/>
                <w:kern w:val="0"/>
                <w:sz w:val="24"/>
                <w:szCs w:val="24"/>
              </w:rPr>
            </w:pPr>
            <w:r w:rsidRPr="009D60A6">
              <w:rPr>
                <w:rFonts w:ascii="바탕" w:eastAsia="바탕" w:hAnsi="바탕" w:cs="바탕"/>
                <w:color w:val="000000"/>
                <w:kern w:val="0"/>
                <w:sz w:val="28"/>
                <w:szCs w:val="28"/>
              </w:rPr>
              <w:t>유엔</w:t>
            </w:r>
          </w:p>
        </w:tc>
        <w:tc>
          <w:tcPr>
            <w:tcW w:w="6144" w:type="dxa"/>
            <w:gridSpan w:val="2"/>
            <w:tcBorders>
              <w:top w:val="nil"/>
              <w:left w:val="nil"/>
              <w:bottom w:val="single" w:sz="4" w:space="0" w:color="0A0000"/>
              <w:right w:val="nil"/>
            </w:tcBorders>
            <w:tcMar>
              <w:top w:w="28" w:type="dxa"/>
              <w:left w:w="102" w:type="dxa"/>
              <w:bottom w:w="28" w:type="dxa"/>
              <w:right w:w="102" w:type="dxa"/>
            </w:tcMar>
            <w:vAlign w:val="bottom"/>
            <w:hideMark/>
          </w:tcPr>
          <w:p w:rsidR="009D60A6" w:rsidRPr="009D60A6" w:rsidRDefault="009D60A6" w:rsidP="009D60A6">
            <w:pPr>
              <w:wordWrap/>
              <w:snapToGrid w:val="0"/>
              <w:spacing w:after="0" w:line="26" w:lineRule="atLeast"/>
              <w:jc w:val="right"/>
              <w:textAlignment w:val="baseline"/>
              <w:rPr>
                <w:rFonts w:ascii="Times New Roman" w:eastAsia="굴림" w:hAnsi="굴림" w:cs="굴림"/>
                <w:color w:val="000000"/>
                <w:kern w:val="0"/>
                <w:sz w:val="24"/>
                <w:szCs w:val="24"/>
              </w:rPr>
            </w:pPr>
            <w:r w:rsidRPr="009D60A6">
              <w:rPr>
                <w:rFonts w:ascii="Times New Roman" w:eastAsia="Times New Roman" w:hAnsi="굴림" w:cs="굴림"/>
                <w:color w:val="000000"/>
                <w:kern w:val="0"/>
                <w:sz w:val="40"/>
                <w:szCs w:val="40"/>
              </w:rPr>
              <w:t>A</w:t>
            </w:r>
            <w:r w:rsidRPr="009D60A6">
              <w:rPr>
                <w:rFonts w:ascii="Times New Roman" w:eastAsia="Times New Roman" w:hAnsi="굴림" w:cs="굴림"/>
                <w:color w:val="000000"/>
                <w:kern w:val="0"/>
                <w:szCs w:val="20"/>
              </w:rPr>
              <w:t>/HRC/51/27</w:t>
            </w:r>
          </w:p>
        </w:tc>
      </w:tr>
      <w:tr w:rsidR="009D60A6" w:rsidRPr="009D60A6" w:rsidTr="009D60A6">
        <w:trPr>
          <w:trHeight w:val="2589"/>
        </w:trPr>
        <w:tc>
          <w:tcPr>
            <w:tcW w:w="1259" w:type="dxa"/>
            <w:tcBorders>
              <w:top w:val="single" w:sz="4" w:space="0" w:color="0A0000"/>
              <w:left w:val="nil"/>
              <w:bottom w:val="single" w:sz="18" w:space="0" w:color="0A0000"/>
              <w:right w:val="nil"/>
            </w:tcBorders>
            <w:tcMar>
              <w:top w:w="28" w:type="dxa"/>
              <w:left w:w="102" w:type="dxa"/>
              <w:bottom w:w="28" w:type="dxa"/>
              <w:right w:w="102" w:type="dxa"/>
            </w:tcMar>
            <w:hideMark/>
          </w:tcPr>
          <w:p w:rsidR="009D60A6" w:rsidRPr="009D60A6" w:rsidRDefault="009D60A6" w:rsidP="009D60A6">
            <w:pPr>
              <w:wordWrap/>
              <w:snapToGrid w:val="0"/>
              <w:spacing w:before="120" w:after="0" w:line="240" w:lineRule="auto"/>
              <w:jc w:val="center"/>
              <w:textAlignment w:val="baseline"/>
              <w:rPr>
                <w:rFonts w:ascii="Times New Roman" w:eastAsia="굴림" w:hAnsi="굴림" w:cs="굴림"/>
                <w:color w:val="000000"/>
                <w:kern w:val="0"/>
                <w:sz w:val="24"/>
                <w:szCs w:val="24"/>
              </w:rPr>
            </w:pPr>
            <w:bookmarkStart w:id="0" w:name="_GoBack"/>
            <w:bookmarkEnd w:id="0"/>
          </w:p>
        </w:tc>
        <w:tc>
          <w:tcPr>
            <w:tcW w:w="5450" w:type="dxa"/>
            <w:gridSpan w:val="2"/>
            <w:tcBorders>
              <w:top w:val="single" w:sz="4" w:space="0" w:color="0A0000"/>
              <w:left w:val="nil"/>
              <w:bottom w:val="single" w:sz="18" w:space="0" w:color="0A0000"/>
              <w:right w:val="nil"/>
            </w:tcBorders>
            <w:tcMar>
              <w:top w:w="28" w:type="dxa"/>
              <w:left w:w="102" w:type="dxa"/>
              <w:bottom w:w="28" w:type="dxa"/>
              <w:right w:w="102" w:type="dxa"/>
            </w:tcMar>
            <w:hideMark/>
          </w:tcPr>
          <w:p w:rsidR="009D60A6" w:rsidRPr="009D60A6" w:rsidRDefault="009D60A6" w:rsidP="009D60A6">
            <w:pPr>
              <w:wordWrap/>
              <w:snapToGrid w:val="0"/>
              <w:spacing w:before="120" w:after="0" w:line="420" w:lineRule="exact"/>
              <w:jc w:val="left"/>
              <w:textAlignment w:val="baseline"/>
              <w:rPr>
                <w:rFonts w:ascii="Times New Roman" w:eastAsia="굴림" w:hAnsi="굴림" w:cs="굴림"/>
                <w:color w:val="000000"/>
                <w:kern w:val="0"/>
                <w:sz w:val="24"/>
                <w:szCs w:val="24"/>
              </w:rPr>
            </w:pPr>
            <w:r w:rsidRPr="009D60A6">
              <w:rPr>
                <w:rFonts w:ascii="바탕" w:eastAsia="바탕" w:hAnsi="바탕" w:cs="바탕"/>
                <w:b/>
                <w:bCs/>
                <w:color w:val="000000"/>
                <w:kern w:val="0"/>
                <w:sz w:val="40"/>
                <w:szCs w:val="40"/>
              </w:rPr>
              <w:t>총회</w:t>
            </w:r>
          </w:p>
          <w:p w:rsidR="009D60A6" w:rsidRPr="009D60A6" w:rsidRDefault="009D60A6" w:rsidP="009D60A6">
            <w:pPr>
              <w:wordWrap/>
              <w:snapToGrid w:val="0"/>
              <w:spacing w:before="120" w:after="0" w:line="420" w:lineRule="exact"/>
              <w:jc w:val="left"/>
              <w:textAlignment w:val="baseline"/>
              <w:rPr>
                <w:rFonts w:ascii="Times New Roman" w:eastAsia="굴림" w:hAnsi="굴림" w:cs="굴림"/>
                <w:b/>
                <w:bCs/>
                <w:color w:val="000000"/>
                <w:kern w:val="0"/>
                <w:sz w:val="40"/>
                <w:szCs w:val="40"/>
              </w:rPr>
            </w:pPr>
          </w:p>
        </w:tc>
        <w:tc>
          <w:tcPr>
            <w:tcW w:w="2930" w:type="dxa"/>
            <w:tcBorders>
              <w:top w:val="single" w:sz="4" w:space="0" w:color="0A0000"/>
              <w:left w:val="nil"/>
              <w:bottom w:val="single" w:sz="18" w:space="0" w:color="0A0000"/>
              <w:right w:val="nil"/>
            </w:tcBorders>
            <w:tcMar>
              <w:top w:w="28" w:type="dxa"/>
              <w:left w:w="102" w:type="dxa"/>
              <w:bottom w:w="28" w:type="dxa"/>
              <w:right w:w="102" w:type="dxa"/>
            </w:tcMar>
            <w:hideMark/>
          </w:tcPr>
          <w:p w:rsidR="009D60A6" w:rsidRPr="009D60A6" w:rsidRDefault="009D60A6" w:rsidP="009D60A6">
            <w:pPr>
              <w:spacing w:after="0" w:line="360" w:lineRule="auto"/>
              <w:textAlignment w:val="baseline"/>
              <w:rPr>
                <w:rFonts w:ascii="Times New Roman" w:eastAsia="굴림" w:hAnsi="굴림" w:cs="굴림"/>
                <w:color w:val="000000"/>
                <w:kern w:val="0"/>
                <w:sz w:val="12"/>
                <w:szCs w:val="12"/>
              </w:rPr>
            </w:pPr>
          </w:p>
          <w:p w:rsidR="009D60A6" w:rsidRPr="009D60A6" w:rsidRDefault="009D60A6" w:rsidP="00070120">
            <w:pPr>
              <w:spacing w:after="0" w:line="276" w:lineRule="auto"/>
              <w:textAlignment w:val="baseline"/>
              <w:rPr>
                <w:rFonts w:ascii="Times New Roman" w:eastAsia="굴림" w:hAnsi="굴림" w:cs="굴림"/>
                <w:color w:val="000000"/>
                <w:kern w:val="0"/>
                <w:sz w:val="24"/>
                <w:szCs w:val="24"/>
              </w:rPr>
            </w:pPr>
            <w:r w:rsidRPr="009D60A6">
              <w:rPr>
                <w:rFonts w:ascii="휴먼명조" w:eastAsia="휴먼명조" w:hAnsi="굴림" w:cs="굴림" w:hint="eastAsia"/>
                <w:color w:val="000000"/>
                <w:kern w:val="0"/>
                <w:sz w:val="24"/>
                <w:szCs w:val="24"/>
              </w:rPr>
              <w:t>배포: 일반</w:t>
            </w:r>
          </w:p>
          <w:p w:rsidR="009D60A6" w:rsidRPr="009D60A6" w:rsidRDefault="009D60A6" w:rsidP="00070120">
            <w:pPr>
              <w:spacing w:after="0" w:line="276" w:lineRule="auto"/>
              <w:textAlignment w:val="baseline"/>
              <w:rPr>
                <w:rFonts w:ascii="Times New Roman" w:eastAsia="굴림" w:hAnsi="굴림" w:cs="굴림"/>
                <w:color w:val="000000"/>
                <w:kern w:val="0"/>
                <w:sz w:val="24"/>
                <w:szCs w:val="24"/>
              </w:rPr>
            </w:pPr>
            <w:r w:rsidRPr="009D60A6">
              <w:rPr>
                <w:rFonts w:ascii="휴먼명조" w:eastAsia="휴먼명조" w:hAnsi="굴림" w:cs="굴림" w:hint="eastAsia"/>
                <w:color w:val="000000"/>
                <w:kern w:val="0"/>
                <w:sz w:val="24"/>
                <w:szCs w:val="24"/>
              </w:rPr>
              <w:t>2022년 8월 9일</w:t>
            </w:r>
          </w:p>
          <w:p w:rsidR="009D60A6" w:rsidRPr="009D60A6" w:rsidRDefault="009D60A6" w:rsidP="00070120">
            <w:pPr>
              <w:spacing w:after="0" w:line="276" w:lineRule="auto"/>
              <w:textAlignment w:val="baseline"/>
              <w:rPr>
                <w:rFonts w:ascii="Times New Roman" w:eastAsia="굴림" w:hAnsi="굴림" w:cs="굴림"/>
                <w:color w:val="000000"/>
                <w:kern w:val="0"/>
                <w:sz w:val="24"/>
                <w:szCs w:val="24"/>
              </w:rPr>
            </w:pPr>
          </w:p>
          <w:p w:rsidR="009D60A6" w:rsidRPr="009D60A6" w:rsidRDefault="009D60A6" w:rsidP="00070120">
            <w:pPr>
              <w:spacing w:after="0" w:line="276" w:lineRule="auto"/>
              <w:textAlignment w:val="baseline"/>
              <w:rPr>
                <w:rFonts w:ascii="Times New Roman" w:eastAsia="굴림" w:hAnsi="굴림" w:cs="굴림"/>
                <w:color w:val="000000"/>
                <w:kern w:val="0"/>
                <w:sz w:val="24"/>
                <w:szCs w:val="24"/>
              </w:rPr>
            </w:pPr>
            <w:r w:rsidRPr="009D60A6">
              <w:rPr>
                <w:rFonts w:ascii="휴먼명조" w:eastAsia="휴먼명조" w:hAnsi="굴림" w:cs="굴림" w:hint="eastAsia"/>
                <w:color w:val="000000"/>
                <w:kern w:val="0"/>
                <w:sz w:val="24"/>
                <w:szCs w:val="24"/>
              </w:rPr>
              <w:t>원문: 영어</w:t>
            </w:r>
          </w:p>
          <w:p w:rsidR="009D60A6" w:rsidRPr="009D60A6" w:rsidRDefault="009D60A6" w:rsidP="009D60A6">
            <w:pPr>
              <w:spacing w:after="0" w:line="360" w:lineRule="auto"/>
              <w:textAlignment w:val="baseline"/>
              <w:rPr>
                <w:rFonts w:ascii="Times New Roman" w:eastAsia="굴림" w:hAnsi="굴림" w:cs="굴림"/>
                <w:color w:val="000000"/>
                <w:kern w:val="0"/>
                <w:sz w:val="12"/>
                <w:szCs w:val="12"/>
              </w:rPr>
            </w:pPr>
          </w:p>
        </w:tc>
      </w:tr>
    </w:tbl>
    <w:p w:rsidR="00B51BCB" w:rsidRPr="009D60A6" w:rsidRDefault="00B51BCB" w:rsidP="009D60A6">
      <w:pPr>
        <w:wordWrap/>
        <w:spacing w:line="288" w:lineRule="auto"/>
        <w:rPr>
          <w:rFonts w:ascii="휴먼명조" w:eastAsia="휴먼명조"/>
        </w:rPr>
      </w:pPr>
    </w:p>
    <w:p w:rsidR="009D60A6" w:rsidRPr="009D60A6" w:rsidRDefault="009D60A6" w:rsidP="009D60A6">
      <w:pPr>
        <w:pStyle w:val="a4"/>
        <w:wordWrap/>
        <w:spacing w:line="288" w:lineRule="auto"/>
        <w:ind w:left="622" w:hanging="622"/>
        <w:rPr>
          <w:rFonts w:ascii="휴먼명조" w:eastAsia="휴먼명조"/>
          <w:spacing w:val="-20"/>
        </w:rPr>
      </w:pPr>
      <w:r w:rsidRPr="009D60A6">
        <w:rPr>
          <w:rFonts w:ascii="휴먼명조" w:eastAsia="휴먼명조" w:hint="eastAsia"/>
          <w:b/>
          <w:bCs/>
          <w:spacing w:val="-20"/>
          <w:sz w:val="24"/>
          <w:szCs w:val="24"/>
        </w:rPr>
        <w:t>인권이사회</w:t>
      </w:r>
    </w:p>
    <w:p w:rsidR="009D60A6" w:rsidRPr="009D60A6" w:rsidRDefault="009D60A6" w:rsidP="009D60A6">
      <w:pPr>
        <w:pStyle w:val="a4"/>
        <w:wordWrap/>
        <w:spacing w:line="288" w:lineRule="auto"/>
        <w:rPr>
          <w:rFonts w:ascii="휴먼명조" w:eastAsia="휴먼명조"/>
          <w:spacing w:val="-20"/>
        </w:rPr>
      </w:pPr>
      <w:r w:rsidRPr="009D60A6">
        <w:rPr>
          <w:rFonts w:ascii="휴먼명조" w:eastAsia="휴먼명조" w:hint="eastAsia"/>
          <w:b/>
          <w:bCs/>
          <w:spacing w:val="-20"/>
          <w:sz w:val="24"/>
          <w:szCs w:val="24"/>
        </w:rPr>
        <w:t>제51차 회기</w:t>
      </w:r>
      <w:r w:rsidRPr="009D60A6">
        <w:rPr>
          <w:rFonts w:ascii="휴먼명조" w:eastAsia="휴먼명조" w:hint="eastAsia"/>
          <w:spacing w:val="-20"/>
          <w:sz w:val="24"/>
          <w:szCs w:val="24"/>
        </w:rPr>
        <w:t xml:space="preserve"> </w:t>
      </w:r>
    </w:p>
    <w:p w:rsidR="009D60A6" w:rsidRPr="009D60A6" w:rsidRDefault="009D60A6" w:rsidP="009D60A6">
      <w:pPr>
        <w:pStyle w:val="a4"/>
        <w:wordWrap/>
        <w:spacing w:line="288" w:lineRule="auto"/>
        <w:rPr>
          <w:rFonts w:ascii="휴먼명조" w:eastAsia="휴먼명조"/>
          <w:spacing w:val="-20"/>
        </w:rPr>
      </w:pPr>
      <w:r w:rsidRPr="009D60A6">
        <w:rPr>
          <w:rFonts w:ascii="휴먼명조" w:eastAsia="휴먼명조" w:hint="eastAsia"/>
          <w:spacing w:val="-20"/>
          <w:sz w:val="24"/>
          <w:szCs w:val="24"/>
        </w:rPr>
        <w:t xml:space="preserve">2022년 9월 12일 </w:t>
      </w:r>
      <w:r w:rsidRPr="009D60A6">
        <w:rPr>
          <w:rFonts w:ascii="바탕" w:eastAsia="바탕" w:hAnsi="바탕" w:cs="바탕" w:hint="eastAsia"/>
          <w:spacing w:val="-20"/>
          <w:sz w:val="24"/>
          <w:szCs w:val="24"/>
        </w:rPr>
        <w:t>–</w:t>
      </w:r>
      <w:r w:rsidRPr="009D60A6">
        <w:rPr>
          <w:rFonts w:ascii="휴먼명조" w:eastAsia="휴먼명조" w:hAnsi="휴먼명조" w:hint="eastAsia"/>
          <w:spacing w:val="-20"/>
          <w:sz w:val="24"/>
          <w:szCs w:val="24"/>
        </w:rPr>
        <w:t xml:space="preserve"> </w:t>
      </w:r>
      <w:r w:rsidRPr="009D60A6">
        <w:rPr>
          <w:rFonts w:ascii="휴먼명조" w:eastAsia="휴먼명조" w:hint="eastAsia"/>
          <w:spacing w:val="-20"/>
          <w:sz w:val="24"/>
          <w:szCs w:val="24"/>
        </w:rPr>
        <w:t xml:space="preserve">10월 7일 </w:t>
      </w:r>
    </w:p>
    <w:p w:rsidR="009D60A6" w:rsidRPr="009D60A6" w:rsidRDefault="009D60A6" w:rsidP="009D60A6">
      <w:pPr>
        <w:pStyle w:val="a4"/>
        <w:wordWrap/>
        <w:spacing w:line="288" w:lineRule="auto"/>
        <w:rPr>
          <w:rFonts w:ascii="휴먼명조" w:eastAsia="휴먼명조"/>
          <w:spacing w:val="-20"/>
        </w:rPr>
      </w:pPr>
      <w:r w:rsidRPr="009D60A6">
        <w:rPr>
          <w:rFonts w:ascii="휴먼명조" w:eastAsia="휴먼명조" w:hint="eastAsia"/>
          <w:spacing w:val="-20"/>
          <w:sz w:val="24"/>
          <w:szCs w:val="24"/>
        </w:rPr>
        <w:t>의제 3</w:t>
      </w:r>
    </w:p>
    <w:p w:rsidR="009D60A6" w:rsidRPr="009D60A6" w:rsidRDefault="009D60A6" w:rsidP="009D60A6">
      <w:pPr>
        <w:pStyle w:val="1"/>
        <w:spacing w:line="288" w:lineRule="auto"/>
        <w:jc w:val="both"/>
        <w:rPr>
          <w:rFonts w:ascii="휴먼명조" w:eastAsia="휴먼명조"/>
          <w:spacing w:val="-20"/>
        </w:rPr>
      </w:pPr>
      <w:r w:rsidRPr="009D60A6">
        <w:rPr>
          <w:rFonts w:ascii="휴먼명조" w:eastAsia="휴먼명조" w:hint="eastAsia"/>
          <w:b/>
          <w:bCs/>
          <w:spacing w:val="-20"/>
        </w:rPr>
        <w:t xml:space="preserve">발전권을 포함한 모든 인권, </w:t>
      </w:r>
    </w:p>
    <w:p w:rsidR="009D60A6" w:rsidRPr="009D60A6" w:rsidRDefault="009D60A6" w:rsidP="009D60A6">
      <w:pPr>
        <w:pStyle w:val="1"/>
        <w:spacing w:line="288" w:lineRule="auto"/>
        <w:jc w:val="both"/>
        <w:rPr>
          <w:rFonts w:ascii="휴먼명조" w:eastAsia="휴먼명조"/>
          <w:spacing w:val="-20"/>
        </w:rPr>
      </w:pPr>
      <w:r w:rsidRPr="009D60A6">
        <w:rPr>
          <w:rFonts w:ascii="휴먼명조" w:eastAsia="휴먼명조" w:hint="eastAsia"/>
          <w:b/>
          <w:bCs/>
          <w:spacing w:val="-20"/>
        </w:rPr>
        <w:t xml:space="preserve">시민적, 정치적, 경제적, 사회적 </w:t>
      </w:r>
    </w:p>
    <w:p w:rsidR="009D60A6" w:rsidRPr="009D60A6" w:rsidRDefault="009D60A6" w:rsidP="009D60A6">
      <w:pPr>
        <w:pStyle w:val="1"/>
        <w:spacing w:line="288" w:lineRule="auto"/>
        <w:jc w:val="both"/>
        <w:rPr>
          <w:rFonts w:ascii="휴먼명조" w:eastAsia="휴먼명조"/>
          <w:spacing w:val="-20"/>
        </w:rPr>
      </w:pPr>
      <w:r w:rsidRPr="009D60A6">
        <w:rPr>
          <w:rFonts w:ascii="휴먼명조" w:eastAsia="휴먼명조" w:hint="eastAsia"/>
          <w:b/>
          <w:bCs/>
          <w:spacing w:val="-20"/>
        </w:rPr>
        <w:t>및 문화적 권리의 보호 및 증진</w:t>
      </w:r>
    </w:p>
    <w:p w:rsidR="009D60A6" w:rsidRPr="009D60A6" w:rsidRDefault="009D60A6" w:rsidP="00E043C3">
      <w:pPr>
        <w:pStyle w:val="a4"/>
        <w:wordWrap/>
        <w:spacing w:line="24" w:lineRule="atLeast"/>
        <w:rPr>
          <w:rFonts w:ascii="휴먼명조" w:eastAsia="휴먼명조"/>
          <w:spacing w:val="-20"/>
          <w:sz w:val="24"/>
          <w:szCs w:val="24"/>
        </w:rPr>
      </w:pPr>
    </w:p>
    <w:p w:rsidR="009D60A6" w:rsidRPr="009D60A6" w:rsidRDefault="009D60A6" w:rsidP="00E043C3">
      <w:pPr>
        <w:pStyle w:val="a4"/>
        <w:wordWrap/>
        <w:spacing w:line="24" w:lineRule="atLeast"/>
        <w:rPr>
          <w:rFonts w:ascii="휴먼명조" w:eastAsia="휴먼명조"/>
          <w:spacing w:val="-20"/>
          <w:sz w:val="24"/>
          <w:szCs w:val="24"/>
        </w:rPr>
      </w:pPr>
    </w:p>
    <w:p w:rsidR="009D60A6" w:rsidRPr="009D60A6" w:rsidRDefault="009D60A6" w:rsidP="00E043C3">
      <w:pPr>
        <w:pStyle w:val="a4"/>
        <w:wordWrap/>
        <w:spacing w:line="24" w:lineRule="atLeast"/>
        <w:jc w:val="left"/>
        <w:rPr>
          <w:rFonts w:ascii="휴먼명조" w:eastAsia="휴먼명조"/>
          <w:spacing w:val="-20"/>
        </w:rPr>
      </w:pPr>
      <w:r w:rsidRPr="009D60A6">
        <w:rPr>
          <w:rFonts w:ascii="휴먼명조" w:eastAsia="휴먼명조" w:hint="eastAsia"/>
          <w:spacing w:val="-20"/>
        </w:rPr>
        <w:tab/>
      </w:r>
      <w:r w:rsidRPr="009D60A6">
        <w:rPr>
          <w:rFonts w:ascii="휴먼명조" w:eastAsia="휴먼명조" w:hint="eastAsia"/>
          <w:b/>
          <w:bCs/>
          <w:spacing w:val="-20"/>
          <w:sz w:val="34"/>
          <w:szCs w:val="34"/>
        </w:rPr>
        <w:t xml:space="preserve">자유를 박탈당한 노인 </w:t>
      </w:r>
    </w:p>
    <w:p w:rsidR="009D60A6" w:rsidRPr="009D60A6" w:rsidRDefault="009D60A6" w:rsidP="00E043C3">
      <w:pPr>
        <w:pStyle w:val="a4"/>
        <w:wordWrap/>
        <w:spacing w:line="24" w:lineRule="atLeast"/>
        <w:rPr>
          <w:rFonts w:ascii="휴먼명조" w:eastAsia="휴먼명조"/>
          <w:spacing w:val="-20"/>
          <w:sz w:val="24"/>
          <w:szCs w:val="24"/>
        </w:rPr>
      </w:pPr>
    </w:p>
    <w:p w:rsidR="009D60A6" w:rsidRPr="009D60A6" w:rsidRDefault="009D60A6" w:rsidP="00E043C3">
      <w:pPr>
        <w:pStyle w:val="a4"/>
        <w:wordWrap/>
        <w:spacing w:line="24" w:lineRule="atLeast"/>
        <w:jc w:val="left"/>
        <w:rPr>
          <w:rFonts w:ascii="휴먼명조" w:eastAsia="휴먼명조"/>
          <w:spacing w:val="-20"/>
          <w:sz w:val="24"/>
          <w:szCs w:val="24"/>
        </w:rPr>
      </w:pPr>
      <w:r w:rsidRPr="009D60A6">
        <w:rPr>
          <w:rFonts w:ascii="휴먼명조" w:eastAsia="휴먼명조" w:hint="eastAsia"/>
          <w:spacing w:val="-20"/>
        </w:rPr>
        <w:tab/>
      </w:r>
      <w:proofErr w:type="spellStart"/>
      <w:r w:rsidRPr="009D60A6">
        <w:rPr>
          <w:rFonts w:ascii="휴먼명조" w:eastAsia="휴먼명조" w:hint="eastAsia"/>
          <w:spacing w:val="-20"/>
          <w:sz w:val="24"/>
          <w:szCs w:val="24"/>
        </w:rPr>
        <w:t>클라우디아</w:t>
      </w:r>
      <w:proofErr w:type="spellEnd"/>
      <w:r w:rsidRPr="009D60A6">
        <w:rPr>
          <w:rFonts w:ascii="휴먼명조" w:eastAsia="휴먼명조" w:hint="eastAsia"/>
          <w:spacing w:val="-20"/>
          <w:sz w:val="24"/>
          <w:szCs w:val="24"/>
        </w:rPr>
        <w:t xml:space="preserve"> 말러 노인의 모든 인권 향유에 관한 독립전문가*</w:t>
      </w:r>
    </w:p>
    <w:p w:rsidR="009D60A6" w:rsidRPr="009D60A6" w:rsidRDefault="009D60A6" w:rsidP="00E043C3">
      <w:pPr>
        <w:pStyle w:val="a4"/>
        <w:wordWrap/>
        <w:spacing w:line="24" w:lineRule="atLeast"/>
        <w:rPr>
          <w:rFonts w:ascii="휴먼명조" w:eastAsia="휴먼명조"/>
          <w:sz w:val="24"/>
          <w:szCs w:val="24"/>
        </w:rPr>
      </w:pPr>
    </w:p>
    <w:p w:rsidR="009D60A6" w:rsidRDefault="009D60A6" w:rsidP="00E043C3">
      <w:pPr>
        <w:pStyle w:val="a4"/>
        <w:wordWrap/>
        <w:spacing w:line="24" w:lineRule="atLeast"/>
        <w:rPr>
          <w:rFonts w:ascii="휴먼명조" w:eastAsia="휴먼명조"/>
          <w:sz w:val="24"/>
          <w:szCs w:val="24"/>
        </w:rPr>
      </w:pPr>
      <w:r w:rsidRPr="009D60A6">
        <w:rPr>
          <w:rFonts w:ascii="휴먼명조" w:eastAsia="휴먼명조" w:hint="eastAsia"/>
          <w:sz w:val="24"/>
          <w:szCs w:val="24"/>
        </w:rPr>
        <w:t xml:space="preserve">요약 </w:t>
      </w:r>
    </w:p>
    <w:tbl>
      <w:tblPr>
        <w:tblStyle w:val="a5"/>
        <w:tblW w:w="0" w:type="auto"/>
        <w:tblLook w:val="04A0" w:firstRow="1" w:lastRow="0" w:firstColumn="1" w:lastColumn="0" w:noHBand="0" w:noVBand="1"/>
      </w:tblPr>
      <w:tblGrid>
        <w:gridCol w:w="9288"/>
      </w:tblGrid>
      <w:tr w:rsidR="009D60A6" w:rsidRPr="009D60A6" w:rsidTr="009D60A6">
        <w:tc>
          <w:tcPr>
            <w:tcW w:w="9288" w:type="dxa"/>
          </w:tcPr>
          <w:p w:rsidR="009D60A6" w:rsidRPr="009D60A6" w:rsidRDefault="009D60A6" w:rsidP="00E043C3">
            <w:pPr>
              <w:pStyle w:val="a4"/>
              <w:spacing w:line="288" w:lineRule="auto"/>
              <w:rPr>
                <w:rFonts w:ascii="휴먼명조" w:eastAsia="휴먼명조"/>
                <w:spacing w:val="-20"/>
              </w:rPr>
            </w:pPr>
          </w:p>
          <w:p w:rsidR="009D60A6" w:rsidRPr="009D60A6" w:rsidRDefault="009D60A6" w:rsidP="00E043C3">
            <w:pPr>
              <w:pStyle w:val="a4"/>
              <w:spacing w:line="288" w:lineRule="auto"/>
              <w:rPr>
                <w:spacing w:val="-20"/>
              </w:rPr>
            </w:pPr>
            <w:r w:rsidRPr="009D60A6">
              <w:rPr>
                <w:rFonts w:ascii="휴먼명조" w:eastAsia="휴먼명조" w:hint="eastAsia"/>
                <w:spacing w:val="-20"/>
                <w:sz w:val="22"/>
                <w:szCs w:val="22"/>
              </w:rPr>
              <w:t xml:space="preserve">유엔인권이사회 결의 제42/12호에 따라 제출된 노인의 모든 인권 향유에 대한 독립전문가의 본 보고서는 독립전문가의 활동에 대한 개요와 자유를 박탈당한 노인의 여러 상황에 대한 주제별 분석을 제공한다. 본 보고서는 노인의 관점에서 자유의 박탈이 무엇을 의미하며 그들의 완전한 인권 향유에 어떠한 영향을 미치는지를 살펴보고, 노인에 대한 자유 박탈의 근본적 원인을 분석하며, 세 가지 분야(형사사법, 이주 관련 구금, 돌봄)에서의 인권적 과제와 위험을 강조하고, 자유를 박탈당한 노인의 인권 보호를 위한 방안을 제시한다. 본 보고서는 국가와 여러 이해관계자에 대한 일련의 권고로 마무리된다. </w:t>
            </w:r>
          </w:p>
          <w:p w:rsidR="009D60A6" w:rsidRPr="009D60A6" w:rsidRDefault="009D60A6" w:rsidP="009D60A6">
            <w:pPr>
              <w:pStyle w:val="a4"/>
              <w:spacing w:line="372" w:lineRule="auto"/>
              <w:rPr>
                <w:rFonts w:ascii="휴먼명조" w:eastAsia="휴먼명조"/>
                <w:spacing w:val="-20"/>
              </w:rPr>
            </w:pPr>
          </w:p>
        </w:tc>
      </w:tr>
    </w:tbl>
    <w:p w:rsidR="009D60A6" w:rsidRPr="009D60A6" w:rsidRDefault="009D60A6" w:rsidP="009D60A6">
      <w:pPr>
        <w:pStyle w:val="a4"/>
        <w:spacing w:line="372" w:lineRule="auto"/>
        <w:rPr>
          <w:rFonts w:ascii="휴먼명조" w:eastAsia="휴먼명조"/>
          <w:spacing w:val="-20"/>
        </w:rPr>
      </w:pPr>
    </w:p>
    <w:p w:rsidR="009D60A6" w:rsidRPr="009D60A6" w:rsidRDefault="009D60A6" w:rsidP="009D60A6">
      <w:pPr>
        <w:pStyle w:val="a4"/>
        <w:spacing w:line="372" w:lineRule="auto"/>
        <w:ind w:left="120" w:hanging="120"/>
        <w:rPr>
          <w:spacing w:val="-14"/>
        </w:rPr>
      </w:pPr>
      <w:r w:rsidRPr="009D60A6">
        <w:rPr>
          <w:rFonts w:ascii="휴먼명조" w:eastAsia="휴먼명조" w:hint="eastAsia"/>
          <w:spacing w:val="-14"/>
          <w:sz w:val="22"/>
          <w:szCs w:val="22"/>
        </w:rPr>
        <w:t xml:space="preserve">*제출자가 통제할 수 없는 사정으로 인해 본 보고서를 표준 발행 날짜 이후에 발행하기로 합의하였다. </w:t>
      </w:r>
    </w:p>
    <w:p w:rsidR="009D60A6" w:rsidRDefault="009D60A6" w:rsidP="009D60A6">
      <w:pPr>
        <w:pStyle w:val="a4"/>
        <w:spacing w:line="372" w:lineRule="auto"/>
      </w:pPr>
      <w:r>
        <w:rPr>
          <w:rFonts w:ascii="휴먼명조" w:eastAsia="휴먼명조" w:hint="eastAsia"/>
          <w:sz w:val="30"/>
          <w:szCs w:val="30"/>
        </w:rPr>
        <w:t xml:space="preserve">목차 </w:t>
      </w:r>
    </w:p>
    <w:p w:rsidR="009D60A6" w:rsidRDefault="009D60A6" w:rsidP="009D60A6">
      <w:pPr>
        <w:pStyle w:val="a4"/>
        <w:spacing w:line="372" w:lineRule="auto"/>
        <w:rPr>
          <w:sz w:val="24"/>
          <w:szCs w:val="24"/>
        </w:rPr>
      </w:pPr>
    </w:p>
    <w:p w:rsidR="009D60A6" w:rsidRDefault="009D60A6" w:rsidP="009D60A6">
      <w:pPr>
        <w:pStyle w:val="a4"/>
        <w:spacing w:line="372" w:lineRule="auto"/>
      </w:pPr>
      <w:proofErr w:type="spellStart"/>
      <w:r>
        <w:rPr>
          <w:rFonts w:ascii="휴먼명조" w:eastAsia="휴먼명조" w:hAnsi="휴먼명조" w:hint="eastAsia"/>
          <w:b/>
          <w:bCs/>
          <w:sz w:val="30"/>
          <w:szCs w:val="30"/>
        </w:rPr>
        <w:t>Ⅰ</w:t>
      </w:r>
      <w:proofErr w:type="spellEnd"/>
      <w:r>
        <w:rPr>
          <w:rFonts w:ascii="휴먼명조" w:eastAsia="휴먼명조" w:hint="eastAsia"/>
          <w:b/>
          <w:bCs/>
          <w:sz w:val="30"/>
          <w:szCs w:val="30"/>
        </w:rPr>
        <w:t>. 독립전문가의 활동</w:t>
      </w:r>
    </w:p>
    <w:p w:rsidR="009D60A6" w:rsidRDefault="009D60A6" w:rsidP="009D60A6">
      <w:pPr>
        <w:pStyle w:val="a4"/>
        <w:spacing w:line="372" w:lineRule="auto"/>
      </w:pPr>
      <w:r>
        <w:tab/>
      </w:r>
      <w:r>
        <w:rPr>
          <w:rFonts w:ascii="휴먼명조" w:eastAsia="휴먼명조" w:hint="eastAsia"/>
          <w:sz w:val="28"/>
          <w:szCs w:val="28"/>
        </w:rPr>
        <w:t>A. 국가 방문</w:t>
      </w:r>
    </w:p>
    <w:p w:rsidR="009D60A6" w:rsidRDefault="009D60A6" w:rsidP="009D60A6">
      <w:pPr>
        <w:pStyle w:val="a4"/>
        <w:spacing w:line="372" w:lineRule="auto"/>
      </w:pPr>
      <w:r>
        <w:tab/>
      </w:r>
      <w:r>
        <w:rPr>
          <w:rFonts w:ascii="휴먼명조" w:eastAsia="휴먼명조" w:hint="eastAsia"/>
          <w:sz w:val="28"/>
          <w:szCs w:val="28"/>
        </w:rPr>
        <w:t xml:space="preserve">B. 기타 활동 </w:t>
      </w:r>
    </w:p>
    <w:p w:rsidR="009D60A6" w:rsidRDefault="009D60A6" w:rsidP="009D60A6">
      <w:pPr>
        <w:pStyle w:val="a4"/>
        <w:spacing w:line="372" w:lineRule="auto"/>
      </w:pPr>
      <w:proofErr w:type="spellStart"/>
      <w:r>
        <w:rPr>
          <w:rFonts w:ascii="휴먼명조" w:eastAsia="휴먼명조" w:hAnsi="휴먼명조" w:hint="eastAsia"/>
          <w:b/>
          <w:bCs/>
          <w:sz w:val="30"/>
          <w:szCs w:val="30"/>
        </w:rPr>
        <w:t>Ⅱ</w:t>
      </w:r>
      <w:proofErr w:type="spellEnd"/>
      <w:r>
        <w:rPr>
          <w:rFonts w:ascii="휴먼명조" w:eastAsia="휴먼명조" w:hint="eastAsia"/>
          <w:b/>
          <w:bCs/>
          <w:sz w:val="30"/>
          <w:szCs w:val="30"/>
        </w:rPr>
        <w:t xml:space="preserve">. 자유를 박탈당한 노인 </w:t>
      </w:r>
    </w:p>
    <w:p w:rsidR="009D60A6" w:rsidRDefault="009D60A6" w:rsidP="009D60A6">
      <w:pPr>
        <w:pStyle w:val="a4"/>
        <w:spacing w:line="372" w:lineRule="auto"/>
      </w:pPr>
      <w:r>
        <w:tab/>
      </w:r>
      <w:r>
        <w:rPr>
          <w:rFonts w:ascii="휴먼명조" w:eastAsia="휴먼명조" w:hint="eastAsia"/>
          <w:sz w:val="28"/>
          <w:szCs w:val="28"/>
        </w:rPr>
        <w:t>A. 노년기의 자유 박탈</w:t>
      </w:r>
    </w:p>
    <w:p w:rsidR="009D60A6" w:rsidRDefault="009D60A6" w:rsidP="009D60A6">
      <w:pPr>
        <w:pStyle w:val="a4"/>
        <w:spacing w:line="372" w:lineRule="auto"/>
      </w:pPr>
      <w:r>
        <w:tab/>
      </w:r>
      <w:r>
        <w:rPr>
          <w:rFonts w:ascii="휴먼명조" w:eastAsia="휴먼명조" w:hint="eastAsia"/>
          <w:sz w:val="28"/>
          <w:szCs w:val="28"/>
        </w:rPr>
        <w:t>B. 노인에 대한 자유 박탈의 근본적 원인</w:t>
      </w:r>
    </w:p>
    <w:p w:rsidR="009D60A6" w:rsidRDefault="009D60A6" w:rsidP="009D60A6">
      <w:pPr>
        <w:pStyle w:val="a4"/>
        <w:spacing w:line="372" w:lineRule="auto"/>
      </w:pPr>
      <w:r>
        <w:tab/>
      </w:r>
      <w:r>
        <w:rPr>
          <w:rFonts w:ascii="휴먼명조" w:eastAsia="휴먼명조" w:hint="eastAsia"/>
          <w:sz w:val="28"/>
          <w:szCs w:val="28"/>
        </w:rPr>
        <w:t xml:space="preserve">C. 자유가 박탈된 상황에서의 인권적 위험 및 과제 </w:t>
      </w:r>
    </w:p>
    <w:p w:rsidR="009D60A6" w:rsidRDefault="009D60A6" w:rsidP="009D60A6">
      <w:pPr>
        <w:pStyle w:val="a4"/>
        <w:spacing w:line="372" w:lineRule="auto"/>
      </w:pPr>
      <w:r>
        <w:tab/>
      </w:r>
      <w:r>
        <w:rPr>
          <w:rFonts w:ascii="휴먼명조" w:eastAsia="휴먼명조" w:hint="eastAsia"/>
          <w:sz w:val="28"/>
          <w:szCs w:val="28"/>
        </w:rPr>
        <w:t xml:space="preserve">D. 자유를 박탈당한 노인의 인권 보호 </w:t>
      </w:r>
    </w:p>
    <w:p w:rsidR="009E6F5F" w:rsidRDefault="009D60A6" w:rsidP="009E6F5F">
      <w:pPr>
        <w:pStyle w:val="a4"/>
        <w:spacing w:line="372" w:lineRule="auto"/>
      </w:pPr>
      <w:proofErr w:type="spellStart"/>
      <w:r>
        <w:rPr>
          <w:rFonts w:ascii="휴먼명조" w:eastAsia="휴먼명조" w:hAnsi="휴먼명조" w:hint="eastAsia"/>
          <w:b/>
          <w:bCs/>
          <w:sz w:val="30"/>
          <w:szCs w:val="30"/>
        </w:rPr>
        <w:t>Ⅲ</w:t>
      </w:r>
      <w:proofErr w:type="spellEnd"/>
      <w:r>
        <w:rPr>
          <w:rFonts w:ascii="휴먼명조" w:eastAsia="휴먼명조" w:hint="eastAsia"/>
          <w:b/>
          <w:bCs/>
          <w:sz w:val="30"/>
          <w:szCs w:val="30"/>
        </w:rPr>
        <w:t xml:space="preserve">. 결론 및 권고 </w:t>
      </w:r>
    </w:p>
    <w:p w:rsidR="009E6F5F" w:rsidRPr="002A4B9C" w:rsidRDefault="009E6F5F" w:rsidP="002A4B9C">
      <w:pPr>
        <w:widowControl/>
        <w:wordWrap/>
        <w:autoSpaceDE/>
        <w:autoSpaceDN/>
        <w:rPr>
          <w:rFonts w:ascii="함초롬바탕" w:eastAsia="굴림" w:hAnsi="굴림" w:cs="굴림"/>
          <w:color w:val="000000"/>
          <w:kern w:val="0"/>
          <w:szCs w:val="20"/>
        </w:rPr>
      </w:pPr>
      <w:r>
        <w:br w:type="page"/>
      </w:r>
    </w:p>
    <w:p w:rsidR="009E6F5F" w:rsidRDefault="009E6F5F" w:rsidP="009E6F5F">
      <w:pPr>
        <w:pStyle w:val="a4"/>
        <w:spacing w:line="372" w:lineRule="auto"/>
      </w:pPr>
      <w:proofErr w:type="spellStart"/>
      <w:r>
        <w:rPr>
          <w:rFonts w:ascii="휴먼명조" w:eastAsia="휴먼명조" w:hAnsi="휴먼명조" w:hint="eastAsia"/>
          <w:b/>
          <w:bCs/>
          <w:sz w:val="30"/>
          <w:szCs w:val="30"/>
        </w:rPr>
        <w:lastRenderedPageBreak/>
        <w:t>Ⅰ</w:t>
      </w:r>
      <w:proofErr w:type="spellEnd"/>
      <w:r>
        <w:rPr>
          <w:rFonts w:ascii="휴먼명조" w:eastAsia="휴먼명조" w:hint="eastAsia"/>
          <w:b/>
          <w:bCs/>
          <w:sz w:val="30"/>
          <w:szCs w:val="30"/>
        </w:rPr>
        <w:t>. 독립전문가의 활동</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1.</w:t>
      </w:r>
      <w:r>
        <w:tab/>
      </w:r>
      <w:r>
        <w:tab/>
      </w:r>
      <w:r>
        <w:rPr>
          <w:rFonts w:ascii="휴먼명조" w:eastAsia="휴먼명조" w:hint="eastAsia"/>
          <w:sz w:val="24"/>
          <w:szCs w:val="24"/>
        </w:rPr>
        <w:t xml:space="preserve">본 보고서는 </w:t>
      </w:r>
      <w:proofErr w:type="spellStart"/>
      <w:r>
        <w:rPr>
          <w:rFonts w:ascii="휴먼명조" w:eastAsia="휴먼명조" w:hint="eastAsia"/>
          <w:sz w:val="24"/>
          <w:szCs w:val="24"/>
        </w:rPr>
        <w:t>클라우디아</w:t>
      </w:r>
      <w:proofErr w:type="spellEnd"/>
      <w:r>
        <w:rPr>
          <w:rFonts w:ascii="휴먼명조" w:eastAsia="휴먼명조" w:hint="eastAsia"/>
          <w:sz w:val="24"/>
          <w:szCs w:val="24"/>
        </w:rPr>
        <w:t xml:space="preserve"> 말러 노인의 모든 인권 향유에 대한 독립전문가가 유엔인권이사회 결의안 제42/12호에 따라 제출하였다. 본 보고서는 독립전문가가 보고 기간동안 수행한 활동에 대한 개요를 제공하고 자유를 박탈당한 노인의 상황에 대한 주제별 분석을 포함한다. </w:t>
      </w:r>
    </w:p>
    <w:p w:rsidR="009E6F5F" w:rsidRDefault="009E6F5F" w:rsidP="009E6F5F">
      <w:pPr>
        <w:pStyle w:val="a4"/>
        <w:spacing w:line="372" w:lineRule="auto"/>
        <w:rPr>
          <w:sz w:val="24"/>
          <w:szCs w:val="24"/>
        </w:rPr>
      </w:pPr>
    </w:p>
    <w:p w:rsidR="009E6F5F" w:rsidRDefault="009E6F5F" w:rsidP="009E6F5F">
      <w:pPr>
        <w:pStyle w:val="a4"/>
        <w:spacing w:line="372" w:lineRule="auto"/>
      </w:pPr>
      <w:r>
        <w:rPr>
          <w:rFonts w:ascii="휴먼명조" w:eastAsia="휴먼명조" w:hint="eastAsia"/>
          <w:b/>
          <w:bCs/>
          <w:sz w:val="28"/>
          <w:szCs w:val="28"/>
        </w:rPr>
        <w:t>A. 국가 방문</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2.</w:t>
      </w:r>
      <w:r>
        <w:tab/>
      </w:r>
      <w:r>
        <w:tab/>
      </w:r>
      <w:r>
        <w:rPr>
          <w:rFonts w:ascii="휴먼명조" w:eastAsia="휴먼명조" w:hint="eastAsia"/>
          <w:sz w:val="24"/>
          <w:szCs w:val="24"/>
        </w:rPr>
        <w:t xml:space="preserve">독립전문가는 방글라데시, 핀란드, 나이지리아 정부의 공식 방문 초청에 대한 감사를 표한다. 또한 2021년 핀란드 방문 시 보여준 협력에 감사하며, 2022년 하반기 예정된 방글라데시와 나이지리아 방문을 기대한다. 독립전문가는 또한 도미니카 공화국과 몰도바 공화국 정부의 초청에 감사하며 향후 협력을 기대하며, 다른 회원국들이 그녀의 요청에 긍정적으로 반응하길 장려한다. </w:t>
      </w:r>
    </w:p>
    <w:p w:rsidR="009E6F5F" w:rsidRDefault="009E6F5F" w:rsidP="009E6F5F">
      <w:pPr>
        <w:pStyle w:val="a4"/>
        <w:spacing w:line="372" w:lineRule="auto"/>
        <w:rPr>
          <w:sz w:val="24"/>
          <w:szCs w:val="24"/>
        </w:rPr>
      </w:pPr>
    </w:p>
    <w:p w:rsidR="009E6F5F" w:rsidRDefault="009E6F5F" w:rsidP="009E6F5F">
      <w:pPr>
        <w:pStyle w:val="a4"/>
        <w:spacing w:line="372" w:lineRule="auto"/>
      </w:pPr>
      <w:r>
        <w:rPr>
          <w:rFonts w:ascii="휴먼명조" w:eastAsia="휴먼명조" w:hint="eastAsia"/>
          <w:b/>
          <w:bCs/>
          <w:sz w:val="28"/>
          <w:szCs w:val="28"/>
        </w:rPr>
        <w:t>B. 기타 활동</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3.</w:t>
      </w:r>
      <w:r>
        <w:tab/>
      </w:r>
      <w:r>
        <w:tab/>
      </w:r>
      <w:r>
        <w:rPr>
          <w:rFonts w:ascii="휴먼명조" w:eastAsia="휴먼명조" w:hint="eastAsia"/>
          <w:sz w:val="24"/>
          <w:szCs w:val="24"/>
        </w:rPr>
        <w:t xml:space="preserve">독립전문가는 보고 기간동안 개별적으로, 그리고 다른 임무 수임자와의 공동으로 인권과 관련해 정부에 제기된 진정을 다뤘다. 또한 2021년 세계노인의 날을 기념하는 연령주의와 연령차별에 대한 성명과 2022년 세계노인학대 예방의 날을 기념하는 노인에 대한 폭력, 학대 및 방임에 대한 성명을 포함해 개별적 및 다른 임무 수임자와 공동으로 보도자료를 발표하였다.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4.</w:t>
      </w:r>
      <w:r>
        <w:tab/>
      </w:r>
      <w:r>
        <w:tab/>
      </w:r>
      <w:r>
        <w:rPr>
          <w:rFonts w:ascii="휴먼명조" w:eastAsia="휴먼명조" w:hint="eastAsia"/>
          <w:sz w:val="24"/>
          <w:szCs w:val="24"/>
        </w:rPr>
        <w:t xml:space="preserve">독립전문가는 임무에 따라 개방형 고령화 실무그룹 제12차 회기에 참석하였고, (a) 지속가능발전에 대한 노인의 기여와 (b) ‘사법에 대한 </w:t>
      </w:r>
      <w:proofErr w:type="spellStart"/>
      <w:r>
        <w:rPr>
          <w:rFonts w:ascii="휴먼명조" w:eastAsia="휴먼명조" w:hint="eastAsia"/>
          <w:sz w:val="24"/>
          <w:szCs w:val="24"/>
        </w:rPr>
        <w:t>접</w:t>
      </w:r>
      <w:r>
        <w:rPr>
          <w:rFonts w:ascii="휴먼명조" w:eastAsia="휴먼명조" w:hint="eastAsia"/>
          <w:sz w:val="24"/>
          <w:szCs w:val="24"/>
        </w:rPr>
        <w:lastRenderedPageBreak/>
        <w:t>근’이라는</w:t>
      </w:r>
      <w:proofErr w:type="spellEnd"/>
      <w:r>
        <w:rPr>
          <w:rFonts w:ascii="휴먼명조" w:eastAsia="휴먼명조" w:hint="eastAsia"/>
          <w:sz w:val="24"/>
          <w:szCs w:val="24"/>
        </w:rPr>
        <w:t xml:space="preserve"> 집중 분야에서의 규범적 조언에 대한 두 전문가 패널에서 연설을 했다. 또한 개방형 고령화 실무그룹 제12차 회기에 더불어 열린 노인 여성 및 노인의 경제적 불안정에 대한 부대행사에 참석했다. </w:t>
      </w:r>
    </w:p>
    <w:p w:rsidR="009E6F5F" w:rsidRDefault="009E6F5F" w:rsidP="009E6F5F">
      <w:pPr>
        <w:pStyle w:val="a4"/>
        <w:spacing w:line="372" w:lineRule="auto"/>
        <w:rPr>
          <w:sz w:val="24"/>
          <w:szCs w:val="24"/>
        </w:rPr>
      </w:pPr>
    </w:p>
    <w:p w:rsidR="009E6F5F" w:rsidRDefault="009E6F5F" w:rsidP="009E6F5F">
      <w:pPr>
        <w:pStyle w:val="a4"/>
        <w:spacing w:line="372" w:lineRule="auto"/>
        <w:ind w:left="596"/>
      </w:pPr>
      <w:r>
        <w:rPr>
          <w:rFonts w:ascii="휴먼명조" w:eastAsia="휴먼명조" w:hint="eastAsia"/>
          <w:sz w:val="24"/>
          <w:szCs w:val="24"/>
        </w:rPr>
        <w:t>5.</w:t>
      </w:r>
      <w:r>
        <w:tab/>
      </w:r>
      <w:r>
        <w:tab/>
      </w:r>
      <w:r>
        <w:rPr>
          <w:rFonts w:ascii="휴먼명조" w:eastAsia="휴먼명조" w:hint="eastAsia"/>
          <w:sz w:val="24"/>
          <w:szCs w:val="24"/>
        </w:rPr>
        <w:t xml:space="preserve">2021년 8월부터 2022년 7월까지의 기간동안 독립전문가는 여러 국제, 지역 및 국가적 회의, 행사 및 콘퍼런스에 참석하여 노인 인권과 관련한 주제에 대해 연설하였다. 또한 2021년 세계 노인의 날, 2022년 제66차 여성지위위원회 및 2022년 고위급 정치 포럼 기간동안 개최된 노인 여성의 인권 및 디지털화와 디지털 평등에 대한 부대행사에 초대되었다. </w:t>
      </w:r>
    </w:p>
    <w:p w:rsidR="009E6F5F" w:rsidRDefault="009E6F5F" w:rsidP="009E6F5F">
      <w:pPr>
        <w:pStyle w:val="a4"/>
        <w:spacing w:line="372" w:lineRule="auto"/>
        <w:rPr>
          <w:sz w:val="24"/>
          <w:szCs w:val="24"/>
        </w:rPr>
      </w:pPr>
    </w:p>
    <w:p w:rsidR="009E6F5F" w:rsidRDefault="009E6F5F" w:rsidP="009E6F5F">
      <w:pPr>
        <w:pStyle w:val="a4"/>
        <w:spacing w:line="372" w:lineRule="auto"/>
        <w:ind w:left="596"/>
      </w:pPr>
      <w:r>
        <w:rPr>
          <w:rFonts w:ascii="휴먼명조" w:eastAsia="휴먼명조" w:hint="eastAsia"/>
          <w:sz w:val="24"/>
          <w:szCs w:val="24"/>
        </w:rPr>
        <w:t>6.</w:t>
      </w:r>
      <w:r>
        <w:tab/>
      </w:r>
      <w:r>
        <w:tab/>
      </w:r>
      <w:r>
        <w:rPr>
          <w:rFonts w:ascii="휴먼명조" w:eastAsia="휴먼명조" w:hint="eastAsia"/>
          <w:sz w:val="24"/>
          <w:szCs w:val="24"/>
        </w:rPr>
        <w:t xml:space="preserve">독립전문가는 또한 노인 여성 및 기후변화와 관련한 국가의 원칙과 의무, 코로나19 전염병과 관련한 노인의 권리 및 환자 </w:t>
      </w:r>
      <w:proofErr w:type="spellStart"/>
      <w:r>
        <w:rPr>
          <w:rFonts w:ascii="휴먼명조" w:eastAsia="휴먼명조" w:hint="eastAsia"/>
          <w:sz w:val="24"/>
          <w:szCs w:val="24"/>
        </w:rPr>
        <w:t>분류프로토콜에</w:t>
      </w:r>
      <w:proofErr w:type="spellEnd"/>
      <w:r>
        <w:rPr>
          <w:rFonts w:ascii="휴먼명조" w:eastAsia="휴먼명조" w:hint="eastAsia"/>
          <w:sz w:val="24"/>
          <w:szCs w:val="24"/>
        </w:rPr>
        <w:t xml:space="preserve"> 관해 설명하기 위해 법원에 진술서를 제출했다.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7.</w:t>
      </w:r>
      <w:r>
        <w:tab/>
      </w:r>
      <w:r>
        <w:tab/>
      </w:r>
      <w:r>
        <w:rPr>
          <w:rFonts w:ascii="휴먼명조" w:eastAsia="휴먼명조" w:hint="eastAsia"/>
          <w:sz w:val="24"/>
          <w:szCs w:val="24"/>
        </w:rPr>
        <w:t>본 보고서를 준비하며 독립전문가는 자유를 박탈당한 노인에 대한 정보와 모범사례 등을 수집하기 위해 2022년 3월 2일과 3일 두 차례에 걸쳐 온라인 전문가 협의를 진행하였다. 독립전문가는 정보 제출을 요청했고 이에 48건의 서면 정보를 제출 받았다.</w:t>
      </w:r>
      <w:r w:rsidR="00053582">
        <w:rPr>
          <w:rStyle w:val="a7"/>
          <w:rFonts w:ascii="휴먼명조" w:eastAsia="휴먼명조"/>
          <w:sz w:val="24"/>
          <w:szCs w:val="24"/>
        </w:rPr>
        <w:footnoteReference w:id="1"/>
      </w:r>
      <w:r w:rsidR="00053582">
        <w:rPr>
          <w:rFonts w:ascii="휴먼명조" w:eastAsia="휴먼명조" w:hint="eastAsia"/>
          <w:sz w:val="24"/>
          <w:szCs w:val="24"/>
        </w:rPr>
        <w:t xml:space="preserve"> </w:t>
      </w:r>
      <w:r>
        <w:rPr>
          <w:rFonts w:ascii="휴먼명조" w:eastAsia="휴먼명조" w:hint="eastAsia"/>
          <w:sz w:val="24"/>
          <w:szCs w:val="24"/>
        </w:rPr>
        <w:t xml:space="preserve">독립 전문가는 협의에 참석하고 귀중한 정보를 제출해 준 모든 이에게 감사의 뜻을 표한다. </w:t>
      </w:r>
    </w:p>
    <w:p w:rsidR="009E6F5F" w:rsidRDefault="009E6F5F" w:rsidP="009E6F5F">
      <w:pPr>
        <w:pStyle w:val="a4"/>
        <w:spacing w:line="372" w:lineRule="auto"/>
        <w:rPr>
          <w:sz w:val="24"/>
          <w:szCs w:val="24"/>
        </w:rPr>
      </w:pPr>
    </w:p>
    <w:p w:rsidR="002A7077" w:rsidRDefault="002A7077">
      <w:pPr>
        <w:widowControl/>
        <w:wordWrap/>
        <w:autoSpaceDE/>
        <w:autoSpaceDN/>
        <w:rPr>
          <w:rFonts w:ascii="휴먼명조" w:eastAsia="휴먼명조" w:hAnsi="휴먼명조" w:cs="굴림"/>
          <w:b/>
          <w:bCs/>
          <w:color w:val="000000"/>
          <w:kern w:val="0"/>
          <w:sz w:val="30"/>
          <w:szCs w:val="30"/>
        </w:rPr>
      </w:pPr>
      <w:r>
        <w:rPr>
          <w:rFonts w:ascii="휴먼명조" w:eastAsia="휴먼명조" w:hAnsi="휴먼명조"/>
          <w:b/>
          <w:bCs/>
          <w:sz w:val="30"/>
          <w:szCs w:val="30"/>
        </w:rPr>
        <w:br w:type="page"/>
      </w:r>
    </w:p>
    <w:p w:rsidR="009E6F5F" w:rsidRDefault="009E6F5F" w:rsidP="009E6F5F">
      <w:pPr>
        <w:pStyle w:val="a4"/>
        <w:spacing w:line="372" w:lineRule="auto"/>
      </w:pPr>
      <w:proofErr w:type="spellStart"/>
      <w:r>
        <w:rPr>
          <w:rFonts w:ascii="휴먼명조" w:eastAsia="휴먼명조" w:hAnsi="휴먼명조" w:hint="eastAsia"/>
          <w:b/>
          <w:bCs/>
          <w:sz w:val="30"/>
          <w:szCs w:val="30"/>
        </w:rPr>
        <w:lastRenderedPageBreak/>
        <w:t>Ⅱ</w:t>
      </w:r>
      <w:proofErr w:type="spellEnd"/>
      <w:r>
        <w:rPr>
          <w:rFonts w:ascii="휴먼명조" w:eastAsia="휴먼명조" w:hint="eastAsia"/>
          <w:b/>
          <w:bCs/>
          <w:sz w:val="30"/>
          <w:szCs w:val="30"/>
        </w:rPr>
        <w:t xml:space="preserve">. 자유를 박탈당한 노인 </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rPr>
          <w:rFonts w:ascii="휴먼명조" w:eastAsia="휴먼명조" w:hint="eastAsia"/>
          <w:b/>
          <w:bCs/>
          <w:sz w:val="28"/>
          <w:szCs w:val="28"/>
        </w:rPr>
        <w:t>A. 노년기 자유의 박탈</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rPr>
          <w:rFonts w:ascii="휴먼명조" w:eastAsia="휴먼명조" w:hint="eastAsia"/>
          <w:b/>
          <w:bCs/>
          <w:sz w:val="26"/>
          <w:szCs w:val="26"/>
        </w:rPr>
        <w:t>1. 노인의 자유 박탈의 개념화</w:t>
      </w:r>
    </w:p>
    <w:p w:rsidR="009E6F5F" w:rsidRDefault="009E6F5F" w:rsidP="009E6F5F">
      <w:pPr>
        <w:pStyle w:val="a4"/>
        <w:spacing w:line="372" w:lineRule="auto"/>
        <w:ind w:left="596"/>
        <w:rPr>
          <w:sz w:val="24"/>
          <w:szCs w:val="24"/>
        </w:rPr>
      </w:pPr>
    </w:p>
    <w:p w:rsidR="009E6F5F" w:rsidRPr="009E6F5F" w:rsidRDefault="009E6F5F" w:rsidP="009E6F5F">
      <w:pPr>
        <w:pStyle w:val="a4"/>
        <w:spacing w:line="372" w:lineRule="auto"/>
        <w:ind w:left="596"/>
        <w:rPr>
          <w:spacing w:val="-2"/>
        </w:rPr>
      </w:pPr>
      <w:r>
        <w:rPr>
          <w:rFonts w:ascii="휴먼명조" w:eastAsia="휴먼명조" w:hint="eastAsia"/>
          <w:sz w:val="24"/>
          <w:szCs w:val="24"/>
        </w:rPr>
        <w:t>8.</w:t>
      </w:r>
      <w:r>
        <w:tab/>
      </w:r>
      <w:r>
        <w:tab/>
      </w:r>
      <w:r w:rsidRPr="009E6F5F">
        <w:rPr>
          <w:rFonts w:ascii="휴먼명조" w:eastAsia="휴먼명조" w:hint="eastAsia"/>
          <w:spacing w:val="-2"/>
          <w:sz w:val="24"/>
          <w:szCs w:val="24"/>
        </w:rPr>
        <w:t>신체의 자유에 대한 권리는 노인을 포함한 모든 사람을 위한 핵심 인권이다. 국제인권법은 생명, 신체의 자유 및 안전에 대한 구별 또는 차별 없는 권리를 규정하며</w:t>
      </w:r>
      <w:r w:rsidR="00053582">
        <w:rPr>
          <w:rStyle w:val="a7"/>
          <w:rFonts w:ascii="휴먼명조" w:eastAsia="휴먼명조"/>
          <w:spacing w:val="-2"/>
          <w:sz w:val="24"/>
          <w:szCs w:val="24"/>
        </w:rPr>
        <w:footnoteReference w:id="2"/>
      </w:r>
      <w:r w:rsidRPr="009E6F5F">
        <w:rPr>
          <w:rFonts w:ascii="휴먼명조" w:eastAsia="휴먼명조" w:hint="eastAsia"/>
          <w:spacing w:val="-2"/>
          <w:sz w:val="24"/>
          <w:szCs w:val="24"/>
        </w:rPr>
        <w:t xml:space="preserve">, “신체의 구속으로부터의 </w:t>
      </w:r>
      <w:proofErr w:type="spellStart"/>
      <w:r w:rsidRPr="009E6F5F">
        <w:rPr>
          <w:rFonts w:ascii="휴먼명조" w:eastAsia="휴먼명조" w:hint="eastAsia"/>
          <w:spacing w:val="-2"/>
          <w:sz w:val="24"/>
          <w:szCs w:val="24"/>
        </w:rPr>
        <w:t>자유”를</w:t>
      </w:r>
      <w:proofErr w:type="spellEnd"/>
      <w:r w:rsidRPr="009E6F5F">
        <w:rPr>
          <w:rFonts w:ascii="휴먼명조" w:eastAsia="휴먼명조" w:hint="eastAsia"/>
          <w:spacing w:val="-2"/>
          <w:sz w:val="24"/>
          <w:szCs w:val="24"/>
        </w:rPr>
        <w:t xml:space="preserve"> 보장한다.</w:t>
      </w:r>
      <w:r w:rsidR="00053582">
        <w:rPr>
          <w:rStyle w:val="a7"/>
          <w:rFonts w:ascii="휴먼명조" w:eastAsia="휴먼명조"/>
          <w:spacing w:val="-2"/>
          <w:sz w:val="24"/>
          <w:szCs w:val="24"/>
        </w:rPr>
        <w:footnoteReference w:id="3"/>
      </w:r>
      <w:r w:rsidRPr="009E6F5F">
        <w:rPr>
          <w:rFonts w:ascii="휴먼명조" w:eastAsia="휴먼명조" w:hint="eastAsia"/>
          <w:spacing w:val="-2"/>
          <w:sz w:val="24"/>
          <w:szCs w:val="24"/>
        </w:rPr>
        <w:t xml:space="preserve"> 당사국은 제3자에 의한 것을 포함하여 </w:t>
      </w:r>
      <w:proofErr w:type="spellStart"/>
      <w:r w:rsidRPr="009E6F5F">
        <w:rPr>
          <w:rFonts w:ascii="휴먼명조" w:eastAsia="휴먼명조" w:hint="eastAsia"/>
          <w:spacing w:val="-2"/>
          <w:sz w:val="24"/>
          <w:szCs w:val="24"/>
        </w:rPr>
        <w:t>박탈로부터</w:t>
      </w:r>
      <w:proofErr w:type="spellEnd"/>
      <w:r w:rsidRPr="009E6F5F">
        <w:rPr>
          <w:rFonts w:ascii="휴먼명조" w:eastAsia="휴먼명조" w:hint="eastAsia"/>
          <w:spacing w:val="-2"/>
          <w:sz w:val="24"/>
          <w:szCs w:val="24"/>
        </w:rPr>
        <w:t xml:space="preserve"> 신체의 자유에 대한 권리를 보호해야 한다.</w:t>
      </w:r>
      <w:r w:rsidR="00053582">
        <w:rPr>
          <w:rStyle w:val="a7"/>
          <w:rFonts w:ascii="휴먼명조" w:eastAsia="휴먼명조"/>
          <w:spacing w:val="-2"/>
          <w:sz w:val="24"/>
          <w:szCs w:val="24"/>
        </w:rPr>
        <w:footnoteReference w:id="4"/>
      </w:r>
      <w:r w:rsidRPr="009E6F5F">
        <w:rPr>
          <w:rFonts w:ascii="휴먼명조" w:eastAsia="휴먼명조" w:hint="eastAsia"/>
          <w:spacing w:val="-2"/>
          <w:sz w:val="24"/>
          <w:szCs w:val="24"/>
        </w:rPr>
        <w:t xml:space="preserve"> </w:t>
      </w:r>
    </w:p>
    <w:p w:rsidR="009E6F5F" w:rsidRDefault="009E6F5F" w:rsidP="009E6F5F">
      <w:pPr>
        <w:pStyle w:val="a4"/>
        <w:spacing w:line="372" w:lineRule="auto"/>
        <w:rPr>
          <w:sz w:val="24"/>
          <w:szCs w:val="24"/>
        </w:rPr>
      </w:pPr>
    </w:p>
    <w:p w:rsidR="009E6F5F" w:rsidRPr="00053582" w:rsidRDefault="009E6F5F" w:rsidP="00053582">
      <w:pPr>
        <w:pStyle w:val="a4"/>
        <w:spacing w:line="372" w:lineRule="auto"/>
        <w:ind w:left="596"/>
      </w:pPr>
      <w:r>
        <w:rPr>
          <w:rFonts w:ascii="휴먼명조" w:eastAsia="휴먼명조" w:hint="eastAsia"/>
          <w:sz w:val="24"/>
          <w:szCs w:val="24"/>
        </w:rPr>
        <w:t>9.</w:t>
      </w:r>
      <w:r>
        <w:tab/>
      </w:r>
      <w:r>
        <w:tab/>
      </w:r>
      <w:r>
        <w:rPr>
          <w:rFonts w:ascii="휴먼명조" w:eastAsia="휴먼명조" w:hint="eastAsia"/>
          <w:sz w:val="24"/>
          <w:szCs w:val="24"/>
        </w:rPr>
        <w:t xml:space="preserve">신체의 자유에 대한 권리는 절대적 권리가 아니며, 국가는 국제인권법에서 분명하게 정의된 상황에서 자유의 박탈이 필요하고 적법한 목적의 추구에 비례하는 경우 개인의 자유를 박탈할 수 있다. 예를 들어 형사사법 맥락에서 공정한 재판에 대한 실질적이고 절차적인 보장과 관련된 권리가 준수된 상황에서 유죄판결을 받은 사람의 구금은 정당화될 수 있다. 자유의 박탈은 또한 공공의 안전과 보건을 보호하기 위해 필요하고 비례하는 수단인 경우 </w:t>
      </w:r>
      <w:r w:rsidR="00306A4A">
        <w:rPr>
          <w:rFonts w:ascii="휴먼명조" w:eastAsia="휴먼명조" w:hint="eastAsia"/>
          <w:sz w:val="24"/>
          <w:szCs w:val="24"/>
        </w:rPr>
        <w:t>정</w:t>
      </w:r>
      <w:r>
        <w:rPr>
          <w:rFonts w:ascii="휴먼명조" w:eastAsia="휴먼명조" w:hint="eastAsia"/>
          <w:sz w:val="24"/>
          <w:szCs w:val="24"/>
        </w:rPr>
        <w:t>당화될 수 있다. 신체의 자유에 대한 권리가 합법적으로 제한될 수 있지만 그러한 제한이나 거부는 연령이나 장애와 같은 차별적 근거를 기반으로 해서는 안 되며 차별적 절차를 통해 이행되어서도 안 된다. 이에 자유의 박탈은 정당화될 수 없거나 비례적이지 않거나 차별적인 경우, 또는 자유를 박탈당한 이들에게 적법한 절차가 제공되지 않으면 자의적인 것으로 간주된다.</w:t>
      </w:r>
      <w:r w:rsidR="00053582">
        <w:rPr>
          <w:rStyle w:val="a7"/>
          <w:rFonts w:ascii="휴먼명조" w:eastAsia="휴먼명조"/>
          <w:sz w:val="24"/>
          <w:szCs w:val="24"/>
        </w:rPr>
        <w:footnoteReference w:id="5"/>
      </w:r>
      <w:r>
        <w:rPr>
          <w:rFonts w:ascii="휴먼명조" w:eastAsia="휴먼명조" w:hint="eastAsia"/>
          <w:sz w:val="24"/>
          <w:szCs w:val="24"/>
        </w:rPr>
        <w:t xml:space="preserve"> </w:t>
      </w:r>
    </w:p>
    <w:p w:rsidR="00053582" w:rsidRDefault="00053582" w:rsidP="009E6F5F">
      <w:pPr>
        <w:pStyle w:val="a4"/>
        <w:spacing w:line="372" w:lineRule="auto"/>
        <w:ind w:left="596"/>
        <w:rPr>
          <w:rFonts w:ascii="휴먼명조" w:eastAsia="휴먼명조"/>
          <w:sz w:val="24"/>
          <w:szCs w:val="24"/>
        </w:rPr>
      </w:pPr>
    </w:p>
    <w:p w:rsidR="009E6F5F" w:rsidRDefault="009E6F5F" w:rsidP="009E6F5F">
      <w:pPr>
        <w:pStyle w:val="a4"/>
        <w:spacing w:line="372" w:lineRule="auto"/>
        <w:ind w:left="596"/>
      </w:pPr>
      <w:r>
        <w:rPr>
          <w:rFonts w:ascii="휴먼명조" w:eastAsia="휴먼명조" w:hint="eastAsia"/>
          <w:sz w:val="24"/>
          <w:szCs w:val="24"/>
        </w:rPr>
        <w:lastRenderedPageBreak/>
        <w:t>10.</w:t>
      </w:r>
      <w:r>
        <w:tab/>
      </w:r>
      <w:r>
        <w:rPr>
          <w:rFonts w:ascii="휴먼명조" w:eastAsia="휴먼명조" w:hint="eastAsia"/>
          <w:sz w:val="24"/>
          <w:szCs w:val="24"/>
        </w:rPr>
        <w:t>노인은 여러 다양한 사유로 인해 특정한 장소에 구금되거나 공공 또는 민간 기관에 수용되어 그들의 의지에 따라 떠날 수 없는 경우, 그리고 자유를 제한하는 조치가 그들의 자유롭고 정보에 기반한 동의 없이 이뤄진 경우 자유가 박탈되었다고 간주될 수 있다.</w:t>
      </w:r>
      <w:r w:rsidR="00DE0A9D">
        <w:rPr>
          <w:rStyle w:val="a7"/>
          <w:rFonts w:ascii="휴먼명조" w:eastAsia="휴먼명조"/>
          <w:sz w:val="24"/>
          <w:szCs w:val="24"/>
        </w:rPr>
        <w:footnoteReference w:id="6"/>
      </w:r>
      <w:r w:rsidR="00306A4A">
        <w:rPr>
          <w:rFonts w:ascii="휴먼명조" w:eastAsia="휴먼명조"/>
          <w:sz w:val="24"/>
          <w:szCs w:val="24"/>
        </w:rPr>
        <w:t xml:space="preserve"> </w:t>
      </w:r>
      <w:r>
        <w:rPr>
          <w:rFonts w:ascii="휴먼명조" w:eastAsia="휴먼명조" w:hint="eastAsia"/>
          <w:sz w:val="24"/>
          <w:szCs w:val="24"/>
        </w:rPr>
        <w:t>이러한 상황은 대부분 단순한 이동의 자유에 대한 간섭 이상의 제한을 수반한다.</w:t>
      </w:r>
      <w:r w:rsidR="00DE0A9D">
        <w:rPr>
          <w:rStyle w:val="a7"/>
          <w:rFonts w:ascii="휴먼명조" w:eastAsia="휴먼명조"/>
          <w:sz w:val="24"/>
          <w:szCs w:val="24"/>
        </w:rPr>
        <w:footnoteReference w:id="7"/>
      </w:r>
      <w:r>
        <w:rPr>
          <w:rFonts w:ascii="휴먼명조" w:eastAsia="휴먼명조" w:hint="eastAsia"/>
          <w:sz w:val="24"/>
          <w:szCs w:val="24"/>
        </w:rPr>
        <w:t xml:space="preserve"> 이러한 성격의 결정은 보통의 경우 사법, 행정 또는 기타 당국의 명령에 따라 또는 실질적 통제에 의해 이뤄지는 경우가 대부분이다. </w:t>
      </w:r>
    </w:p>
    <w:p w:rsidR="009E6F5F" w:rsidRDefault="009E6F5F" w:rsidP="009E6F5F">
      <w:pPr>
        <w:pStyle w:val="a4"/>
        <w:spacing w:line="372" w:lineRule="auto"/>
        <w:rPr>
          <w:sz w:val="24"/>
          <w:szCs w:val="24"/>
        </w:rPr>
      </w:pPr>
    </w:p>
    <w:p w:rsidR="009E6F5F" w:rsidRDefault="009E6F5F" w:rsidP="009E6F5F">
      <w:pPr>
        <w:pStyle w:val="a4"/>
        <w:spacing w:line="372" w:lineRule="auto"/>
        <w:ind w:left="596"/>
      </w:pPr>
      <w:r>
        <w:rPr>
          <w:rFonts w:ascii="휴먼명조" w:eastAsia="휴먼명조" w:hint="eastAsia"/>
          <w:sz w:val="24"/>
          <w:szCs w:val="24"/>
        </w:rPr>
        <w:t>11.</w:t>
      </w:r>
      <w:r>
        <w:tab/>
      </w:r>
      <w:r>
        <w:rPr>
          <w:rFonts w:ascii="휴먼명조" w:eastAsia="휴먼명조" w:hint="eastAsia"/>
          <w:sz w:val="24"/>
          <w:szCs w:val="24"/>
        </w:rPr>
        <w:t>본 보고서에서 독립전문가는 자유권위원회 일반논평 제35호 및 고문방지협약 선택의정서 제4조에서 이해하는 자유의 박탈과 구금장소에 대한 광범위한 정의를 인지한다.</w:t>
      </w:r>
      <w:r w:rsidR="00DE0A9D">
        <w:rPr>
          <w:rStyle w:val="a7"/>
          <w:rFonts w:ascii="휴먼명조" w:eastAsia="휴먼명조"/>
          <w:sz w:val="24"/>
          <w:szCs w:val="24"/>
        </w:rPr>
        <w:footnoteReference w:id="8"/>
      </w:r>
      <w:r>
        <w:rPr>
          <w:rFonts w:ascii="휴먼명조" w:eastAsia="휴먼명조" w:hint="eastAsia"/>
          <w:sz w:val="24"/>
          <w:szCs w:val="24"/>
        </w:rPr>
        <w:t xml:space="preserve"> 선택의정서가 형사사법 시스템 내 자유의 박탈을 강조함에도 불구하고 고문방지소위원회는 제3조의 ‘</w:t>
      </w:r>
      <w:proofErr w:type="spellStart"/>
      <w:r>
        <w:rPr>
          <w:rFonts w:ascii="휴먼명조" w:eastAsia="휴먼명조" w:hint="eastAsia"/>
          <w:sz w:val="24"/>
          <w:szCs w:val="24"/>
        </w:rPr>
        <w:t>구금장소’가</w:t>
      </w:r>
      <w:proofErr w:type="spellEnd"/>
      <w:r>
        <w:rPr>
          <w:rFonts w:ascii="휴먼명조" w:eastAsia="휴먼명조" w:hint="eastAsia"/>
          <w:sz w:val="24"/>
          <w:szCs w:val="24"/>
        </w:rPr>
        <w:t xml:space="preserve"> 구금의 주된 장소를 넘어서는 광범위한 의미가 있다고 여긴다.</w:t>
      </w:r>
      <w:r w:rsidR="00DE0A9D">
        <w:rPr>
          <w:rStyle w:val="a7"/>
          <w:rFonts w:ascii="휴먼명조" w:eastAsia="휴먼명조"/>
          <w:sz w:val="24"/>
          <w:szCs w:val="24"/>
        </w:rPr>
        <w:footnoteReference w:id="9"/>
      </w:r>
      <w:r>
        <w:rPr>
          <w:rFonts w:ascii="휴먼명조" w:eastAsia="휴먼명조" w:hint="eastAsia"/>
          <w:sz w:val="24"/>
          <w:szCs w:val="24"/>
        </w:rPr>
        <w:t xml:space="preserve"> 위원회는 ‘</w:t>
      </w:r>
      <w:proofErr w:type="spellStart"/>
      <w:r>
        <w:rPr>
          <w:rFonts w:ascii="휴먼명조" w:eastAsia="휴먼명조" w:hint="eastAsia"/>
          <w:sz w:val="24"/>
          <w:szCs w:val="24"/>
        </w:rPr>
        <w:t>구금장소’가</w:t>
      </w:r>
      <w:proofErr w:type="spellEnd"/>
      <w:r>
        <w:rPr>
          <w:rFonts w:ascii="휴먼명조" w:eastAsia="휴먼명조" w:hint="eastAsia"/>
          <w:sz w:val="24"/>
          <w:szCs w:val="24"/>
        </w:rPr>
        <w:t xml:space="preserve"> 교도소, 미결 구금 시설, 경찰서, 돌봄 시설, 정신 기관 및 병원, 정신 건강 센터 및 이주 구금 센터 등 노인을 포함한 개인이 자유를 박탈당할 수 있는 모든 장소를 아우를 수 있다고 언급한다. </w:t>
      </w:r>
    </w:p>
    <w:p w:rsidR="009E6F5F" w:rsidRDefault="009E6F5F" w:rsidP="009E6F5F">
      <w:pPr>
        <w:pStyle w:val="a4"/>
        <w:spacing w:line="372" w:lineRule="auto"/>
        <w:ind w:left="596"/>
        <w:rPr>
          <w:sz w:val="24"/>
          <w:szCs w:val="24"/>
        </w:rPr>
      </w:pPr>
    </w:p>
    <w:p w:rsidR="009E6F5F" w:rsidRDefault="009E6F5F" w:rsidP="00053582">
      <w:pPr>
        <w:pStyle w:val="a4"/>
        <w:spacing w:line="372" w:lineRule="auto"/>
        <w:ind w:left="596"/>
        <w:rPr>
          <w:rFonts w:ascii="휴먼명조" w:eastAsia="휴먼명조"/>
          <w:sz w:val="24"/>
          <w:szCs w:val="24"/>
        </w:rPr>
      </w:pPr>
      <w:r>
        <w:rPr>
          <w:rFonts w:ascii="휴먼명조" w:eastAsia="휴먼명조" w:hint="eastAsia"/>
          <w:sz w:val="24"/>
          <w:szCs w:val="24"/>
        </w:rPr>
        <w:t>12.</w:t>
      </w:r>
      <w:r>
        <w:tab/>
      </w:r>
      <w:r>
        <w:rPr>
          <w:rFonts w:ascii="휴먼명조" w:eastAsia="휴먼명조" w:hint="eastAsia"/>
          <w:sz w:val="24"/>
          <w:szCs w:val="24"/>
        </w:rPr>
        <w:t>본 보고서에서 독립전문가는 노인이 자유를 박탈당할 수 있고 국제법에 따른 의무에 따라 국가가 직접 또는 간접적 책임을 지니는 다음과 같은 세 가지 구체적 상황을 살펴본다: (a) 노인이 범죄 또는 법적 잘못을 저지른 경우, (b) 노인이 이주 지위로 인해 구금된 경우, (c) 가족에 의한 법적 후견을 통한 것을 포함하여 특정 기관 또는 돌봄 계획의 통제 및 감시하에 있는 경우</w:t>
      </w:r>
      <w:r w:rsidR="00DE0A9D">
        <w:rPr>
          <w:rFonts w:ascii="휴먼명조" w:eastAsia="휴먼명조" w:hint="eastAsia"/>
          <w:sz w:val="24"/>
          <w:szCs w:val="24"/>
        </w:rPr>
        <w:t>.</w:t>
      </w:r>
      <w:r w:rsidR="00DE0A9D">
        <w:rPr>
          <w:rStyle w:val="a7"/>
          <w:rFonts w:ascii="휴먼명조" w:eastAsia="휴먼명조"/>
          <w:sz w:val="24"/>
          <w:szCs w:val="24"/>
        </w:rPr>
        <w:footnoteReference w:id="10"/>
      </w:r>
      <w:r>
        <w:rPr>
          <w:rFonts w:ascii="휴먼명조" w:eastAsia="휴먼명조" w:hint="eastAsia"/>
          <w:sz w:val="24"/>
          <w:szCs w:val="24"/>
        </w:rPr>
        <w:t xml:space="preserve"> 국가의 책임과 의무는 노인이 자유를 박탈당한 상황에 따라 달라진다.</w:t>
      </w:r>
    </w:p>
    <w:p w:rsidR="00DE0A9D" w:rsidRPr="00053582" w:rsidRDefault="00DE0A9D" w:rsidP="00053582">
      <w:pPr>
        <w:pStyle w:val="a4"/>
        <w:spacing w:line="372" w:lineRule="auto"/>
        <w:ind w:left="596"/>
      </w:pPr>
    </w:p>
    <w:p w:rsidR="009E6F5F" w:rsidRDefault="009E6F5F" w:rsidP="002A7077">
      <w:pPr>
        <w:pStyle w:val="a4"/>
        <w:spacing w:line="372" w:lineRule="auto"/>
        <w:ind w:left="596"/>
      </w:pPr>
      <w:r>
        <w:rPr>
          <w:rFonts w:ascii="휴먼명조" w:eastAsia="휴먼명조" w:hint="eastAsia"/>
          <w:sz w:val="24"/>
          <w:szCs w:val="24"/>
        </w:rPr>
        <w:t>13.</w:t>
      </w:r>
      <w:r>
        <w:tab/>
      </w:r>
      <w:r>
        <w:rPr>
          <w:rFonts w:ascii="휴먼명조" w:eastAsia="휴먼명조" w:hint="eastAsia"/>
          <w:sz w:val="24"/>
          <w:szCs w:val="24"/>
        </w:rPr>
        <w:t>현재 노인 인권을 다루는 국제적으로 법적 구속력이 있는 규범이 존재하지는 않지만, 노인은 국제인권법상 다른 사람들과 동일한 권리를 가진다.</w:t>
      </w:r>
      <w:r w:rsidR="00DE0A9D">
        <w:rPr>
          <w:rStyle w:val="a7"/>
          <w:rFonts w:ascii="휴먼명조" w:eastAsia="휴먼명조"/>
          <w:sz w:val="24"/>
          <w:szCs w:val="24"/>
        </w:rPr>
        <w:footnoteReference w:id="11"/>
      </w:r>
      <w:r>
        <w:rPr>
          <w:rFonts w:ascii="휴먼명조" w:eastAsia="휴먼명조" w:hint="eastAsia"/>
          <w:sz w:val="24"/>
          <w:szCs w:val="24"/>
        </w:rPr>
        <w:t xml:space="preserve"> 노인을 위한 유엔 원칙은 자유를 박탈당한 노인을 위한 정책과 프로그램의 기반이 될 기준을 포함하여 모든 노인의 권리와 필요에 적용되는 일반 원칙을 제시한다.</w:t>
      </w:r>
      <w:r w:rsidR="00DE0A9D">
        <w:rPr>
          <w:rStyle w:val="a7"/>
          <w:rFonts w:ascii="휴먼명조" w:eastAsia="휴먼명조"/>
          <w:sz w:val="24"/>
          <w:szCs w:val="24"/>
        </w:rPr>
        <w:footnoteReference w:id="12"/>
      </w:r>
      <w:r>
        <w:rPr>
          <w:rFonts w:ascii="휴먼명조" w:eastAsia="휴먼명조" w:hint="eastAsia"/>
          <w:sz w:val="24"/>
          <w:szCs w:val="24"/>
        </w:rPr>
        <w:t xml:space="preserve"> </w:t>
      </w:r>
    </w:p>
    <w:p w:rsidR="002A7077" w:rsidRPr="002A7077" w:rsidRDefault="002A7077" w:rsidP="002A7077">
      <w:pPr>
        <w:pStyle w:val="a4"/>
        <w:spacing w:line="372" w:lineRule="auto"/>
        <w:ind w:left="596"/>
      </w:pPr>
    </w:p>
    <w:p w:rsidR="009E6F5F" w:rsidRPr="00EA2E5C" w:rsidRDefault="009E6F5F" w:rsidP="00EA2E5C">
      <w:pPr>
        <w:pStyle w:val="a4"/>
        <w:spacing w:line="372" w:lineRule="auto"/>
        <w:ind w:left="596"/>
      </w:pPr>
      <w:r>
        <w:rPr>
          <w:rFonts w:ascii="휴먼명조" w:eastAsia="휴먼명조" w:hint="eastAsia"/>
          <w:sz w:val="24"/>
          <w:szCs w:val="24"/>
        </w:rPr>
        <w:t>14.</w:t>
      </w:r>
      <w:r>
        <w:tab/>
      </w:r>
      <w:r>
        <w:rPr>
          <w:rFonts w:ascii="휴먼명조" w:eastAsia="휴먼명조" w:hint="eastAsia"/>
          <w:sz w:val="24"/>
          <w:szCs w:val="24"/>
        </w:rPr>
        <w:t>지역 인권 기준은 자유를 박탈당한 노인을 보호하기 위한 견고한 법적 체계를 제공한다. 노인인권 보호에 관한 미주 협약은 당사국이 자유를 박탈당한 이들을 포함해 취약한 상황에 놓이고 다중 차별의 피해자인 노인을 위한 구체적 접근법을 마련해야 함을 인지한다.</w:t>
      </w:r>
      <w:r w:rsidR="00DE0A9D">
        <w:rPr>
          <w:rStyle w:val="a7"/>
          <w:rFonts w:ascii="휴먼명조" w:eastAsia="휴먼명조"/>
          <w:sz w:val="24"/>
          <w:szCs w:val="24"/>
        </w:rPr>
        <w:footnoteReference w:id="13"/>
      </w:r>
      <w:r>
        <w:rPr>
          <w:rFonts w:ascii="휴먼명조" w:eastAsia="휴먼명조" w:hint="eastAsia"/>
          <w:sz w:val="24"/>
          <w:szCs w:val="24"/>
        </w:rPr>
        <w:t xml:space="preserve"> 미주 협약 제13조는 노인의 신체적 자유 및 안전에 대한 권리를 보장하며, 당사국이 자유를 박탈하거나 제한하는 조치가 법에 부합하며 노인이 그들의 구체적 필요에 효과적으로 대응하는 특별하고 포괄적인 돌봄 프로그램에 접근할 수 있도록 보장해야 할 의무를 부여한다. 아프리카 인권 헌장 제6조는 노인을 포함한 모든 사람의 자유권과 법률에 의거한 사유와 조건에 따른 경우를 제외하고 자의적으로 자유를 박탈당하지 않을 권리를 보호한다. 유럽에서 노인의 자유의 박탈은 유럽 인권 협약 제5조에 부합해야 한다.</w:t>
      </w:r>
      <w:r w:rsidR="00DE0A9D">
        <w:rPr>
          <w:rStyle w:val="a7"/>
          <w:rFonts w:ascii="휴먼명조" w:eastAsia="휴먼명조"/>
          <w:sz w:val="24"/>
          <w:szCs w:val="24"/>
        </w:rPr>
        <w:footnoteReference w:id="14"/>
      </w:r>
      <w:r>
        <w:rPr>
          <w:rFonts w:ascii="휴먼명조" w:eastAsia="휴먼명조" w:hint="eastAsia"/>
          <w:sz w:val="24"/>
          <w:szCs w:val="24"/>
        </w:rPr>
        <w:t xml:space="preserve"> 유럽 법학은 또한 국가에 노인과 같은 취약 계층의 효과적 보호를 위한 조치를 취할 의무를 부여한다.</w:t>
      </w:r>
      <w:r w:rsidR="00DE0A9D">
        <w:rPr>
          <w:rStyle w:val="a7"/>
          <w:rFonts w:ascii="휴먼명조" w:eastAsia="휴먼명조"/>
          <w:sz w:val="24"/>
          <w:szCs w:val="24"/>
        </w:rPr>
        <w:footnoteReference w:id="15"/>
      </w:r>
    </w:p>
    <w:p w:rsidR="009E6F5F" w:rsidRDefault="009E6F5F" w:rsidP="009E6F5F">
      <w:pPr>
        <w:pStyle w:val="a4"/>
        <w:spacing w:line="372" w:lineRule="auto"/>
      </w:pPr>
      <w:r>
        <w:rPr>
          <w:rFonts w:ascii="휴먼명조" w:eastAsia="휴먼명조" w:hint="eastAsia"/>
          <w:b/>
          <w:bCs/>
          <w:sz w:val="24"/>
          <w:szCs w:val="24"/>
        </w:rPr>
        <w:t>(a)</w:t>
      </w:r>
      <w:r>
        <w:tab/>
      </w:r>
      <w:r>
        <w:rPr>
          <w:rFonts w:ascii="휴먼명조" w:eastAsia="휴먼명조" w:hint="eastAsia"/>
          <w:b/>
          <w:bCs/>
          <w:sz w:val="24"/>
          <w:szCs w:val="24"/>
        </w:rPr>
        <w:t xml:space="preserve">형사사법 맥락에서 </w:t>
      </w:r>
    </w:p>
    <w:p w:rsidR="009E6F5F" w:rsidRDefault="009E6F5F" w:rsidP="009E6F5F">
      <w:pPr>
        <w:pStyle w:val="a4"/>
        <w:spacing w:line="372" w:lineRule="auto"/>
        <w:rPr>
          <w:sz w:val="24"/>
          <w:szCs w:val="24"/>
        </w:rPr>
      </w:pPr>
    </w:p>
    <w:p w:rsidR="009E6F5F" w:rsidRDefault="009E6F5F" w:rsidP="009E6F5F">
      <w:pPr>
        <w:pStyle w:val="a4"/>
        <w:spacing w:line="372" w:lineRule="auto"/>
        <w:ind w:left="596"/>
      </w:pPr>
      <w:r>
        <w:rPr>
          <w:rFonts w:ascii="휴먼명조" w:eastAsia="휴먼명조" w:hint="eastAsia"/>
          <w:sz w:val="24"/>
          <w:szCs w:val="24"/>
        </w:rPr>
        <w:t>15.</w:t>
      </w:r>
      <w:r>
        <w:tab/>
      </w:r>
      <w:r>
        <w:rPr>
          <w:rFonts w:ascii="휴먼명조" w:eastAsia="휴먼명조" w:hint="eastAsia"/>
          <w:sz w:val="24"/>
          <w:szCs w:val="24"/>
        </w:rPr>
        <w:t xml:space="preserve">자유의 박탈이 법원에 의해 합법적이고 </w:t>
      </w:r>
      <w:proofErr w:type="spellStart"/>
      <w:r>
        <w:rPr>
          <w:rFonts w:ascii="휴먼명조" w:eastAsia="휴먼명조" w:hint="eastAsia"/>
          <w:sz w:val="24"/>
          <w:szCs w:val="24"/>
        </w:rPr>
        <w:t>비자의적이라고</w:t>
      </w:r>
      <w:proofErr w:type="spellEnd"/>
      <w:r>
        <w:rPr>
          <w:rFonts w:ascii="휴먼명조" w:eastAsia="휴먼명조" w:hint="eastAsia"/>
          <w:sz w:val="24"/>
          <w:szCs w:val="24"/>
        </w:rPr>
        <w:t xml:space="preserve"> 결정되는 경우, 국제기준이 명시하는 바와 같이 노인의 인권이 보호 및 존중되어야 한다. </w:t>
      </w:r>
      <w:r>
        <w:rPr>
          <w:rFonts w:ascii="휴먼명조" w:eastAsia="휴먼명조" w:hint="eastAsia"/>
          <w:sz w:val="24"/>
          <w:szCs w:val="24"/>
        </w:rPr>
        <w:lastRenderedPageBreak/>
        <w:t xml:space="preserve">국가는 구금 전반에 걸쳐 노인의 존엄성을 존중해야 하며 그들의 연령, 건강 및 장애 상태와 관련한 특수한 필요를 고려해야 한다. 이러한 고려는 특히 형사사법 절차의 모든 단계에서 핵심적이다(특히 </w:t>
      </w:r>
      <w:proofErr w:type="spellStart"/>
      <w:r>
        <w:rPr>
          <w:rFonts w:ascii="휴먼명조" w:eastAsia="휴먼명조" w:hint="eastAsia"/>
          <w:sz w:val="24"/>
          <w:szCs w:val="24"/>
        </w:rPr>
        <w:t>재판전</w:t>
      </w:r>
      <w:proofErr w:type="spellEnd"/>
      <w:r>
        <w:rPr>
          <w:rFonts w:ascii="휴먼명조" w:eastAsia="휴먼명조" w:hint="eastAsia"/>
          <w:sz w:val="24"/>
          <w:szCs w:val="24"/>
        </w:rPr>
        <w:t>, 재판 중, 선고, 항소 및 선고 후 구금 시)</w:t>
      </w:r>
    </w:p>
    <w:p w:rsidR="009E6F5F" w:rsidRDefault="009E6F5F" w:rsidP="009E6F5F">
      <w:pPr>
        <w:pStyle w:val="a4"/>
        <w:spacing w:line="372" w:lineRule="auto"/>
        <w:ind w:left="596"/>
        <w:rPr>
          <w:sz w:val="24"/>
          <w:szCs w:val="24"/>
        </w:rPr>
      </w:pPr>
    </w:p>
    <w:p w:rsidR="009E6F5F" w:rsidRDefault="009E6F5F" w:rsidP="00DE0A9D">
      <w:pPr>
        <w:pStyle w:val="a4"/>
        <w:spacing w:line="372" w:lineRule="auto"/>
        <w:ind w:left="596"/>
        <w:rPr>
          <w:rFonts w:ascii="휴먼명조" w:eastAsia="휴먼명조"/>
          <w:sz w:val="24"/>
          <w:szCs w:val="24"/>
        </w:rPr>
      </w:pPr>
      <w:r>
        <w:rPr>
          <w:rFonts w:ascii="휴먼명조" w:eastAsia="휴먼명조" w:hint="eastAsia"/>
          <w:sz w:val="24"/>
          <w:szCs w:val="24"/>
        </w:rPr>
        <w:t>16.</w:t>
      </w:r>
      <w:r>
        <w:tab/>
      </w:r>
      <w:r>
        <w:rPr>
          <w:rFonts w:ascii="휴먼명조" w:eastAsia="휴먼명조" w:hint="eastAsia"/>
          <w:sz w:val="24"/>
          <w:szCs w:val="24"/>
        </w:rPr>
        <w:t xml:space="preserve">2015년 채택된 유엔의 피구금자 처우에 관한 최저기준규칙 (넬슨 </w:t>
      </w:r>
      <w:proofErr w:type="spellStart"/>
      <w:r>
        <w:rPr>
          <w:rFonts w:ascii="휴먼명조" w:eastAsia="휴먼명조" w:hint="eastAsia"/>
          <w:sz w:val="24"/>
          <w:szCs w:val="24"/>
        </w:rPr>
        <w:t>만델라</w:t>
      </w:r>
      <w:proofErr w:type="spellEnd"/>
      <w:r>
        <w:rPr>
          <w:rFonts w:ascii="휴먼명조" w:eastAsia="휴먼명조" w:hint="eastAsia"/>
          <w:sz w:val="24"/>
          <w:szCs w:val="24"/>
        </w:rPr>
        <w:t xml:space="preserve"> 규칙)은 모든 피구금자에게 차별없이 적용되기에 형사사법 상황에서 구금된 노인을 위한 기준을 제시한다. 노인이 명시적으로 언급되지는 않지만 넬슨 </w:t>
      </w:r>
      <w:proofErr w:type="spellStart"/>
      <w:r>
        <w:rPr>
          <w:rFonts w:ascii="휴먼명조" w:eastAsia="휴먼명조" w:hint="eastAsia"/>
          <w:sz w:val="24"/>
          <w:szCs w:val="24"/>
        </w:rPr>
        <w:t>만델라</w:t>
      </w:r>
      <w:proofErr w:type="spellEnd"/>
      <w:r>
        <w:rPr>
          <w:rFonts w:ascii="휴먼명조" w:eastAsia="휴먼명조" w:hint="eastAsia"/>
          <w:sz w:val="24"/>
          <w:szCs w:val="24"/>
        </w:rPr>
        <w:t xml:space="preserve"> 규칙의 근간이 되는 다섯 가지 “기본 원칙” 중 원칙 2는 “피구금자의 개별적 필요, 특히 교도소 환경에서 가장 취약한 이들을 고려해야 </w:t>
      </w:r>
      <w:proofErr w:type="spellStart"/>
      <w:r>
        <w:rPr>
          <w:rFonts w:ascii="휴먼명조" w:eastAsia="휴먼명조" w:hint="eastAsia"/>
          <w:sz w:val="24"/>
          <w:szCs w:val="24"/>
        </w:rPr>
        <w:t>한다”고</w:t>
      </w:r>
      <w:proofErr w:type="spellEnd"/>
      <w:r>
        <w:rPr>
          <w:rFonts w:ascii="휴먼명조" w:eastAsia="휴먼명조" w:hint="eastAsia"/>
          <w:sz w:val="24"/>
          <w:szCs w:val="24"/>
        </w:rPr>
        <w:t xml:space="preserve"> 명시한다.</w:t>
      </w:r>
      <w:r w:rsidR="00DE0A9D">
        <w:rPr>
          <w:rStyle w:val="a7"/>
          <w:rFonts w:ascii="휴먼명조" w:eastAsia="휴먼명조"/>
          <w:sz w:val="24"/>
          <w:szCs w:val="24"/>
        </w:rPr>
        <w:footnoteReference w:id="16"/>
      </w:r>
      <w:r>
        <w:rPr>
          <w:rFonts w:ascii="휴먼명조" w:eastAsia="휴먼명조" w:hint="eastAsia"/>
          <w:sz w:val="24"/>
          <w:szCs w:val="24"/>
        </w:rPr>
        <w:t xml:space="preserve"> 교정 당국은 처우 및 서비스 접근의 평등을 보장하기 위해 노인을 포함한 교도</w:t>
      </w:r>
      <w:r w:rsidR="00306A4A">
        <w:rPr>
          <w:rFonts w:ascii="휴먼명조" w:eastAsia="휴먼명조" w:hint="eastAsia"/>
          <w:sz w:val="24"/>
          <w:szCs w:val="24"/>
        </w:rPr>
        <w:t>소</w:t>
      </w:r>
      <w:r>
        <w:rPr>
          <w:rFonts w:ascii="휴먼명조" w:eastAsia="휴먼명조" w:hint="eastAsia"/>
          <w:sz w:val="24"/>
          <w:szCs w:val="24"/>
        </w:rPr>
        <w:t xml:space="preserve"> 환경 내 가장 취약한 계층이 모든 교도소 시설과 프로그램에 동등하게 접근할 수 있도록 해야</w:t>
      </w:r>
      <w:r w:rsidR="00306A4A">
        <w:rPr>
          <w:rFonts w:ascii="휴먼명조" w:eastAsia="휴먼명조" w:hint="eastAsia"/>
          <w:sz w:val="24"/>
          <w:szCs w:val="24"/>
        </w:rPr>
        <w:t xml:space="preserve"> </w:t>
      </w:r>
      <w:r>
        <w:rPr>
          <w:rFonts w:ascii="휴먼명조" w:eastAsia="휴먼명조" w:hint="eastAsia"/>
          <w:sz w:val="24"/>
          <w:szCs w:val="24"/>
        </w:rPr>
        <w:t>한다.</w:t>
      </w:r>
      <w:r w:rsidR="00DE0A9D">
        <w:rPr>
          <w:rStyle w:val="a7"/>
          <w:rFonts w:ascii="휴먼명조" w:eastAsia="휴먼명조"/>
          <w:sz w:val="24"/>
          <w:szCs w:val="24"/>
        </w:rPr>
        <w:footnoteReference w:id="17"/>
      </w:r>
      <w:r>
        <w:rPr>
          <w:rFonts w:ascii="휴먼명조" w:eastAsia="휴먼명조" w:hint="eastAsia"/>
          <w:sz w:val="24"/>
          <w:szCs w:val="24"/>
        </w:rPr>
        <w:t xml:space="preserve"> 더욱이, 넬슨 </w:t>
      </w:r>
      <w:proofErr w:type="spellStart"/>
      <w:r>
        <w:rPr>
          <w:rFonts w:ascii="휴먼명조" w:eastAsia="휴먼명조" w:hint="eastAsia"/>
          <w:sz w:val="24"/>
          <w:szCs w:val="24"/>
        </w:rPr>
        <w:t>만델라</w:t>
      </w:r>
      <w:proofErr w:type="spellEnd"/>
      <w:r>
        <w:rPr>
          <w:rFonts w:ascii="휴먼명조" w:eastAsia="휴먼명조" w:hint="eastAsia"/>
          <w:sz w:val="24"/>
          <w:szCs w:val="24"/>
        </w:rPr>
        <w:t xml:space="preserve"> 규칙은 장애를 가진 노인이 구금 시 겪는 현실을 반영한다.</w:t>
      </w:r>
      <w:r w:rsidR="00DE0A9D">
        <w:rPr>
          <w:rStyle w:val="a7"/>
          <w:rFonts w:ascii="휴먼명조" w:eastAsia="휴먼명조"/>
          <w:sz w:val="24"/>
          <w:szCs w:val="24"/>
        </w:rPr>
        <w:footnoteReference w:id="18"/>
      </w:r>
      <w:r>
        <w:rPr>
          <w:rFonts w:ascii="휴먼명조" w:eastAsia="휴먼명조" w:hint="eastAsia"/>
          <w:sz w:val="24"/>
          <w:szCs w:val="24"/>
        </w:rPr>
        <w:t xml:space="preserve"> 2010년 채택된 여성 피구금자의 처우와 비구금조치에 관한 유엔 규칙 (방콕 규칙)은 여성에 대한 공정하고 인권에 기반한 처우를 보장하고 특히 노인을 포함한 여성의 특정한 필요를 다루는 70개의 규칙으로 구성되어 있다.</w:t>
      </w:r>
      <w:r w:rsidR="00DE0A9D">
        <w:rPr>
          <w:rStyle w:val="a7"/>
          <w:rFonts w:ascii="휴먼명조" w:eastAsia="휴먼명조"/>
          <w:sz w:val="24"/>
          <w:szCs w:val="24"/>
        </w:rPr>
        <w:footnoteReference w:id="19"/>
      </w:r>
    </w:p>
    <w:p w:rsidR="00EA2E5C" w:rsidRPr="00DE0A9D" w:rsidRDefault="00EA2E5C" w:rsidP="00DE0A9D">
      <w:pPr>
        <w:pStyle w:val="a4"/>
        <w:spacing w:line="372" w:lineRule="auto"/>
        <w:ind w:left="596"/>
      </w:pPr>
    </w:p>
    <w:p w:rsidR="009E6F5F" w:rsidRDefault="009E6F5F" w:rsidP="009E6F5F">
      <w:pPr>
        <w:pStyle w:val="a4"/>
        <w:spacing w:line="372" w:lineRule="auto"/>
        <w:ind w:left="596"/>
      </w:pPr>
      <w:r>
        <w:rPr>
          <w:rFonts w:ascii="휴먼명조" w:eastAsia="휴먼명조" w:hint="eastAsia"/>
          <w:sz w:val="24"/>
          <w:szCs w:val="24"/>
        </w:rPr>
        <w:t>17.</w:t>
      </w:r>
      <w:r>
        <w:tab/>
      </w:r>
      <w:r>
        <w:rPr>
          <w:rFonts w:ascii="휴먼명조" w:eastAsia="휴먼명조" w:hint="eastAsia"/>
          <w:sz w:val="24"/>
          <w:szCs w:val="24"/>
        </w:rPr>
        <w:t>자유의 박탈이 결정되는 경우, 범죄의 심각성을 고려하여 필요성과 비례성의 원칙이 적용되는지, 그리고 연령 및 교차적 요소에 기반하여 노인의 존엄성이 보호되는지에 각별한 주의를 기울여야 한다.</w:t>
      </w:r>
    </w:p>
    <w:p w:rsidR="009E6F5F" w:rsidRDefault="009E6F5F" w:rsidP="009E6F5F">
      <w:pPr>
        <w:pStyle w:val="a4"/>
        <w:spacing w:line="372" w:lineRule="auto"/>
        <w:rPr>
          <w:sz w:val="24"/>
          <w:szCs w:val="24"/>
        </w:rPr>
      </w:pPr>
    </w:p>
    <w:p w:rsidR="009E6F5F" w:rsidRPr="00306A4A" w:rsidRDefault="009E6F5F" w:rsidP="00306A4A">
      <w:pPr>
        <w:pStyle w:val="a4"/>
        <w:spacing w:line="372" w:lineRule="auto"/>
      </w:pPr>
      <w:r>
        <w:rPr>
          <w:rFonts w:ascii="휴먼명조" w:eastAsia="휴먼명조" w:hint="eastAsia"/>
          <w:b/>
          <w:bCs/>
          <w:sz w:val="24"/>
          <w:szCs w:val="24"/>
        </w:rPr>
        <w:t>(b)</w:t>
      </w:r>
      <w:r>
        <w:tab/>
      </w:r>
      <w:r>
        <w:rPr>
          <w:rFonts w:ascii="휴먼명조" w:eastAsia="휴먼명조" w:hint="eastAsia"/>
          <w:b/>
          <w:bCs/>
          <w:sz w:val="24"/>
          <w:szCs w:val="24"/>
        </w:rPr>
        <w:t>이주 관련 구금 맥락에서</w:t>
      </w:r>
    </w:p>
    <w:p w:rsidR="009E6F5F" w:rsidRDefault="009E6F5F" w:rsidP="009E6F5F">
      <w:pPr>
        <w:pStyle w:val="a4"/>
        <w:spacing w:line="372" w:lineRule="auto"/>
        <w:ind w:left="596"/>
      </w:pPr>
      <w:r>
        <w:rPr>
          <w:rFonts w:ascii="휴먼명조" w:eastAsia="휴먼명조" w:hint="eastAsia"/>
          <w:sz w:val="24"/>
          <w:szCs w:val="24"/>
        </w:rPr>
        <w:t>18.</w:t>
      </w:r>
      <w:r>
        <w:tab/>
      </w:r>
      <w:r>
        <w:rPr>
          <w:rFonts w:ascii="휴먼명조" w:eastAsia="휴먼명조" w:hint="eastAsia"/>
          <w:sz w:val="24"/>
          <w:szCs w:val="24"/>
        </w:rPr>
        <w:t>이주 맥락에서 노인의 자유의 박탈은 난민 및 인권 기준의 대상이 된</w:t>
      </w:r>
      <w:r>
        <w:rPr>
          <w:rFonts w:ascii="휴먼명조" w:eastAsia="휴먼명조" w:hint="eastAsia"/>
          <w:sz w:val="24"/>
          <w:szCs w:val="24"/>
        </w:rPr>
        <w:lastRenderedPageBreak/>
        <w:t>다.</w:t>
      </w:r>
      <w:r w:rsidR="009F0F58">
        <w:rPr>
          <w:rStyle w:val="a7"/>
          <w:rFonts w:ascii="휴먼명조" w:eastAsia="휴먼명조"/>
          <w:sz w:val="24"/>
          <w:szCs w:val="24"/>
        </w:rPr>
        <w:footnoteReference w:id="20"/>
      </w:r>
      <w:r>
        <w:rPr>
          <w:rFonts w:ascii="휴먼명조" w:eastAsia="휴먼명조" w:hint="eastAsia"/>
          <w:sz w:val="24"/>
          <w:szCs w:val="24"/>
        </w:rPr>
        <w:t xml:space="preserve"> 이주 구금은 최후의 수단이 되어야 한다. 국제 인권 기구는 고령의 이주민과 망명 신청자가 이주 구금에서 제외되어야 한다고 정기적으로 권고해왔다.</w:t>
      </w:r>
      <w:r w:rsidR="009F0F58">
        <w:rPr>
          <w:rStyle w:val="a7"/>
          <w:rFonts w:ascii="휴먼명조" w:eastAsia="휴먼명조"/>
          <w:sz w:val="24"/>
          <w:szCs w:val="24"/>
        </w:rPr>
        <w:footnoteReference w:id="21"/>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19.</w:t>
      </w:r>
      <w:r>
        <w:tab/>
      </w:r>
      <w:r>
        <w:rPr>
          <w:rFonts w:ascii="휴먼명조" w:eastAsia="휴먼명조" w:hint="eastAsia"/>
          <w:sz w:val="24"/>
          <w:szCs w:val="24"/>
        </w:rPr>
        <w:t xml:space="preserve">이주와 관련한 자유의 박탈은 적법한 목적을 위해서만 적용될 수 있다. 국가는 망명할 권리에 대한 그들의 의무를 존중하기 위해 망명 신청자 및 난민에게 안전하고 </w:t>
      </w:r>
      <w:proofErr w:type="spellStart"/>
      <w:r>
        <w:rPr>
          <w:rFonts w:ascii="휴먼명조" w:eastAsia="휴먼명조" w:hint="eastAsia"/>
          <w:sz w:val="24"/>
          <w:szCs w:val="24"/>
        </w:rPr>
        <w:t>인간답고</w:t>
      </w:r>
      <w:proofErr w:type="spellEnd"/>
      <w:r>
        <w:rPr>
          <w:rFonts w:ascii="휴먼명조" w:eastAsia="휴먼명조" w:hint="eastAsia"/>
          <w:sz w:val="24"/>
          <w:szCs w:val="24"/>
        </w:rPr>
        <w:t xml:space="preserve"> 인권에 부합하는 처우를 포함하여 개방되고 인간적인 수용 환경을 제공해야 할 의무를 가진다.</w:t>
      </w:r>
      <w:r w:rsidR="009F0F58">
        <w:rPr>
          <w:rStyle w:val="a7"/>
          <w:rFonts w:ascii="휴먼명조" w:eastAsia="휴먼명조"/>
          <w:sz w:val="24"/>
          <w:szCs w:val="24"/>
        </w:rPr>
        <w:footnoteReference w:id="22"/>
      </w:r>
      <w:r>
        <w:rPr>
          <w:rFonts w:ascii="휴먼명조" w:eastAsia="휴먼명조" w:hint="eastAsia"/>
          <w:sz w:val="24"/>
          <w:szCs w:val="24"/>
        </w:rPr>
        <w:t xml:space="preserve"> 이러한 맥락에서 국가가 구금된 노인에게 특별한 돌봄과 지원을 제공하지 못하는 것은 구금을 불법적인 것으로 만들 수 있다.</w:t>
      </w:r>
      <w:r w:rsidR="009F0F58">
        <w:rPr>
          <w:rStyle w:val="a7"/>
          <w:rFonts w:ascii="휴먼명조" w:eastAsia="휴먼명조"/>
          <w:sz w:val="24"/>
          <w:szCs w:val="24"/>
        </w:rPr>
        <w:footnoteReference w:id="23"/>
      </w:r>
    </w:p>
    <w:p w:rsidR="009E6F5F" w:rsidRDefault="009E6F5F" w:rsidP="009E6F5F">
      <w:pPr>
        <w:pStyle w:val="a4"/>
        <w:spacing w:line="372" w:lineRule="auto"/>
        <w:rPr>
          <w:sz w:val="24"/>
          <w:szCs w:val="24"/>
        </w:rPr>
      </w:pPr>
    </w:p>
    <w:p w:rsidR="009E6F5F" w:rsidRDefault="009E6F5F" w:rsidP="009E6F5F">
      <w:pPr>
        <w:pStyle w:val="a4"/>
        <w:spacing w:line="372" w:lineRule="auto"/>
      </w:pPr>
      <w:r>
        <w:rPr>
          <w:rFonts w:ascii="휴먼명조" w:eastAsia="휴먼명조" w:hint="eastAsia"/>
          <w:b/>
          <w:bCs/>
          <w:sz w:val="24"/>
          <w:szCs w:val="24"/>
        </w:rPr>
        <w:t xml:space="preserve">(c) </w:t>
      </w:r>
      <w:r w:rsidR="00306DE7">
        <w:rPr>
          <w:rFonts w:ascii="휴먼명조" w:eastAsia="휴먼명조"/>
          <w:b/>
          <w:bCs/>
          <w:sz w:val="24"/>
          <w:szCs w:val="24"/>
        </w:rPr>
        <w:t xml:space="preserve">    </w:t>
      </w:r>
      <w:r>
        <w:rPr>
          <w:rFonts w:ascii="휴먼명조" w:eastAsia="휴먼명조" w:hint="eastAsia"/>
          <w:b/>
          <w:bCs/>
          <w:sz w:val="24"/>
          <w:szCs w:val="24"/>
        </w:rPr>
        <w:t xml:space="preserve">돌봄 맥락에서 </w:t>
      </w:r>
    </w:p>
    <w:p w:rsidR="009E6F5F" w:rsidRDefault="009E6F5F" w:rsidP="00306DE7">
      <w:pPr>
        <w:pStyle w:val="a4"/>
        <w:spacing w:line="372" w:lineRule="auto"/>
        <w:ind w:leftChars="300" w:left="600"/>
      </w:pPr>
      <w:r>
        <w:rPr>
          <w:rFonts w:ascii="휴먼명조" w:eastAsia="휴먼명조" w:hint="eastAsia"/>
          <w:sz w:val="24"/>
          <w:szCs w:val="24"/>
        </w:rPr>
        <w:t>20.</w:t>
      </w:r>
      <w:r>
        <w:tab/>
      </w:r>
      <w:r>
        <w:rPr>
          <w:rFonts w:ascii="휴먼명조" w:eastAsia="휴먼명조" w:hint="eastAsia"/>
          <w:sz w:val="24"/>
          <w:szCs w:val="24"/>
        </w:rPr>
        <w:t>연령 또는 장애, 혹은 두 요소 모두에 기반한 자유의 박탈은 전 세계적으로 만연하고 흔한 일이다. 이러한 형태의 박탈은 대부분의 경우 노인의 행위능력 및 동의에 대한 권리의 제한 또는 부정을 수반하며, 이는 특히 돌봄, 치료 또는 입원에 대한 인지된 또는 실질적 필요성에 기반한다. 이러한 상황은 그러한 자유의 박탈을 허용하는 기존의 법률, 정책 및 관행으로 인해 강화되며 연령주의 및 연령차별적 태도로 인해 악화된다. 장애</w:t>
      </w:r>
      <w:r w:rsidR="00EF58EE">
        <w:rPr>
          <w:rStyle w:val="a7"/>
          <w:rFonts w:ascii="휴먼명조" w:eastAsia="휴먼명조"/>
          <w:sz w:val="24"/>
          <w:szCs w:val="24"/>
        </w:rPr>
        <w:footnoteReference w:id="24"/>
      </w:r>
      <w:r>
        <w:rPr>
          <w:rFonts w:ascii="휴먼명조" w:eastAsia="휴먼명조" w:hint="eastAsia"/>
          <w:sz w:val="24"/>
          <w:szCs w:val="24"/>
        </w:rPr>
        <w:t>와 마찬가지로 젊음</w:t>
      </w:r>
      <w:r w:rsidR="00674127">
        <w:rPr>
          <w:rStyle w:val="a7"/>
          <w:rFonts w:ascii="휴먼명조" w:eastAsia="휴먼명조"/>
          <w:sz w:val="24"/>
          <w:szCs w:val="24"/>
        </w:rPr>
        <w:footnoteReference w:id="25"/>
      </w:r>
      <w:r>
        <w:rPr>
          <w:rFonts w:ascii="휴먼명조" w:eastAsia="휴먼명조" w:hint="eastAsia"/>
          <w:sz w:val="24"/>
          <w:szCs w:val="24"/>
        </w:rPr>
        <w:t>, 성별</w:t>
      </w:r>
      <w:r w:rsidR="00674127">
        <w:rPr>
          <w:rStyle w:val="a7"/>
          <w:rFonts w:ascii="휴먼명조" w:eastAsia="휴먼명조"/>
          <w:sz w:val="24"/>
          <w:szCs w:val="24"/>
        </w:rPr>
        <w:footnoteReference w:id="26"/>
      </w:r>
      <w:r>
        <w:rPr>
          <w:rFonts w:eastAsia="휴먼명조"/>
          <w:sz w:val="24"/>
          <w:szCs w:val="24"/>
        </w:rPr>
        <w:t xml:space="preserve"> </w:t>
      </w:r>
      <w:r>
        <w:rPr>
          <w:rFonts w:eastAsia="휴먼명조"/>
          <w:sz w:val="24"/>
          <w:szCs w:val="24"/>
        </w:rPr>
        <w:t>또는</w:t>
      </w:r>
      <w:r>
        <w:rPr>
          <w:rFonts w:eastAsia="휴먼명조"/>
          <w:sz w:val="24"/>
          <w:szCs w:val="24"/>
        </w:rPr>
        <w:t xml:space="preserve"> </w:t>
      </w:r>
      <w:r>
        <w:rPr>
          <w:rFonts w:eastAsia="휴먼명조"/>
          <w:sz w:val="24"/>
          <w:szCs w:val="24"/>
        </w:rPr>
        <w:t>고령이</w:t>
      </w:r>
      <w:r>
        <w:rPr>
          <w:rFonts w:eastAsia="휴먼명조"/>
          <w:sz w:val="24"/>
          <w:szCs w:val="24"/>
        </w:rPr>
        <w:t xml:space="preserve"> </w:t>
      </w:r>
      <w:r>
        <w:rPr>
          <w:rFonts w:eastAsia="휴먼명조"/>
          <w:sz w:val="24"/>
          <w:szCs w:val="24"/>
        </w:rPr>
        <w:t>개인의</w:t>
      </w:r>
      <w:r>
        <w:rPr>
          <w:rFonts w:eastAsia="휴먼명조"/>
          <w:sz w:val="24"/>
          <w:szCs w:val="24"/>
        </w:rPr>
        <w:t xml:space="preserve"> </w:t>
      </w:r>
      <w:r>
        <w:rPr>
          <w:rFonts w:eastAsia="휴먼명조"/>
          <w:sz w:val="24"/>
          <w:szCs w:val="24"/>
        </w:rPr>
        <w:t>자유를</w:t>
      </w:r>
      <w:r>
        <w:rPr>
          <w:rFonts w:eastAsia="휴먼명조"/>
          <w:sz w:val="24"/>
          <w:szCs w:val="24"/>
        </w:rPr>
        <w:t xml:space="preserve"> </w:t>
      </w:r>
      <w:r>
        <w:rPr>
          <w:rFonts w:eastAsia="휴먼명조"/>
          <w:sz w:val="24"/>
          <w:szCs w:val="24"/>
        </w:rPr>
        <w:t>박탈하는</w:t>
      </w:r>
      <w:r>
        <w:rPr>
          <w:rFonts w:eastAsia="휴먼명조"/>
          <w:sz w:val="24"/>
          <w:szCs w:val="24"/>
        </w:rPr>
        <w:t xml:space="preserve"> </w:t>
      </w:r>
      <w:r>
        <w:rPr>
          <w:rFonts w:eastAsia="휴먼명조"/>
          <w:sz w:val="24"/>
          <w:szCs w:val="24"/>
        </w:rPr>
        <w:t>것을</w:t>
      </w:r>
      <w:r>
        <w:rPr>
          <w:rFonts w:eastAsia="휴먼명조"/>
          <w:sz w:val="24"/>
          <w:szCs w:val="24"/>
        </w:rPr>
        <w:t xml:space="preserve"> </w:t>
      </w:r>
      <w:r>
        <w:rPr>
          <w:rFonts w:eastAsia="휴먼명조"/>
          <w:sz w:val="24"/>
          <w:szCs w:val="24"/>
        </w:rPr>
        <w:t>정당화하기</w:t>
      </w:r>
      <w:r>
        <w:rPr>
          <w:rFonts w:eastAsia="휴먼명조"/>
          <w:sz w:val="24"/>
          <w:szCs w:val="24"/>
        </w:rPr>
        <w:t xml:space="preserve"> </w:t>
      </w:r>
      <w:r>
        <w:rPr>
          <w:rFonts w:eastAsia="휴먼명조"/>
          <w:sz w:val="24"/>
          <w:szCs w:val="24"/>
        </w:rPr>
        <w:t>위해</w:t>
      </w:r>
      <w:r>
        <w:rPr>
          <w:rFonts w:eastAsia="휴먼명조"/>
          <w:sz w:val="24"/>
          <w:szCs w:val="24"/>
        </w:rPr>
        <w:t xml:space="preserve"> </w:t>
      </w:r>
      <w:r>
        <w:rPr>
          <w:rFonts w:eastAsia="휴먼명조"/>
          <w:sz w:val="24"/>
          <w:szCs w:val="24"/>
        </w:rPr>
        <w:t>사용되어서는</w:t>
      </w:r>
      <w:r>
        <w:rPr>
          <w:rFonts w:eastAsia="휴먼명조"/>
          <w:sz w:val="24"/>
          <w:szCs w:val="24"/>
        </w:rPr>
        <w:t xml:space="preserve"> </w:t>
      </w:r>
      <w:r>
        <w:rPr>
          <w:rFonts w:eastAsia="휴먼명조"/>
          <w:sz w:val="24"/>
          <w:szCs w:val="24"/>
        </w:rPr>
        <w:t>안되며</w:t>
      </w:r>
      <w:r>
        <w:rPr>
          <w:rFonts w:eastAsia="휴먼명조"/>
          <w:sz w:val="24"/>
          <w:szCs w:val="24"/>
        </w:rPr>
        <w:t xml:space="preserve"> </w:t>
      </w:r>
      <w:r>
        <w:rPr>
          <w:rFonts w:eastAsia="휴먼명조"/>
          <w:sz w:val="24"/>
          <w:szCs w:val="24"/>
        </w:rPr>
        <w:t>법률이</w:t>
      </w:r>
      <w:r>
        <w:rPr>
          <w:rFonts w:eastAsia="휴먼명조"/>
          <w:sz w:val="24"/>
          <w:szCs w:val="24"/>
        </w:rPr>
        <w:t xml:space="preserve"> </w:t>
      </w:r>
      <w:r>
        <w:rPr>
          <w:rFonts w:eastAsia="휴먼명조"/>
          <w:sz w:val="24"/>
          <w:szCs w:val="24"/>
        </w:rPr>
        <w:t>고령이라는</w:t>
      </w:r>
      <w:r>
        <w:rPr>
          <w:rFonts w:eastAsia="휴먼명조"/>
          <w:sz w:val="24"/>
          <w:szCs w:val="24"/>
        </w:rPr>
        <w:t xml:space="preserve"> </w:t>
      </w:r>
      <w:r>
        <w:rPr>
          <w:rFonts w:eastAsia="휴먼명조"/>
          <w:sz w:val="24"/>
          <w:szCs w:val="24"/>
        </w:rPr>
        <w:t>단독적</w:t>
      </w:r>
      <w:r>
        <w:rPr>
          <w:rFonts w:eastAsia="휴먼명조"/>
          <w:sz w:val="24"/>
          <w:szCs w:val="24"/>
        </w:rPr>
        <w:t xml:space="preserve"> </w:t>
      </w:r>
      <w:r>
        <w:rPr>
          <w:rFonts w:eastAsia="휴먼명조"/>
          <w:sz w:val="24"/>
          <w:szCs w:val="24"/>
        </w:rPr>
        <w:t>사유</w:t>
      </w:r>
      <w:r>
        <w:rPr>
          <w:rFonts w:ascii="휴먼명조" w:eastAsia="휴먼명조" w:hint="eastAsia"/>
          <w:sz w:val="24"/>
          <w:szCs w:val="24"/>
        </w:rPr>
        <w:t xml:space="preserve">, 또는 다른 사유와 혼합하여 이를 기반으로 박탈을 허용하는 경우 이는 국제 인권법의 위반이다.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lastRenderedPageBreak/>
        <w:t>21.</w:t>
      </w:r>
      <w:r>
        <w:tab/>
      </w:r>
      <w:r>
        <w:rPr>
          <w:rFonts w:ascii="휴먼명조" w:eastAsia="휴먼명조" w:hint="eastAsia"/>
          <w:sz w:val="24"/>
          <w:szCs w:val="24"/>
        </w:rPr>
        <w:t xml:space="preserve">노인이 돌봄의 맥락에서 자유를 박탈당하는 경우, 국가는 그들의 자유권을 </w:t>
      </w:r>
      <w:proofErr w:type="spellStart"/>
      <w:r>
        <w:rPr>
          <w:rFonts w:ascii="휴먼명조" w:eastAsia="휴먼명조" w:hint="eastAsia"/>
          <w:sz w:val="24"/>
          <w:szCs w:val="24"/>
        </w:rPr>
        <w:t>비국가</w:t>
      </w:r>
      <w:proofErr w:type="spellEnd"/>
      <w:r>
        <w:rPr>
          <w:rFonts w:ascii="휴먼명조" w:eastAsia="휴먼명조" w:hint="eastAsia"/>
          <w:sz w:val="24"/>
          <w:szCs w:val="24"/>
        </w:rPr>
        <w:t xml:space="preserve"> 행위자 및 사적 상황을 포함해(민간 돌봄, 의료 시설 및 사설(private home) 시설) 보호하기 위해 적절한 조치를 취해야할 의무를 가진다.</w:t>
      </w:r>
      <w:r w:rsidR="00674127">
        <w:rPr>
          <w:rStyle w:val="a7"/>
          <w:rFonts w:ascii="휴먼명조" w:eastAsia="휴먼명조"/>
          <w:sz w:val="24"/>
          <w:szCs w:val="24"/>
        </w:rPr>
        <w:footnoteReference w:id="27"/>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22.</w:t>
      </w:r>
      <w:r>
        <w:tab/>
      </w:r>
      <w:r>
        <w:rPr>
          <w:rFonts w:ascii="휴먼명조" w:eastAsia="휴먼명조" w:hint="eastAsia"/>
          <w:sz w:val="24"/>
          <w:szCs w:val="24"/>
        </w:rPr>
        <w:t>고령이 권리의 제한에 대한 근거로 간주되어서는 안되지만, 노인이 젊은 시절 누린 자율성과 독립성은 종종 노년기에 거부되곤 한다.</w:t>
      </w:r>
      <w:r w:rsidR="00674127">
        <w:rPr>
          <w:rStyle w:val="a7"/>
          <w:rFonts w:ascii="휴먼명조" w:eastAsia="휴먼명조"/>
          <w:sz w:val="24"/>
          <w:szCs w:val="24"/>
        </w:rPr>
        <w:footnoteReference w:id="28"/>
      </w:r>
      <w:r>
        <w:rPr>
          <w:rFonts w:ascii="휴먼명조" w:eastAsia="휴먼명조" w:hint="eastAsia"/>
          <w:sz w:val="24"/>
          <w:szCs w:val="24"/>
        </w:rPr>
        <w:t xml:space="preserve"> 이처럼 노인을 위한 신체의 자유에 대한 권리는 자율성 및 독립성에 대한 권리의 측면에서 이해되어야 한다. 장애인권리협약은 자율성 및 독립성에 대한 개인의 권리에 대한 이해를 분명하게 정의하며, 비록 노화가 장애와 결부되어서는 안되지만, 협약은 자유를 박탈당한 장애를 가진 노인에게 적용가능한 견고한 법적 체계를 제공한다.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23.</w:t>
      </w:r>
      <w:r>
        <w:tab/>
      </w:r>
      <w:r>
        <w:rPr>
          <w:rFonts w:ascii="휴먼명조" w:eastAsia="휴먼명조" w:hint="eastAsia"/>
          <w:sz w:val="24"/>
          <w:szCs w:val="24"/>
        </w:rPr>
        <w:t>협약 제3조 (a)항이 인지하듯, 장애인은 스스로 결정을 내릴 자유를 포함해 개인적인 자율성과 독립성에 대한 권리를 가진다. 협약 제14조는 장애인이 다른 사람과 동등하게 신체의 자유에 대한 권리를 누려야 하며, 이에 불법적으로 또는 자의적으로 자유를 박탈당해서는 안된다고 명시한다. 자유의 박탈을 방지하기 위해서는 처우, 서비스 및 돌봄을 선택할 자유롭고 정보에 기반한 동의에 대한 노인의 권리를 존중하는 것이 필수적이다. 국가는 특히 후견이라는 맥락에서 노인의 정보에 기반한 동의를 보장하고 이들이 돌봄 및 건강 관련 정보를 완전히 이해하고 활용할 수 있도록 역량을 강화하기 위한 안전장치를 마련해야 한다.</w:t>
      </w:r>
      <w:r w:rsidR="00674127">
        <w:rPr>
          <w:rStyle w:val="a7"/>
          <w:rFonts w:ascii="휴먼명조" w:eastAsia="휴먼명조"/>
          <w:sz w:val="24"/>
          <w:szCs w:val="24"/>
        </w:rPr>
        <w:footnoteReference w:id="29"/>
      </w:r>
    </w:p>
    <w:p w:rsidR="009E6F5F" w:rsidRDefault="009E6F5F" w:rsidP="009E6F5F">
      <w:pPr>
        <w:pStyle w:val="a4"/>
        <w:spacing w:line="372" w:lineRule="auto"/>
        <w:rPr>
          <w:sz w:val="24"/>
          <w:szCs w:val="24"/>
        </w:rPr>
      </w:pPr>
    </w:p>
    <w:p w:rsidR="009E6F5F" w:rsidRDefault="009E6F5F" w:rsidP="009E6F5F">
      <w:pPr>
        <w:pStyle w:val="a4"/>
        <w:spacing w:line="372" w:lineRule="auto"/>
      </w:pPr>
      <w:r>
        <w:rPr>
          <w:rFonts w:ascii="휴먼명조" w:eastAsia="휴먼명조" w:hint="eastAsia"/>
          <w:b/>
          <w:bCs/>
          <w:sz w:val="26"/>
          <w:szCs w:val="26"/>
        </w:rPr>
        <w:t>2.</w:t>
      </w:r>
      <w:r>
        <w:tab/>
      </w:r>
      <w:r>
        <w:rPr>
          <w:rFonts w:ascii="휴먼명조" w:eastAsia="휴먼명조" w:hint="eastAsia"/>
          <w:b/>
          <w:bCs/>
          <w:sz w:val="26"/>
          <w:szCs w:val="26"/>
        </w:rPr>
        <w:t>자유가 박탈된 상황의 ‘</w:t>
      </w:r>
      <w:proofErr w:type="spellStart"/>
      <w:r>
        <w:rPr>
          <w:rFonts w:ascii="휴먼명조" w:eastAsia="휴먼명조" w:hint="eastAsia"/>
          <w:b/>
          <w:bCs/>
          <w:sz w:val="26"/>
          <w:szCs w:val="26"/>
        </w:rPr>
        <w:t>고령’의</w:t>
      </w:r>
      <w:proofErr w:type="spellEnd"/>
      <w:r>
        <w:rPr>
          <w:rFonts w:ascii="휴먼명조" w:eastAsia="휴먼명조" w:hint="eastAsia"/>
          <w:b/>
          <w:bCs/>
          <w:sz w:val="26"/>
          <w:szCs w:val="26"/>
        </w:rPr>
        <w:t xml:space="preserve"> 정의 </w:t>
      </w:r>
    </w:p>
    <w:p w:rsidR="009E6F5F" w:rsidRDefault="009E6F5F" w:rsidP="009E6F5F">
      <w:pPr>
        <w:pStyle w:val="a4"/>
        <w:spacing w:line="372" w:lineRule="auto"/>
        <w:rPr>
          <w:sz w:val="24"/>
          <w:szCs w:val="24"/>
        </w:rPr>
      </w:pPr>
    </w:p>
    <w:p w:rsidR="009E6F5F" w:rsidRDefault="009E6F5F" w:rsidP="009E6F5F">
      <w:pPr>
        <w:pStyle w:val="a4"/>
        <w:spacing w:line="372" w:lineRule="auto"/>
        <w:ind w:left="596"/>
      </w:pPr>
      <w:r>
        <w:rPr>
          <w:rFonts w:ascii="휴먼명조" w:eastAsia="휴먼명조" w:hint="eastAsia"/>
          <w:sz w:val="24"/>
          <w:szCs w:val="24"/>
        </w:rPr>
        <w:t>24.</w:t>
      </w:r>
      <w:r>
        <w:tab/>
      </w:r>
      <w:r>
        <w:rPr>
          <w:rFonts w:ascii="휴먼명조" w:eastAsia="휴먼명조" w:hint="eastAsia"/>
          <w:sz w:val="24"/>
          <w:szCs w:val="24"/>
        </w:rPr>
        <w:t xml:space="preserve">고령 및 노인은 종종 </w:t>
      </w:r>
      <w:proofErr w:type="spellStart"/>
      <w:r>
        <w:rPr>
          <w:rFonts w:ascii="휴먼명조" w:eastAsia="휴먼명조" w:hint="eastAsia"/>
          <w:sz w:val="24"/>
          <w:szCs w:val="24"/>
        </w:rPr>
        <w:t>연대기적인</w:t>
      </w:r>
      <w:proofErr w:type="spellEnd"/>
      <w:r>
        <w:rPr>
          <w:rFonts w:ascii="휴먼명조" w:eastAsia="휴먼명조" w:hint="eastAsia"/>
          <w:sz w:val="24"/>
          <w:szCs w:val="24"/>
        </w:rPr>
        <w:t xml:space="preserve"> 용어로 정의되며 이는 심리적, 사회적 및 교차적 요소를 포함한 지역 생활 과정의 현실과 인식을 고려하지 못한다. 생물적 변화 외에도 노화의 개념은 삶의 전환과 조건과 관련되어 사회적으로 구성된다.</w:t>
      </w:r>
      <w:r w:rsidR="00674127">
        <w:rPr>
          <w:rStyle w:val="a7"/>
          <w:rFonts w:ascii="휴먼명조" w:eastAsia="휴먼명조"/>
          <w:sz w:val="24"/>
          <w:szCs w:val="24"/>
        </w:rPr>
        <w:footnoteReference w:id="30"/>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25.</w:t>
      </w:r>
      <w:r>
        <w:tab/>
      </w:r>
      <w:r>
        <w:rPr>
          <w:rFonts w:ascii="휴먼명조" w:eastAsia="휴먼명조" w:hint="eastAsia"/>
          <w:sz w:val="24"/>
          <w:szCs w:val="24"/>
        </w:rPr>
        <w:t xml:space="preserve">노인의 자유를 박탈하는 결정을 내릴 때, 그리고 서비스 및 기타 기회에 대한 접근여부를 결정함에 있어 사회적으로 구성된 고령의 개념과 연령 </w:t>
      </w:r>
      <w:proofErr w:type="spellStart"/>
      <w:r>
        <w:rPr>
          <w:rFonts w:ascii="휴먼명조" w:eastAsia="휴먼명조" w:hint="eastAsia"/>
          <w:sz w:val="24"/>
          <w:szCs w:val="24"/>
        </w:rPr>
        <w:t>집단으로서의</w:t>
      </w:r>
      <w:proofErr w:type="spellEnd"/>
      <w:r>
        <w:rPr>
          <w:rFonts w:ascii="휴먼명조" w:eastAsia="휴먼명조" w:hint="eastAsia"/>
          <w:sz w:val="24"/>
          <w:szCs w:val="24"/>
        </w:rPr>
        <w:t xml:space="preserve"> 노인의 이질성을 고려해야 한다.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26.</w:t>
      </w:r>
      <w:r>
        <w:tab/>
      </w:r>
      <w:r>
        <w:rPr>
          <w:rFonts w:ascii="휴먼명조" w:eastAsia="휴먼명조" w:hint="eastAsia"/>
          <w:sz w:val="24"/>
          <w:szCs w:val="24"/>
        </w:rPr>
        <w:t>고령의 상대성의 개념은 특히 형사사법 제도에서 자유를 박탈당한 노인의 상황을 해결하는데 있어 필수적이다. 예를 들어 구금된 사람은 자신이 속한 공동체에서 계속 살아가는 사람에 비해 노화의 신체적 징후가 먼저 나타날 수 있다. 구금이 건강과 웰빙에 미치는 해로운 영향과 더불어 열악한 사회경제적 및 의료적 배경은 교도소 내 노화를 가속화하는 경향이 있다.</w:t>
      </w:r>
      <w:r w:rsidR="00674127">
        <w:rPr>
          <w:rStyle w:val="a7"/>
          <w:rFonts w:ascii="휴먼명조" w:eastAsia="휴먼명조"/>
          <w:sz w:val="24"/>
          <w:szCs w:val="24"/>
        </w:rPr>
        <w:footnoteReference w:id="31"/>
      </w:r>
      <w:r>
        <w:rPr>
          <w:rFonts w:ascii="휴먼명조" w:eastAsia="휴먼명조" w:hint="eastAsia"/>
          <w:sz w:val="24"/>
          <w:szCs w:val="24"/>
        </w:rPr>
        <w:t xml:space="preserve"> “가속화된 </w:t>
      </w:r>
      <w:proofErr w:type="spellStart"/>
      <w:r>
        <w:rPr>
          <w:rFonts w:ascii="휴먼명조" w:eastAsia="휴먼명조" w:hint="eastAsia"/>
          <w:sz w:val="24"/>
          <w:szCs w:val="24"/>
        </w:rPr>
        <w:t>노화”의</w:t>
      </w:r>
      <w:proofErr w:type="spellEnd"/>
      <w:r>
        <w:rPr>
          <w:rFonts w:ascii="휴먼명조" w:eastAsia="휴먼명조" w:hint="eastAsia"/>
          <w:sz w:val="24"/>
          <w:szCs w:val="24"/>
        </w:rPr>
        <w:t xml:space="preserve"> 현상으로 인해 대부분의 형사사법 제도는 50세 또는 55세 이상을 노인으로 여긴다. 일부 관할에서는 민족 또는 원주민적 배경을 가진 자유를 박탈당한 이들을 이르면 40세의 나이부터 ‘</w:t>
      </w:r>
      <w:proofErr w:type="spellStart"/>
      <w:r>
        <w:rPr>
          <w:rFonts w:ascii="휴먼명조" w:eastAsia="휴먼명조" w:hint="eastAsia"/>
          <w:sz w:val="24"/>
          <w:szCs w:val="24"/>
        </w:rPr>
        <w:t>고령’이라고</w:t>
      </w:r>
      <w:proofErr w:type="spellEnd"/>
      <w:r>
        <w:rPr>
          <w:rFonts w:ascii="휴먼명조" w:eastAsia="휴먼명조" w:hint="eastAsia"/>
          <w:sz w:val="24"/>
          <w:szCs w:val="24"/>
        </w:rPr>
        <w:t xml:space="preserve"> 여기기도 한다.</w:t>
      </w:r>
      <w:r w:rsidR="004B36BB">
        <w:rPr>
          <w:rStyle w:val="a7"/>
          <w:rFonts w:ascii="휴먼명조" w:eastAsia="휴먼명조"/>
          <w:sz w:val="24"/>
          <w:szCs w:val="24"/>
        </w:rPr>
        <w:footnoteReference w:id="32"/>
      </w:r>
      <w:r>
        <w:rPr>
          <w:rFonts w:ascii="휴먼명조" w:eastAsia="휴먼명조" w:hint="eastAsia"/>
          <w:sz w:val="24"/>
          <w:szCs w:val="24"/>
        </w:rPr>
        <w:t xml:space="preserve"> 그러나 해당 인구의 이질성을 고려하지 않고 50세 이상의 모든 피구금자를 동일한 방식으로 대우하는 것은 차별에 해당한다.</w:t>
      </w:r>
      <w:r w:rsidR="004B36BB">
        <w:rPr>
          <w:rStyle w:val="a7"/>
          <w:rFonts w:ascii="휴먼명조" w:eastAsia="휴먼명조"/>
          <w:sz w:val="24"/>
          <w:szCs w:val="24"/>
        </w:rPr>
        <w:footnoteReference w:id="33"/>
      </w:r>
      <w:r>
        <w:rPr>
          <w:rFonts w:ascii="휴먼명조" w:eastAsia="휴먼명조" w:hint="eastAsia"/>
          <w:sz w:val="24"/>
          <w:szCs w:val="24"/>
        </w:rPr>
        <w:t xml:space="preserve"> </w:t>
      </w:r>
    </w:p>
    <w:p w:rsidR="009E6F5F" w:rsidRDefault="009E6F5F" w:rsidP="009E6F5F">
      <w:pPr>
        <w:pStyle w:val="a4"/>
        <w:spacing w:line="372" w:lineRule="auto"/>
        <w:rPr>
          <w:sz w:val="24"/>
          <w:szCs w:val="24"/>
        </w:rPr>
      </w:pPr>
    </w:p>
    <w:p w:rsidR="009E6F5F" w:rsidRDefault="009E6F5F" w:rsidP="009E6F5F">
      <w:pPr>
        <w:pStyle w:val="a4"/>
        <w:spacing w:line="372" w:lineRule="auto"/>
      </w:pPr>
      <w:r>
        <w:rPr>
          <w:rFonts w:ascii="휴먼명조" w:eastAsia="휴먼명조" w:hint="eastAsia"/>
          <w:b/>
          <w:bCs/>
          <w:sz w:val="28"/>
          <w:szCs w:val="28"/>
        </w:rPr>
        <w:t>B. 노인에 대한 자유 박탈의 근본적 원인</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27.</w:t>
      </w:r>
      <w:r>
        <w:tab/>
      </w:r>
      <w:r>
        <w:rPr>
          <w:rFonts w:ascii="휴먼명조" w:eastAsia="휴먼명조" w:hint="eastAsia"/>
          <w:sz w:val="24"/>
          <w:szCs w:val="24"/>
        </w:rPr>
        <w:t>자유를 박탈당한 노인의 문제를 검토함에 있어, 일부 근본적 원인은 박탈 상황에서 발생한다. 그 사유는 상황마다 다르지만 노인이 자유를 박탈당하는 대부분의 상황에서 연령주의 및 연령차별이 근본적 역할을 하는 것으로 보인다. 연령차별적 태도는 전세계적으로 만연하며 노인의 신체적 자유에 대한 권리를 저해하는 차별적인 법률, 정책 및 관행으로 이어진다.</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28.</w:t>
      </w:r>
      <w:r>
        <w:tab/>
      </w:r>
      <w:r>
        <w:rPr>
          <w:rFonts w:ascii="휴먼명조" w:eastAsia="휴먼명조" w:hint="eastAsia"/>
          <w:sz w:val="24"/>
          <w:szCs w:val="24"/>
        </w:rPr>
        <w:t>노인은 이질적 계층으로 자유가 박탈되는 경우 평등하지 않다. 사회경제적 요소와 관련된 구조적 불평등은 여러</w:t>
      </w:r>
      <w:r w:rsidR="00306A4A">
        <w:rPr>
          <w:rFonts w:ascii="휴먼명조" w:eastAsia="휴먼명조" w:hint="eastAsia"/>
          <w:sz w:val="24"/>
          <w:szCs w:val="24"/>
        </w:rPr>
        <w:t xml:space="preserve"> </w:t>
      </w:r>
      <w:r>
        <w:rPr>
          <w:rFonts w:ascii="휴먼명조" w:eastAsia="휴먼명조" w:hint="eastAsia"/>
          <w:sz w:val="24"/>
          <w:szCs w:val="24"/>
        </w:rPr>
        <w:t>방식으로 그들이 자유를 박탈당할 가능성에 영향을 미치며, 노인과 범죄를 저지를 가능성 사이에는 상관관계가 있다. 이와 관련하여 소수의 국가만이 연령관련 결정요인</w:t>
      </w:r>
      <w:r w:rsidR="004B36BB">
        <w:rPr>
          <w:rStyle w:val="a7"/>
          <w:rFonts w:ascii="휴먼명조" w:eastAsia="휴먼명조"/>
          <w:sz w:val="24"/>
          <w:szCs w:val="24"/>
        </w:rPr>
        <w:footnoteReference w:id="34"/>
      </w:r>
      <w:r>
        <w:rPr>
          <w:rFonts w:ascii="휴먼명조" w:eastAsia="휴먼명조" w:hint="eastAsia"/>
          <w:sz w:val="24"/>
          <w:szCs w:val="24"/>
        </w:rPr>
        <w:t>을 식별하고 관리하는 절차를 가지고 있으며, 연령주의는 종종 빈곤 및 낮은 수준의 정규교육과 같은 요소와 연관된다.</w:t>
      </w:r>
      <w:r w:rsidR="004B36BB">
        <w:rPr>
          <w:rStyle w:val="a7"/>
          <w:rFonts w:ascii="휴먼명조" w:eastAsia="휴먼명조"/>
          <w:sz w:val="24"/>
          <w:szCs w:val="24"/>
        </w:rPr>
        <w:footnoteReference w:id="35"/>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29.</w:t>
      </w:r>
      <w:r>
        <w:tab/>
      </w:r>
      <w:r>
        <w:rPr>
          <w:rFonts w:ascii="휴먼명조" w:eastAsia="휴먼명조" w:hint="eastAsia"/>
          <w:sz w:val="24"/>
          <w:szCs w:val="24"/>
        </w:rPr>
        <w:t>인구학적 변화를 다루고 노인의 필요를 해결하기 위한 국가적 조치가 부족하고 비효율적인 것은 노인이 계속해서 자유를 박탈당하는 이유를 설명한다. 국가는 변화하는 인구적 구조의 필요를 반영하기 위해 기존의 사회적 구조를 조정해야</w:t>
      </w:r>
      <w:r w:rsidR="00306A4A">
        <w:rPr>
          <w:rFonts w:ascii="휴먼명조" w:eastAsia="휴먼명조" w:hint="eastAsia"/>
          <w:sz w:val="24"/>
          <w:szCs w:val="24"/>
        </w:rPr>
        <w:t xml:space="preserve"> </w:t>
      </w:r>
      <w:r>
        <w:rPr>
          <w:rFonts w:ascii="휴먼명조" w:eastAsia="휴먼명조" w:hint="eastAsia"/>
          <w:sz w:val="24"/>
          <w:szCs w:val="24"/>
        </w:rPr>
        <w:t>할 의무를 가진다. 대부분의 국가의 형사사법 제도에서 교정환경은 최근 상당히 증가한 노인 피구금자의 수에 서서히 적응해가고 있다. 양형 관행은 엄격해졌고, 장기 구금이 증가했으며, 조기 석방을 위한 메커니즘은 제한되었다.</w:t>
      </w:r>
      <w:r w:rsidR="004B36BB">
        <w:rPr>
          <w:rStyle w:val="a7"/>
          <w:rFonts w:ascii="휴먼명조" w:eastAsia="휴먼명조"/>
          <w:sz w:val="24"/>
          <w:szCs w:val="24"/>
        </w:rPr>
        <w:footnoteReference w:id="36"/>
      </w:r>
      <w:r>
        <w:rPr>
          <w:rFonts w:ascii="휴먼명조" w:eastAsia="휴먼명조" w:hint="eastAsia"/>
          <w:sz w:val="24"/>
          <w:szCs w:val="24"/>
        </w:rPr>
        <w:t xml:space="preserve"> 사형제 폐지라는 국제적 경향으로 인해 여러 국가에서 무기징역 또는 상당히 긴 기간의 구금을 선고받는 이들의 수가 증가했다.</w:t>
      </w:r>
      <w:r w:rsidR="004B36BB">
        <w:rPr>
          <w:rStyle w:val="a7"/>
          <w:rFonts w:ascii="휴먼명조" w:eastAsia="휴먼명조"/>
          <w:sz w:val="24"/>
          <w:szCs w:val="24"/>
        </w:rPr>
        <w:footnoteReference w:id="37"/>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30.</w:t>
      </w:r>
      <w:r>
        <w:tab/>
      </w:r>
      <w:r>
        <w:rPr>
          <w:rFonts w:ascii="휴먼명조" w:eastAsia="휴먼명조" w:hint="eastAsia"/>
          <w:sz w:val="24"/>
          <w:szCs w:val="24"/>
        </w:rPr>
        <w:t xml:space="preserve">노인을 위한 공공 정책의 부족 및 가족 구성원에 의한 노인의 유기는 </w:t>
      </w:r>
      <w:r>
        <w:rPr>
          <w:rFonts w:ascii="휴먼명조" w:eastAsia="휴먼명조" w:hint="eastAsia"/>
          <w:sz w:val="24"/>
          <w:szCs w:val="24"/>
        </w:rPr>
        <w:lastRenderedPageBreak/>
        <w:t>돌봄 상황에서 자유의 박탈에 기여한다.</w:t>
      </w:r>
      <w:r w:rsidR="004B36BB">
        <w:rPr>
          <w:rStyle w:val="a7"/>
          <w:rFonts w:ascii="휴먼명조" w:eastAsia="휴먼명조"/>
          <w:sz w:val="24"/>
          <w:szCs w:val="24"/>
        </w:rPr>
        <w:footnoteReference w:id="38"/>
      </w:r>
      <w:r>
        <w:rPr>
          <w:rFonts w:ascii="휴먼명조" w:eastAsia="휴먼명조" w:hint="eastAsia"/>
          <w:sz w:val="24"/>
          <w:szCs w:val="24"/>
        </w:rPr>
        <w:t xml:space="preserve"> 노인의 자율적 결정의 결과일수도 있는 노인의 시설 수용은 사실상 자유의 박탈을 나타내는 강제적 시설 수용의 형태를 취할 수 있다.</w:t>
      </w:r>
      <w:r w:rsidR="004B36BB">
        <w:rPr>
          <w:rStyle w:val="a7"/>
          <w:rFonts w:ascii="휴먼명조" w:eastAsia="휴먼명조"/>
          <w:sz w:val="24"/>
          <w:szCs w:val="24"/>
        </w:rPr>
        <w:footnoteReference w:id="39"/>
      </w:r>
      <w:r>
        <w:rPr>
          <w:rFonts w:ascii="휴먼명조" w:eastAsia="휴먼명조" w:hint="eastAsia"/>
          <w:sz w:val="24"/>
          <w:szCs w:val="24"/>
        </w:rPr>
        <w:t xml:space="preserve"> 연령 친화적 거주 해결책과 공동체 및 가정 내 독립적인 생활 지원의 부재는 노인의 시설화 가능성을 악화시킨다.</w:t>
      </w:r>
      <w:r w:rsidR="004B36BB">
        <w:rPr>
          <w:rStyle w:val="a7"/>
          <w:rFonts w:ascii="휴먼명조" w:eastAsia="휴먼명조"/>
          <w:sz w:val="24"/>
          <w:szCs w:val="24"/>
        </w:rPr>
        <w:footnoteReference w:id="40"/>
      </w:r>
      <w:r>
        <w:rPr>
          <w:rFonts w:ascii="휴먼명조" w:eastAsia="휴먼명조" w:hint="eastAsia"/>
          <w:sz w:val="24"/>
          <w:szCs w:val="24"/>
        </w:rPr>
        <w:t xml:space="preserve">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31.</w:t>
      </w:r>
      <w:r>
        <w:tab/>
      </w:r>
      <w:r>
        <w:rPr>
          <w:rFonts w:ascii="휴먼명조" w:eastAsia="휴먼명조" w:hint="eastAsia"/>
          <w:sz w:val="24"/>
          <w:szCs w:val="24"/>
        </w:rPr>
        <w:t xml:space="preserve">돌봄 환경 내 노인의 자유의 박탈은 종종 노인의 안전을 보장하고 이들이 자신 또는 타인을 해치지 못하도록 보호하는 노인을 위한 “최선의 </w:t>
      </w:r>
      <w:proofErr w:type="spellStart"/>
      <w:r>
        <w:rPr>
          <w:rFonts w:ascii="휴먼명조" w:eastAsia="휴먼명조" w:hint="eastAsia"/>
          <w:sz w:val="24"/>
          <w:szCs w:val="24"/>
        </w:rPr>
        <w:t>이익”이라는</w:t>
      </w:r>
      <w:proofErr w:type="spellEnd"/>
      <w:r>
        <w:rPr>
          <w:rFonts w:ascii="휴먼명조" w:eastAsia="휴먼명조" w:hint="eastAsia"/>
          <w:sz w:val="24"/>
          <w:szCs w:val="24"/>
        </w:rPr>
        <w:t xml:space="preserve"> 이유로 정당화된다. 이러한 추론은 종종 장애 또는 다른 사유를 근거로 장애를 가진 노인의 권리를 제한하기 위한 설득력 있는 근거로 발전한다.</w:t>
      </w:r>
      <w:r w:rsidR="004B36BB">
        <w:rPr>
          <w:rStyle w:val="a7"/>
          <w:rFonts w:ascii="휴먼명조" w:eastAsia="휴먼명조"/>
          <w:sz w:val="24"/>
          <w:szCs w:val="24"/>
        </w:rPr>
        <w:footnoteReference w:id="41"/>
      </w:r>
      <w:r>
        <w:rPr>
          <w:rFonts w:ascii="휴먼명조" w:eastAsia="휴먼명조" w:hint="eastAsia"/>
          <w:sz w:val="24"/>
          <w:szCs w:val="24"/>
        </w:rPr>
        <w:t xml:space="preserve"> 일부 국가에서는 노인의 신체적 자유 및 행위능력의 제한 또는 거부가 “사회적 돌봄 </w:t>
      </w:r>
      <w:proofErr w:type="spellStart"/>
      <w:r>
        <w:rPr>
          <w:rFonts w:ascii="휴먼명조" w:eastAsia="휴먼명조" w:hint="eastAsia"/>
          <w:sz w:val="24"/>
          <w:szCs w:val="24"/>
        </w:rPr>
        <w:t>책임”이라는</w:t>
      </w:r>
      <w:proofErr w:type="spellEnd"/>
      <w:r>
        <w:rPr>
          <w:rFonts w:ascii="휴먼명조" w:eastAsia="휴먼명조" w:hint="eastAsia"/>
          <w:sz w:val="24"/>
          <w:szCs w:val="24"/>
        </w:rPr>
        <w:t xml:space="preserve"> 근거로 주로 국가정신보건법에 따라 성문화되었다.</w:t>
      </w:r>
      <w:r w:rsidR="004B36BB">
        <w:rPr>
          <w:rStyle w:val="a7"/>
          <w:rFonts w:ascii="휴먼명조" w:eastAsia="휴먼명조"/>
          <w:sz w:val="24"/>
          <w:szCs w:val="24"/>
        </w:rPr>
        <w:footnoteReference w:id="42"/>
      </w:r>
      <w:r>
        <w:rPr>
          <w:rFonts w:ascii="휴먼명조" w:eastAsia="휴먼명조" w:hint="eastAsia"/>
          <w:sz w:val="24"/>
          <w:szCs w:val="24"/>
        </w:rPr>
        <w:t xml:space="preserve"> 그러한 안전장치는 연령주의적 및 장애인차별적 편견에 기반하며 이는 자신감의 부재 및 권리의 약화를 야기하며 노인의 자율성 및 독립성 행사에 대한 인식과 능력을 저해한다.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32.</w:t>
      </w:r>
      <w:r>
        <w:tab/>
      </w:r>
      <w:r>
        <w:rPr>
          <w:rFonts w:ascii="휴먼명조" w:eastAsia="휴먼명조" w:hint="eastAsia"/>
          <w:sz w:val="24"/>
          <w:szCs w:val="24"/>
        </w:rPr>
        <w:t>노인에 대한 자유의 박탈의 근본적 원인을 분석함에 있어 성, 젠더, 성 정체성 및 성적지향, 장애, 인종, 민족 및 계층과 같은 교차적 요소를 고려해야 한다. 그러한 요소와 노령 간의 교차성은 법적 및 정치적 체계로 인해 노인의 자유 박탈의 위험성을 악화시킬 수 있다. 이러한 요소는 구금된 노인의 경험을 결정하며, 이들의 차별, 고립, 부당한 대우 및 폭력에 대한 위험성을 증가시킨다.</w:t>
      </w:r>
      <w:r w:rsidR="00457E47">
        <w:rPr>
          <w:rStyle w:val="a7"/>
          <w:rFonts w:ascii="휴먼명조" w:eastAsia="휴먼명조"/>
          <w:sz w:val="24"/>
          <w:szCs w:val="24"/>
        </w:rPr>
        <w:footnoteReference w:id="43"/>
      </w:r>
    </w:p>
    <w:p w:rsidR="009E6F5F" w:rsidRDefault="009E6F5F" w:rsidP="009E6F5F">
      <w:pPr>
        <w:pStyle w:val="a4"/>
        <w:spacing w:line="372" w:lineRule="auto"/>
        <w:ind w:left="596"/>
        <w:rPr>
          <w:sz w:val="24"/>
          <w:szCs w:val="24"/>
        </w:rPr>
      </w:pPr>
    </w:p>
    <w:p w:rsidR="009E6F5F" w:rsidRPr="003F1964" w:rsidRDefault="009E6F5F" w:rsidP="003F1964">
      <w:pPr>
        <w:pStyle w:val="a4"/>
        <w:spacing w:line="372" w:lineRule="auto"/>
        <w:ind w:left="596"/>
      </w:pPr>
      <w:r>
        <w:rPr>
          <w:rFonts w:ascii="휴먼명조" w:eastAsia="휴먼명조" w:hint="eastAsia"/>
          <w:sz w:val="24"/>
          <w:szCs w:val="24"/>
        </w:rPr>
        <w:t>33.</w:t>
      </w:r>
      <w:r>
        <w:tab/>
      </w:r>
      <w:r>
        <w:rPr>
          <w:rFonts w:ascii="휴먼명조" w:eastAsia="휴먼명조" w:hint="eastAsia"/>
          <w:sz w:val="24"/>
          <w:szCs w:val="24"/>
        </w:rPr>
        <w:t>성 차별은 연령주의와 더불어 특히 노인 여성의 신체적 자유에 해로</w:t>
      </w:r>
      <w:r>
        <w:rPr>
          <w:rFonts w:ascii="휴먼명조" w:eastAsia="휴먼명조" w:hint="eastAsia"/>
          <w:sz w:val="24"/>
          <w:szCs w:val="24"/>
        </w:rPr>
        <w:lastRenderedPageBreak/>
        <w:t>운 영향을 미친다. 나이가 들어도 사라지지 않는 가부장적 규범의 지속과 관련된 성 고정관념과 태도는 노인 여성에 대한 불법적 자유의 박탈을 야기하고 이를 정당화할 수 있다.</w:t>
      </w:r>
      <w:r w:rsidR="00457E47">
        <w:rPr>
          <w:rStyle w:val="a7"/>
          <w:rFonts w:ascii="휴먼명조" w:eastAsia="휴먼명조"/>
          <w:sz w:val="24"/>
          <w:szCs w:val="24"/>
        </w:rPr>
        <w:footnoteReference w:id="44"/>
      </w:r>
      <w:r>
        <w:rPr>
          <w:rFonts w:ascii="휴먼명조" w:eastAsia="휴먼명조" w:hint="eastAsia"/>
          <w:sz w:val="24"/>
          <w:szCs w:val="24"/>
        </w:rPr>
        <w:t xml:space="preserve"> 법률 및 관행 속 여성 차별 문제에 관한 실무그룹은 2019년 주제 보고서에서 “자유의 박탈은 젠더와 깊이 연관되어 있다. 여러 형태가 존재하지만 모두 여성에 대한 차별에 뿌리를 두고 있다.”고 결론지었다.</w:t>
      </w:r>
      <w:r w:rsidR="003F1964">
        <w:rPr>
          <w:rStyle w:val="a7"/>
          <w:rFonts w:ascii="휴먼명조" w:eastAsia="휴먼명조"/>
          <w:sz w:val="24"/>
          <w:szCs w:val="24"/>
        </w:rPr>
        <w:footnoteReference w:id="45"/>
      </w:r>
      <w:r>
        <w:rPr>
          <w:rFonts w:ascii="휴먼명조" w:eastAsia="휴먼명조" w:hint="eastAsia"/>
          <w:sz w:val="24"/>
          <w:szCs w:val="24"/>
        </w:rPr>
        <w:t xml:space="preserve"> 이러한 형태는 여성을 경시하고 침묵시키며 일탈에 대해 처벌하거나 과잉보호하기 위해 만들어진 해로운 고정관념에 기반한다.</w:t>
      </w:r>
      <w:r w:rsidR="003F1964">
        <w:rPr>
          <w:rStyle w:val="a7"/>
          <w:rFonts w:ascii="휴먼명조" w:eastAsia="휴먼명조"/>
          <w:sz w:val="24"/>
          <w:szCs w:val="24"/>
        </w:rPr>
        <w:footnoteReference w:id="46"/>
      </w:r>
      <w:r>
        <w:rPr>
          <w:rFonts w:ascii="휴먼명조" w:eastAsia="휴먼명조" w:hint="eastAsia"/>
          <w:sz w:val="24"/>
          <w:szCs w:val="24"/>
        </w:rPr>
        <w:t xml:space="preserve"> 나이든 여성은 일부 사회에서는 ‘위험하다’, 또는 ‘통제될 필요가 </w:t>
      </w:r>
      <w:proofErr w:type="spellStart"/>
      <w:r>
        <w:rPr>
          <w:rFonts w:ascii="휴먼명조" w:eastAsia="휴먼명조" w:hint="eastAsia"/>
          <w:sz w:val="24"/>
          <w:szCs w:val="24"/>
        </w:rPr>
        <w:t>있다’고</w:t>
      </w:r>
      <w:proofErr w:type="spellEnd"/>
      <w:r>
        <w:rPr>
          <w:rFonts w:ascii="휴먼명조" w:eastAsia="휴먼명조" w:hint="eastAsia"/>
          <w:sz w:val="24"/>
          <w:szCs w:val="24"/>
        </w:rPr>
        <w:t xml:space="preserve"> 여겨질 수 있으며, 이는 강제 감금 및 공동체로부터의 추방으로 이어질 수 있다.</w:t>
      </w:r>
      <w:r w:rsidR="003F1964">
        <w:rPr>
          <w:rStyle w:val="a7"/>
          <w:rFonts w:ascii="휴먼명조" w:eastAsia="휴먼명조"/>
          <w:sz w:val="24"/>
          <w:szCs w:val="24"/>
        </w:rPr>
        <w:footnoteReference w:id="47"/>
      </w:r>
      <w:r>
        <w:rPr>
          <w:rFonts w:ascii="휴먼명조" w:eastAsia="휴먼명조" w:hint="eastAsia"/>
          <w:sz w:val="24"/>
          <w:szCs w:val="24"/>
        </w:rPr>
        <w:t xml:space="preserve"> “마녀 </w:t>
      </w:r>
      <w:proofErr w:type="spellStart"/>
      <w:r>
        <w:rPr>
          <w:rFonts w:ascii="휴먼명조" w:eastAsia="휴먼명조" w:hint="eastAsia"/>
          <w:sz w:val="24"/>
          <w:szCs w:val="24"/>
        </w:rPr>
        <w:t>수용소”의</w:t>
      </w:r>
      <w:proofErr w:type="spellEnd"/>
      <w:r>
        <w:rPr>
          <w:rFonts w:ascii="휴먼명조" w:eastAsia="휴먼명조" w:hint="eastAsia"/>
          <w:sz w:val="24"/>
          <w:szCs w:val="24"/>
        </w:rPr>
        <w:t xml:space="preserve"> 존재와 나이든 사별한 여성을 ‘안전한 </w:t>
      </w:r>
      <w:proofErr w:type="spellStart"/>
      <w:r>
        <w:rPr>
          <w:rFonts w:ascii="휴먼명조" w:eastAsia="휴먼명조" w:hint="eastAsia"/>
          <w:sz w:val="24"/>
          <w:szCs w:val="24"/>
        </w:rPr>
        <w:t>장소’에</w:t>
      </w:r>
      <w:proofErr w:type="spellEnd"/>
      <w:r>
        <w:rPr>
          <w:rFonts w:ascii="휴먼명조" w:eastAsia="휴먼명조" w:hint="eastAsia"/>
          <w:sz w:val="24"/>
          <w:szCs w:val="24"/>
        </w:rPr>
        <w:t xml:space="preserve"> 감금하는 것은 그러한 해로운 성 고정관념에 비롯한다.</w:t>
      </w:r>
      <w:r w:rsidR="003F1964">
        <w:rPr>
          <w:rStyle w:val="a7"/>
          <w:rFonts w:ascii="휴먼명조" w:eastAsia="휴먼명조"/>
          <w:sz w:val="24"/>
          <w:szCs w:val="24"/>
        </w:rPr>
        <w:footnoteReference w:id="48"/>
      </w:r>
    </w:p>
    <w:p w:rsidR="009E6F5F" w:rsidRDefault="009E6F5F" w:rsidP="009E6F5F">
      <w:pPr>
        <w:pStyle w:val="a4"/>
        <w:spacing w:line="372" w:lineRule="auto"/>
        <w:ind w:left="596"/>
      </w:pPr>
      <w:r>
        <w:rPr>
          <w:rFonts w:ascii="휴먼명조" w:eastAsia="휴먼명조" w:hint="eastAsia"/>
          <w:sz w:val="24"/>
          <w:szCs w:val="24"/>
        </w:rPr>
        <w:t>34.</w:t>
      </w:r>
      <w:r>
        <w:tab/>
      </w:r>
      <w:r>
        <w:rPr>
          <w:rFonts w:ascii="휴먼명조" w:eastAsia="휴먼명조" w:hint="eastAsia"/>
          <w:sz w:val="24"/>
          <w:szCs w:val="24"/>
        </w:rPr>
        <w:t>장애는 특정 노인 집단의 자유의 박탈을 정당화하기 위한 추가적인 위험 요소를 나타내며, 종종 낙인과 오해가 그 원인이다.</w:t>
      </w:r>
      <w:r w:rsidR="00124225">
        <w:rPr>
          <w:rStyle w:val="a7"/>
          <w:rFonts w:ascii="휴먼명조" w:eastAsia="휴먼명조"/>
          <w:sz w:val="24"/>
          <w:szCs w:val="24"/>
        </w:rPr>
        <w:footnoteReference w:id="49"/>
      </w:r>
      <w:r>
        <w:rPr>
          <w:rFonts w:ascii="휴먼명조" w:eastAsia="휴먼명조" w:hint="eastAsia"/>
          <w:sz w:val="24"/>
          <w:szCs w:val="24"/>
        </w:rPr>
        <w:t xml:space="preserve"> 2019년 장애인권리 특별보고관의 보고서에서 </w:t>
      </w:r>
      <w:proofErr w:type="gramStart"/>
      <w:r>
        <w:rPr>
          <w:rFonts w:ascii="휴먼명조" w:eastAsia="휴먼명조" w:hint="eastAsia"/>
          <w:sz w:val="24"/>
          <w:szCs w:val="24"/>
        </w:rPr>
        <w:t>보여지듯</w:t>
      </w:r>
      <w:proofErr w:type="gramEnd"/>
      <w:r>
        <w:rPr>
          <w:rFonts w:ascii="휴먼명조" w:eastAsia="휴먼명조" w:hint="eastAsia"/>
          <w:sz w:val="24"/>
          <w:szCs w:val="24"/>
        </w:rPr>
        <w:t xml:space="preserve"> 장애로 인한 자유의 박탈은 법 또는 정책이 명백한 또는 진단된 장애를 기반으로 한 그러한 박탈을 규정 또는 허용하거나 장애인만을 위한 또는 이들을 주된 대상으로 하는 특정한 구금 장소가 고안된 경우 발생한다.</w:t>
      </w:r>
      <w:r w:rsidR="00124225">
        <w:rPr>
          <w:rStyle w:val="a7"/>
          <w:rFonts w:ascii="휴먼명조" w:eastAsia="휴먼명조"/>
          <w:sz w:val="24"/>
          <w:szCs w:val="24"/>
        </w:rPr>
        <w:footnoteReference w:id="50"/>
      </w:r>
      <w:r>
        <w:rPr>
          <w:rFonts w:ascii="휴먼명조" w:eastAsia="휴먼명조" w:hint="eastAsia"/>
          <w:sz w:val="24"/>
          <w:szCs w:val="24"/>
        </w:rPr>
        <w:t xml:space="preserve"> 이는 정신건강시설에 대한 비자발적 입원, ‘특별 </w:t>
      </w:r>
      <w:proofErr w:type="spellStart"/>
      <w:r>
        <w:rPr>
          <w:rFonts w:ascii="휴먼명조" w:eastAsia="휴먼명조" w:hint="eastAsia"/>
          <w:sz w:val="24"/>
          <w:szCs w:val="24"/>
        </w:rPr>
        <w:t>돌봄’을</w:t>
      </w:r>
      <w:proofErr w:type="spellEnd"/>
      <w:r>
        <w:rPr>
          <w:rFonts w:ascii="휴먼명조" w:eastAsia="휴먼명조" w:hint="eastAsia"/>
          <w:sz w:val="24"/>
          <w:szCs w:val="24"/>
        </w:rPr>
        <w:t xml:space="preserve"> 위한 시설화 및 형사사법제도로부터의 전환으로 인한 구금을 야기할 수 있다.</w:t>
      </w:r>
      <w:r w:rsidR="00124225">
        <w:rPr>
          <w:rStyle w:val="a7"/>
          <w:rFonts w:ascii="휴먼명조" w:eastAsia="휴먼명조"/>
          <w:sz w:val="24"/>
          <w:szCs w:val="24"/>
        </w:rPr>
        <w:footnoteReference w:id="51"/>
      </w:r>
      <w:r>
        <w:rPr>
          <w:rFonts w:ascii="휴먼명조" w:eastAsia="휴먼명조" w:hint="eastAsia"/>
          <w:sz w:val="24"/>
          <w:szCs w:val="24"/>
        </w:rPr>
        <w:t xml:space="preserve"> 장애를 가진 노인에 대한 자유의 박탈은 국가가 장애인권리협약이 보장하는 그들의 권리를 보호하지 못했음을 나타낸다. </w:t>
      </w:r>
    </w:p>
    <w:p w:rsidR="009E6F5F" w:rsidRDefault="009E6F5F" w:rsidP="009E6F5F">
      <w:pPr>
        <w:pStyle w:val="a4"/>
        <w:spacing w:line="372" w:lineRule="auto"/>
        <w:rPr>
          <w:sz w:val="24"/>
          <w:szCs w:val="24"/>
        </w:rPr>
      </w:pPr>
    </w:p>
    <w:p w:rsidR="009E6F5F" w:rsidRDefault="009E6F5F" w:rsidP="009E6F5F">
      <w:pPr>
        <w:pStyle w:val="a4"/>
        <w:spacing w:line="372" w:lineRule="auto"/>
      </w:pPr>
      <w:r>
        <w:rPr>
          <w:rFonts w:ascii="휴먼명조" w:eastAsia="휴먼명조" w:hint="eastAsia"/>
          <w:b/>
          <w:bCs/>
          <w:sz w:val="28"/>
          <w:szCs w:val="28"/>
        </w:rPr>
        <w:lastRenderedPageBreak/>
        <w:t>C.</w:t>
      </w:r>
      <w:r>
        <w:tab/>
      </w:r>
      <w:r>
        <w:rPr>
          <w:rFonts w:ascii="휴먼명조" w:eastAsia="휴먼명조" w:hint="eastAsia"/>
          <w:b/>
          <w:bCs/>
          <w:sz w:val="28"/>
          <w:szCs w:val="28"/>
        </w:rPr>
        <w:t>자유가 박탈된 상황에서의 인권적 위험 및 과제</w:t>
      </w:r>
    </w:p>
    <w:p w:rsidR="009E6F5F" w:rsidRDefault="009E6F5F" w:rsidP="009E6F5F">
      <w:pPr>
        <w:pStyle w:val="a4"/>
        <w:spacing w:line="372" w:lineRule="auto"/>
        <w:ind w:left="596"/>
        <w:rPr>
          <w:sz w:val="24"/>
          <w:szCs w:val="24"/>
        </w:rPr>
      </w:pPr>
    </w:p>
    <w:p w:rsidR="009E6F5F" w:rsidRDefault="009E6F5F" w:rsidP="00306DE7">
      <w:pPr>
        <w:pStyle w:val="a4"/>
        <w:spacing w:line="372" w:lineRule="auto"/>
        <w:ind w:left="596"/>
        <w:rPr>
          <w:rFonts w:ascii="휴먼명조" w:eastAsia="휴먼명조"/>
          <w:sz w:val="24"/>
          <w:szCs w:val="24"/>
        </w:rPr>
      </w:pPr>
      <w:r>
        <w:rPr>
          <w:rFonts w:ascii="휴먼명조" w:eastAsia="휴먼명조" w:hint="eastAsia"/>
          <w:sz w:val="24"/>
          <w:szCs w:val="24"/>
        </w:rPr>
        <w:t>35.</w:t>
      </w:r>
      <w:r>
        <w:tab/>
      </w:r>
      <w:r>
        <w:rPr>
          <w:rFonts w:ascii="휴먼명조" w:eastAsia="휴먼명조" w:hint="eastAsia"/>
          <w:sz w:val="24"/>
          <w:szCs w:val="24"/>
        </w:rPr>
        <w:t xml:space="preserve">사람들은 나이가 </w:t>
      </w:r>
      <w:proofErr w:type="spellStart"/>
      <w:r>
        <w:rPr>
          <w:rFonts w:ascii="휴먼명조" w:eastAsia="휴먼명조" w:hint="eastAsia"/>
          <w:sz w:val="24"/>
          <w:szCs w:val="24"/>
        </w:rPr>
        <w:t>들어감에</w:t>
      </w:r>
      <w:proofErr w:type="spellEnd"/>
      <w:r>
        <w:rPr>
          <w:rFonts w:ascii="휴먼명조" w:eastAsia="휴먼명조" w:hint="eastAsia"/>
          <w:sz w:val="24"/>
          <w:szCs w:val="24"/>
        </w:rPr>
        <w:t xml:space="preserve"> 따라 구조적인 고정관념과 차별을 경험할 수 있다. 자유의 박탈과 결합된 연령주의는 노인의 인권향유에 가중된 영향을 미치며 노인에 대한 위험한 상황을 강화한다. 신체적 자유에 대한 권리는 이동의 자유, 완전성, 사생활, 건강, 노동 및 교육에 대한 권리 및 집회, 결사, 표현 및 종교 또는 신념의 자유와 같은 기본적 인권과 본질적으로 연결되어 있다. 또한 자유가 박탈된 노인은 폭력 또는 부당한 대우, 심지어 고문에 해당하는 구금 환경에 처할 위험성이 높아진다.</w:t>
      </w:r>
      <w:r w:rsidR="00124225">
        <w:rPr>
          <w:rStyle w:val="a7"/>
          <w:rFonts w:ascii="휴먼명조" w:eastAsia="휴먼명조"/>
          <w:sz w:val="24"/>
          <w:szCs w:val="24"/>
        </w:rPr>
        <w:footnoteReference w:id="52"/>
      </w:r>
    </w:p>
    <w:p w:rsidR="00124225" w:rsidRPr="00306DE7" w:rsidRDefault="00124225" w:rsidP="00306DE7">
      <w:pPr>
        <w:pStyle w:val="a4"/>
        <w:spacing w:line="372" w:lineRule="auto"/>
        <w:ind w:left="596"/>
      </w:pPr>
    </w:p>
    <w:p w:rsidR="009E6F5F" w:rsidRDefault="009E6F5F" w:rsidP="009E6F5F">
      <w:pPr>
        <w:pStyle w:val="a4"/>
        <w:spacing w:line="372" w:lineRule="auto"/>
        <w:ind w:left="596"/>
      </w:pPr>
      <w:r>
        <w:rPr>
          <w:rFonts w:ascii="휴먼명조" w:eastAsia="휴먼명조" w:hint="eastAsia"/>
          <w:sz w:val="24"/>
          <w:szCs w:val="24"/>
        </w:rPr>
        <w:t>36.</w:t>
      </w:r>
      <w:r>
        <w:tab/>
      </w:r>
      <w:r>
        <w:rPr>
          <w:rFonts w:ascii="휴먼명조" w:eastAsia="휴먼명조" w:hint="eastAsia"/>
          <w:sz w:val="24"/>
          <w:szCs w:val="24"/>
        </w:rPr>
        <w:t>독립전문가는 이전 보고서에서 노인에 대한 정보 수집의 격차를 분석했으며, 연구에 따르면 자유를 박탈당한 노인에 대한 정보는 희소하고 비정기적으로 수집된다.</w:t>
      </w:r>
      <w:r w:rsidR="00124225">
        <w:rPr>
          <w:rStyle w:val="a7"/>
          <w:rFonts w:ascii="휴먼명조" w:eastAsia="휴먼명조"/>
          <w:sz w:val="24"/>
          <w:szCs w:val="24"/>
        </w:rPr>
        <w:footnoteReference w:id="53"/>
      </w:r>
      <w:r>
        <w:rPr>
          <w:rFonts w:ascii="휴먼명조" w:eastAsia="휴먼명조" w:hint="eastAsia"/>
          <w:sz w:val="24"/>
          <w:szCs w:val="24"/>
        </w:rPr>
        <w:t xml:space="preserve"> 이러한 중요한 정보 및 데이터의 부재는 자유를 박탈당한 노인의 필요에 대응하기 위한 효율적이고 의미</w:t>
      </w:r>
      <w:r w:rsidR="00306A4A">
        <w:rPr>
          <w:rFonts w:ascii="휴먼명조" w:eastAsia="휴먼명조" w:hint="eastAsia"/>
          <w:sz w:val="24"/>
          <w:szCs w:val="24"/>
        </w:rPr>
        <w:t xml:space="preserve"> </w:t>
      </w:r>
      <w:r>
        <w:rPr>
          <w:rFonts w:ascii="휴먼명조" w:eastAsia="휴먼명조" w:hint="eastAsia"/>
          <w:sz w:val="24"/>
          <w:szCs w:val="24"/>
        </w:rPr>
        <w:t>있는 정책과 법률의 고안과 이행의 정도에 영향을 미친다.</w:t>
      </w:r>
      <w:r w:rsidR="00124225">
        <w:rPr>
          <w:rStyle w:val="a7"/>
          <w:rFonts w:ascii="휴먼명조" w:eastAsia="휴먼명조"/>
          <w:sz w:val="24"/>
          <w:szCs w:val="24"/>
        </w:rPr>
        <w:footnoteReference w:id="54"/>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37.</w:t>
      </w:r>
      <w:r>
        <w:tab/>
      </w:r>
      <w:r>
        <w:rPr>
          <w:rFonts w:ascii="휴먼명조" w:eastAsia="휴먼명조" w:hint="eastAsia"/>
          <w:sz w:val="24"/>
          <w:szCs w:val="24"/>
        </w:rPr>
        <w:t>코로나 19 전염병의 유행 이후, 자유를 박탈당하고 제한된 공간에서 살아가는 노인이 직면하는 문제는 더욱 악화되었다.</w:t>
      </w:r>
      <w:r w:rsidR="00124225">
        <w:rPr>
          <w:rStyle w:val="a7"/>
          <w:rFonts w:ascii="휴먼명조" w:eastAsia="휴먼명조"/>
          <w:sz w:val="24"/>
          <w:szCs w:val="24"/>
        </w:rPr>
        <w:footnoteReference w:id="55"/>
      </w:r>
      <w:r>
        <w:rPr>
          <w:rFonts w:ascii="휴먼명조" w:eastAsia="휴먼명조" w:hint="eastAsia"/>
          <w:sz w:val="24"/>
          <w:szCs w:val="24"/>
        </w:rPr>
        <w:t xml:space="preserve"> 연령차별이 전염병 유행 기간 내내 지속되었고 노인의 권리 향유를 방해하던 장애물들이 드러났다. 노인, 특히 구금되거나 요양 시설에 있는 노인들은 봉쇄 및 격리 기간동안 높은 수준의 폭력 및 방치의 위험에 놓였다.</w:t>
      </w:r>
      <w:r w:rsidR="00124225">
        <w:rPr>
          <w:rStyle w:val="a7"/>
          <w:rFonts w:ascii="휴먼명조" w:eastAsia="휴먼명조"/>
          <w:sz w:val="24"/>
          <w:szCs w:val="24"/>
        </w:rPr>
        <w:footnoteReference w:id="56"/>
      </w:r>
      <w:r>
        <w:rPr>
          <w:rFonts w:ascii="휴먼명조" w:eastAsia="휴먼명조" w:hint="eastAsia"/>
          <w:sz w:val="24"/>
          <w:szCs w:val="24"/>
        </w:rPr>
        <w:t xml:space="preserve"> 이와 같은 제한된 공간에서 생활하는 노인의 경우 사회 다른 지역에서 생활하는 노인보다 코로나 19로 인한 사망률</w:t>
      </w:r>
      <w:r>
        <w:rPr>
          <w:rFonts w:ascii="휴먼명조" w:eastAsia="휴먼명조" w:hint="eastAsia"/>
          <w:sz w:val="24"/>
          <w:szCs w:val="24"/>
        </w:rPr>
        <w:lastRenderedPageBreak/>
        <w:t>이 높았다.</w:t>
      </w:r>
      <w:r w:rsidR="00124225">
        <w:rPr>
          <w:rStyle w:val="a7"/>
          <w:rFonts w:ascii="휴먼명조" w:eastAsia="휴먼명조"/>
          <w:sz w:val="24"/>
          <w:szCs w:val="24"/>
        </w:rPr>
        <w:footnoteReference w:id="57"/>
      </w:r>
      <w:r>
        <w:rPr>
          <w:rFonts w:ascii="휴먼명조" w:eastAsia="휴먼명조" w:hint="eastAsia"/>
          <w:sz w:val="24"/>
          <w:szCs w:val="24"/>
        </w:rPr>
        <w:t xml:space="preserve">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38.</w:t>
      </w:r>
      <w:r>
        <w:tab/>
      </w:r>
      <w:r>
        <w:rPr>
          <w:rFonts w:ascii="휴먼명조" w:eastAsia="휴먼명조" w:hint="eastAsia"/>
          <w:sz w:val="24"/>
          <w:szCs w:val="24"/>
        </w:rPr>
        <w:t xml:space="preserve">다음 장에서 독립전문가는 형사사법제도, 이주 관련 구금 및 돌봄 환경이라는 세 가지 구체적 맥락에서 자유를 박탈당한 노인의 인권을 분석한다. </w:t>
      </w:r>
    </w:p>
    <w:p w:rsidR="009E6F5F" w:rsidRDefault="009E6F5F" w:rsidP="009E6F5F">
      <w:pPr>
        <w:pStyle w:val="a4"/>
        <w:spacing w:line="372" w:lineRule="auto"/>
        <w:rPr>
          <w:sz w:val="24"/>
          <w:szCs w:val="24"/>
        </w:rPr>
      </w:pPr>
    </w:p>
    <w:p w:rsidR="009E6F5F" w:rsidRDefault="009E6F5F" w:rsidP="009E6F5F">
      <w:pPr>
        <w:pStyle w:val="a4"/>
        <w:spacing w:line="372" w:lineRule="auto"/>
      </w:pPr>
      <w:r>
        <w:rPr>
          <w:rFonts w:ascii="휴먼명조" w:eastAsia="휴먼명조" w:hint="eastAsia"/>
          <w:b/>
          <w:bCs/>
          <w:sz w:val="26"/>
          <w:szCs w:val="26"/>
        </w:rPr>
        <w:t>1.</w:t>
      </w:r>
      <w:r>
        <w:tab/>
      </w:r>
      <w:r>
        <w:rPr>
          <w:rFonts w:ascii="휴먼명조" w:eastAsia="휴먼명조" w:hint="eastAsia"/>
          <w:b/>
          <w:bCs/>
          <w:sz w:val="26"/>
          <w:szCs w:val="26"/>
        </w:rPr>
        <w:t xml:space="preserve">형사사법 맥락에서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39.</w:t>
      </w:r>
      <w:r>
        <w:tab/>
      </w:r>
      <w:r>
        <w:rPr>
          <w:rFonts w:ascii="휴먼명조" w:eastAsia="휴먼명조" w:hint="eastAsia"/>
          <w:sz w:val="24"/>
          <w:szCs w:val="24"/>
        </w:rPr>
        <w:t>형사사법제도 내에서 구금된 노인은 수감된 인구 중 여전히 눈에 보이지 않는 집단이다. 국가가 제출한 자료를 보면 일부 국가의 경우 구금시설 내 노인에 대한 데이터를 수집하고 게시한다.</w:t>
      </w:r>
      <w:r w:rsidR="00AF609E">
        <w:rPr>
          <w:rStyle w:val="a7"/>
          <w:rFonts w:ascii="휴먼명조" w:eastAsia="휴먼명조"/>
          <w:sz w:val="24"/>
          <w:szCs w:val="24"/>
        </w:rPr>
        <w:footnoteReference w:id="58"/>
      </w:r>
      <w:r>
        <w:rPr>
          <w:rFonts w:ascii="휴먼명조" w:eastAsia="휴먼명조" w:hint="eastAsia"/>
          <w:sz w:val="24"/>
          <w:szCs w:val="24"/>
        </w:rPr>
        <w:t xml:space="preserve"> 최근 연구에 따르면 216개국 중 149개국이 가장 무거운 형벌로 무기징역을 부과하며, 전세계적으로 2014년 기준 2000년의 261,000명에 비해 84% 증가한 수치인 479,000명이 공식적으로 종신형을 살고 있다.</w:t>
      </w:r>
      <w:r w:rsidR="00AF609E">
        <w:rPr>
          <w:rStyle w:val="a7"/>
          <w:rFonts w:ascii="휴먼명조" w:eastAsia="휴먼명조"/>
          <w:sz w:val="24"/>
          <w:szCs w:val="24"/>
        </w:rPr>
        <w:footnoteReference w:id="59"/>
      </w:r>
      <w:r>
        <w:rPr>
          <w:rFonts w:ascii="휴먼명조" w:eastAsia="휴먼명조" w:hint="eastAsia"/>
          <w:sz w:val="24"/>
          <w:szCs w:val="24"/>
        </w:rPr>
        <w:t xml:space="preserve">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40.</w:t>
      </w:r>
      <w:r>
        <w:tab/>
      </w:r>
      <w:r>
        <w:rPr>
          <w:rFonts w:ascii="휴먼명조" w:eastAsia="휴먼명조" w:hint="eastAsia"/>
          <w:sz w:val="24"/>
          <w:szCs w:val="24"/>
        </w:rPr>
        <w:t>그러나 이러한 정보는 지역별로 균등하게 수집되지 않으며 이에 국제적 경향을 파악할 수 없다. 다수의 국가가 수감자에 대한 데이터를 연령별로 또는 교도소에서 ‘</w:t>
      </w:r>
      <w:proofErr w:type="spellStart"/>
      <w:r>
        <w:rPr>
          <w:rFonts w:ascii="휴먼명조" w:eastAsia="휴먼명조" w:hint="eastAsia"/>
          <w:sz w:val="24"/>
          <w:szCs w:val="24"/>
        </w:rPr>
        <w:t>고령’이라고</w:t>
      </w:r>
      <w:proofErr w:type="spellEnd"/>
      <w:r>
        <w:rPr>
          <w:rFonts w:ascii="휴먼명조" w:eastAsia="휴먼명조" w:hint="eastAsia"/>
          <w:sz w:val="24"/>
          <w:szCs w:val="24"/>
        </w:rPr>
        <w:t xml:space="preserve"> 여겨지는 연령 집단(일반적으로 50세-60세) 내에서의 차이로 구분하지 않는다.</w:t>
      </w:r>
      <w:r w:rsidR="00AF609E">
        <w:rPr>
          <w:rStyle w:val="a7"/>
          <w:rFonts w:ascii="휴먼명조" w:eastAsia="휴먼명조"/>
          <w:sz w:val="24"/>
          <w:szCs w:val="24"/>
        </w:rPr>
        <w:footnoteReference w:id="60"/>
      </w:r>
      <w:r>
        <w:rPr>
          <w:rFonts w:ascii="휴먼명조" w:eastAsia="휴먼명조" w:hint="eastAsia"/>
          <w:sz w:val="24"/>
          <w:szCs w:val="24"/>
        </w:rPr>
        <w:t xml:space="preserve"> 고령 수감자의 비율은 지역마다 다르지만, 가용한 데이터에 따르면 여러 국가에서 교도소에 수감된 노인의 수가 꾸준히 증가하고 있다.</w:t>
      </w:r>
      <w:r w:rsidR="00AF609E">
        <w:rPr>
          <w:rStyle w:val="a7"/>
          <w:rFonts w:ascii="휴먼명조" w:eastAsia="휴먼명조"/>
          <w:sz w:val="24"/>
          <w:szCs w:val="24"/>
        </w:rPr>
        <w:footnoteReference w:id="61"/>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41.</w:t>
      </w:r>
      <w:r>
        <w:tab/>
      </w:r>
      <w:r>
        <w:rPr>
          <w:rFonts w:ascii="휴먼명조" w:eastAsia="휴먼명조" w:hint="eastAsia"/>
          <w:sz w:val="24"/>
          <w:szCs w:val="24"/>
        </w:rPr>
        <w:t>점차 고령화되는 교</w:t>
      </w:r>
      <w:r w:rsidR="00306DE7">
        <w:rPr>
          <w:rFonts w:ascii="휴먼명조" w:eastAsia="휴먼명조" w:hint="eastAsia"/>
          <w:sz w:val="24"/>
          <w:szCs w:val="24"/>
        </w:rPr>
        <w:t>도소</w:t>
      </w:r>
      <w:r>
        <w:rPr>
          <w:rFonts w:ascii="휴먼명조" w:eastAsia="휴먼명조" w:hint="eastAsia"/>
          <w:sz w:val="24"/>
          <w:szCs w:val="24"/>
        </w:rPr>
        <w:t xml:space="preserve"> 내 인구는 아직 국제 인권 기구가 다루지 못하고 있는 여러 과제를 직면하고 있다. 형사사법제도 내 만연한 연령주의적 </w:t>
      </w:r>
      <w:r>
        <w:rPr>
          <w:rFonts w:ascii="휴먼명조" w:eastAsia="휴먼명조" w:hint="eastAsia"/>
          <w:sz w:val="24"/>
          <w:szCs w:val="24"/>
        </w:rPr>
        <w:lastRenderedPageBreak/>
        <w:t>고정관념과 연령차별로 인해 노인은 체포, 심문, 입소 전, 분류와 그에 따른 생활 환경, 적절한 의료 서비스의 제공 및 출소 후 재활 및 재통합에 이르기까지 수감의 모든 단계에서 차별, 학대 및 폭력을 경험할 확률이 더 높다.</w:t>
      </w:r>
      <w:r w:rsidR="00AF609E">
        <w:rPr>
          <w:rStyle w:val="a7"/>
          <w:rFonts w:ascii="휴먼명조" w:eastAsia="휴먼명조"/>
          <w:sz w:val="24"/>
          <w:szCs w:val="24"/>
        </w:rPr>
        <w:footnoteReference w:id="62"/>
      </w:r>
      <w:r>
        <w:rPr>
          <w:rFonts w:ascii="휴먼명조" w:eastAsia="휴먼명조" w:hint="eastAsia"/>
          <w:sz w:val="24"/>
          <w:szCs w:val="24"/>
        </w:rPr>
        <w:t xml:space="preserve">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42.</w:t>
      </w:r>
      <w:r>
        <w:tab/>
      </w:r>
      <w:r>
        <w:rPr>
          <w:rFonts w:ascii="휴먼명조" w:eastAsia="휴먼명조" w:hint="eastAsia"/>
          <w:sz w:val="24"/>
          <w:szCs w:val="24"/>
        </w:rPr>
        <w:t>노인은 그들의 권리와 사용할 수 있는 효과적인 구제책에 대한 제한된 지식 및 법률 시스템에 대한 접근의 부재로 인해 사법 시스템 활용에 어려움을 겪으며 이는 그들이 자유를 박탈당할 가능성을 높인다.</w:t>
      </w:r>
      <w:r w:rsidR="00AF609E">
        <w:rPr>
          <w:rStyle w:val="a7"/>
          <w:rFonts w:ascii="휴먼명조" w:eastAsia="휴먼명조"/>
          <w:sz w:val="24"/>
          <w:szCs w:val="24"/>
        </w:rPr>
        <w:footnoteReference w:id="63"/>
      </w:r>
      <w:r>
        <w:rPr>
          <w:rFonts w:ascii="휴먼명조" w:eastAsia="휴먼명조" w:hint="eastAsia"/>
          <w:sz w:val="24"/>
          <w:szCs w:val="24"/>
        </w:rPr>
        <w:t xml:space="preserve"> </w:t>
      </w:r>
    </w:p>
    <w:p w:rsidR="009E6F5F" w:rsidRDefault="009E6F5F" w:rsidP="009E6F5F">
      <w:pPr>
        <w:pStyle w:val="a4"/>
        <w:spacing w:line="372" w:lineRule="auto"/>
        <w:ind w:left="596"/>
        <w:rPr>
          <w:sz w:val="24"/>
          <w:szCs w:val="24"/>
        </w:rPr>
      </w:pPr>
    </w:p>
    <w:p w:rsidR="009E6F5F" w:rsidRDefault="009E6F5F" w:rsidP="00306DE7">
      <w:pPr>
        <w:pStyle w:val="a4"/>
        <w:spacing w:line="372" w:lineRule="auto"/>
        <w:ind w:left="596"/>
      </w:pPr>
      <w:r>
        <w:rPr>
          <w:rFonts w:ascii="휴먼명조" w:eastAsia="휴먼명조" w:hint="eastAsia"/>
          <w:sz w:val="24"/>
          <w:szCs w:val="24"/>
        </w:rPr>
        <w:t>43.</w:t>
      </w:r>
      <w:r>
        <w:tab/>
      </w:r>
      <w:r>
        <w:rPr>
          <w:rFonts w:ascii="휴먼명조" w:eastAsia="휴먼명조" w:hint="eastAsia"/>
          <w:sz w:val="24"/>
          <w:szCs w:val="24"/>
        </w:rPr>
        <w:t>고령의 수감자의 필요를 충족하기 위해서는 연령과 다른 요소</w:t>
      </w:r>
      <w:r w:rsidR="00306DE7">
        <w:rPr>
          <w:rFonts w:ascii="휴먼명조" w:eastAsia="휴먼명조" w:hint="eastAsia"/>
          <w:sz w:val="24"/>
          <w:szCs w:val="24"/>
        </w:rPr>
        <w:t xml:space="preserve"> </w:t>
      </w:r>
      <w:r>
        <w:rPr>
          <w:rFonts w:ascii="휴먼명조" w:eastAsia="휴먼명조" w:hint="eastAsia"/>
          <w:sz w:val="24"/>
          <w:szCs w:val="24"/>
        </w:rPr>
        <w:t>간의 교차성에 특히 주의를 기울이고 이를 고려해야 한다. 노령의 장애인, 여성, LGBTI, 소수 인종 및 원주민을 포함한 노인은 기존의 차별적 법률과 유해한 고정관념으로 인해 적법 절차가 거부되고 수감될 수 있다.</w:t>
      </w:r>
      <w:r w:rsidR="00FC3944">
        <w:rPr>
          <w:rStyle w:val="a7"/>
          <w:rFonts w:ascii="휴먼명조" w:eastAsia="휴먼명조"/>
          <w:sz w:val="24"/>
          <w:szCs w:val="24"/>
        </w:rPr>
        <w:footnoteReference w:id="64"/>
      </w:r>
      <w:r>
        <w:rPr>
          <w:rFonts w:ascii="휴먼명조" w:eastAsia="휴먼명조" w:hint="eastAsia"/>
          <w:sz w:val="24"/>
          <w:szCs w:val="24"/>
        </w:rPr>
        <w:t xml:space="preserve"> 나이든 여성과 LGBTI는 수감되는 경우 성 및 젠더 기반 폭력을 경험할 통계적 가능성이 높기에 폭력으로부터 이들을 특별히 보호해야 할 필요가 있다. 일부 국가에서는 정신 건강 서비스를 위해 필요한 공동체 기반 자원을 제공하지 못해, 정신발달장애 또는 지적장애가 있는 노인이 적절한 돌봄을 받을 수 없는 교도소에 수감될 수 있다.</w:t>
      </w:r>
      <w:r w:rsidR="00FC3944">
        <w:rPr>
          <w:rStyle w:val="a7"/>
          <w:rFonts w:ascii="휴먼명조" w:eastAsia="휴먼명조"/>
          <w:sz w:val="24"/>
          <w:szCs w:val="24"/>
        </w:rPr>
        <w:footnoteReference w:id="65"/>
      </w:r>
    </w:p>
    <w:p w:rsidR="00306DE7" w:rsidRPr="00306DE7" w:rsidRDefault="00306DE7" w:rsidP="00306DE7">
      <w:pPr>
        <w:pStyle w:val="a4"/>
        <w:spacing w:line="372" w:lineRule="auto"/>
        <w:ind w:left="596"/>
      </w:pPr>
    </w:p>
    <w:p w:rsidR="009E6F5F" w:rsidRDefault="009E6F5F" w:rsidP="009E6F5F">
      <w:pPr>
        <w:pStyle w:val="a4"/>
        <w:spacing w:line="372" w:lineRule="auto"/>
        <w:ind w:left="596"/>
      </w:pPr>
      <w:r>
        <w:rPr>
          <w:rFonts w:ascii="휴먼명조" w:eastAsia="휴먼명조" w:hint="eastAsia"/>
          <w:sz w:val="24"/>
          <w:szCs w:val="24"/>
        </w:rPr>
        <w:t>44.</w:t>
      </w:r>
      <w:r>
        <w:tab/>
      </w:r>
      <w:r>
        <w:rPr>
          <w:rFonts w:ascii="휴먼명조" w:eastAsia="휴먼명조" w:hint="eastAsia"/>
          <w:sz w:val="24"/>
          <w:szCs w:val="24"/>
        </w:rPr>
        <w:t>구금 시설은 일반적으로 전세계 교도소 인구의 다수를 이루는 젊은 수감자를 위해 계획되기에 노인을 수용하거나 그들의 필요에 대응하도록 설계되지 않는 경우가 많다.</w:t>
      </w:r>
      <w:r w:rsidR="00FC3944">
        <w:rPr>
          <w:rStyle w:val="a7"/>
          <w:rFonts w:ascii="휴먼명조" w:eastAsia="휴먼명조"/>
          <w:sz w:val="24"/>
          <w:szCs w:val="24"/>
        </w:rPr>
        <w:footnoteReference w:id="66"/>
      </w:r>
      <w:r>
        <w:rPr>
          <w:rFonts w:ascii="휴먼명조" w:eastAsia="휴먼명조" w:hint="eastAsia"/>
          <w:sz w:val="24"/>
          <w:szCs w:val="24"/>
        </w:rPr>
        <w:t xml:space="preserve"> 노인들이 직면하는 문제는 계단 오르기, 위생시설 접근의 어려움, 과밀수용, 과도한 추위나 더위, 시끄러운 공간 및 신체적 및 지적 장애인의 기본적 요구 충족을 방해하는 건축적 특징 등 대부분의 경우 </w:t>
      </w:r>
      <w:r>
        <w:rPr>
          <w:rFonts w:ascii="휴먼명조" w:eastAsia="휴먼명조" w:hint="eastAsia"/>
          <w:sz w:val="24"/>
          <w:szCs w:val="24"/>
        </w:rPr>
        <w:lastRenderedPageBreak/>
        <w:t>교도소 배치나 구금 조건으로 인해 발생한다.</w:t>
      </w:r>
      <w:r w:rsidR="00FC3944">
        <w:rPr>
          <w:rStyle w:val="a7"/>
          <w:rFonts w:ascii="휴먼명조" w:eastAsia="휴먼명조"/>
          <w:sz w:val="24"/>
          <w:szCs w:val="24"/>
        </w:rPr>
        <w:footnoteReference w:id="67"/>
      </w:r>
      <w:r>
        <w:rPr>
          <w:rFonts w:ascii="휴먼명조" w:eastAsia="휴먼명조" w:hint="eastAsia"/>
          <w:sz w:val="24"/>
          <w:szCs w:val="24"/>
        </w:rPr>
        <w:t xml:space="preserve">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45.</w:t>
      </w:r>
      <w:r>
        <w:tab/>
      </w:r>
      <w:r>
        <w:rPr>
          <w:rFonts w:ascii="휴먼명조" w:eastAsia="휴먼명조" w:hint="eastAsia"/>
          <w:sz w:val="24"/>
          <w:szCs w:val="24"/>
        </w:rPr>
        <w:t>노인의 구금은 종종 약물 남용 및 장기적인 신체적, 심리적, 지적 또는 감각적 손상으로 인한 복잡한 의학적 상태 및 장애로 인해 높은 비용을 수반할 수 있다.</w:t>
      </w:r>
      <w:r w:rsidR="00FC3944">
        <w:rPr>
          <w:rStyle w:val="a7"/>
          <w:rFonts w:ascii="휴먼명조" w:eastAsia="휴먼명조"/>
          <w:sz w:val="24"/>
          <w:szCs w:val="24"/>
        </w:rPr>
        <w:footnoteReference w:id="68"/>
      </w:r>
      <w:r>
        <w:rPr>
          <w:rFonts w:ascii="휴먼명조" w:eastAsia="휴먼명조" w:hint="eastAsia"/>
          <w:sz w:val="24"/>
          <w:szCs w:val="24"/>
        </w:rPr>
        <w:t xml:space="preserve"> 교도소 내에서 노인학, 완화치료 및 기타 전문 의료와 같이 연령에 적합한 의료서비스에 대한 접근은 전 세계적으로 드물고 제한적이다.</w:t>
      </w:r>
    </w:p>
    <w:p w:rsidR="009E6F5F" w:rsidRDefault="009E6F5F" w:rsidP="009E6F5F">
      <w:pPr>
        <w:pStyle w:val="a4"/>
        <w:spacing w:line="372" w:lineRule="auto"/>
        <w:ind w:left="596"/>
      </w:pPr>
      <w:r>
        <w:rPr>
          <w:rFonts w:ascii="휴먼명조" w:eastAsia="휴먼명조" w:hint="eastAsia"/>
          <w:sz w:val="24"/>
          <w:szCs w:val="24"/>
        </w:rPr>
        <w:t>고령의 피구금자들은 일반적으로 자유의 박탈과 관련된 불안을 포함하여 정신 건강 문제를 겪는다.</w:t>
      </w:r>
      <w:r w:rsidR="00FC3944">
        <w:rPr>
          <w:rStyle w:val="a7"/>
          <w:rFonts w:ascii="휴먼명조" w:eastAsia="휴먼명조"/>
          <w:sz w:val="24"/>
          <w:szCs w:val="24"/>
        </w:rPr>
        <w:footnoteReference w:id="69"/>
      </w:r>
      <w:r>
        <w:rPr>
          <w:rFonts w:ascii="휴먼명조" w:eastAsia="휴먼명조" w:hint="eastAsia"/>
          <w:sz w:val="24"/>
          <w:szCs w:val="24"/>
        </w:rPr>
        <w:t xml:space="preserve"> 나이든 여성과 </w:t>
      </w:r>
      <w:proofErr w:type="spellStart"/>
      <w:r>
        <w:rPr>
          <w:rFonts w:ascii="휴먼명조" w:eastAsia="휴먼명조" w:hint="eastAsia"/>
          <w:sz w:val="24"/>
          <w:szCs w:val="24"/>
        </w:rPr>
        <w:t>트랜스젠더들은</w:t>
      </w:r>
      <w:proofErr w:type="spellEnd"/>
      <w:r>
        <w:rPr>
          <w:rFonts w:ascii="휴먼명조" w:eastAsia="휴먼명조" w:hint="eastAsia"/>
          <w:sz w:val="24"/>
          <w:szCs w:val="24"/>
        </w:rPr>
        <w:t xml:space="preserve"> 부인과, 위생 및 기타 젠더와 관련한 민감한 의료적 필요를 가지며, 이를 충족시키지 못하는 것은 부당한 대우에 해당할 수 있다.</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46.</w:t>
      </w:r>
      <w:r>
        <w:tab/>
      </w:r>
      <w:r>
        <w:rPr>
          <w:rFonts w:ascii="휴먼명조" w:eastAsia="휴먼명조" w:hint="eastAsia"/>
          <w:sz w:val="24"/>
          <w:szCs w:val="24"/>
        </w:rPr>
        <w:t>일부 국가의 경우 교도소 내 노인의 코로나 19 감염률이 일반 대중에 비해 두 배</w:t>
      </w:r>
      <w:r w:rsidR="00306DE7">
        <w:rPr>
          <w:rFonts w:ascii="휴먼명조" w:eastAsia="휴먼명조" w:hint="eastAsia"/>
          <w:sz w:val="24"/>
          <w:szCs w:val="24"/>
        </w:rPr>
        <w:t xml:space="preserve"> </w:t>
      </w:r>
      <w:r>
        <w:rPr>
          <w:rFonts w:ascii="휴먼명조" w:eastAsia="휴먼명조" w:hint="eastAsia"/>
          <w:sz w:val="24"/>
          <w:szCs w:val="24"/>
        </w:rPr>
        <w:t>가량 높은 것으로 보고되었다.</w:t>
      </w:r>
      <w:r w:rsidR="00FC3944">
        <w:rPr>
          <w:rStyle w:val="a7"/>
          <w:rFonts w:ascii="휴먼명조" w:eastAsia="휴먼명조"/>
          <w:sz w:val="24"/>
          <w:szCs w:val="24"/>
        </w:rPr>
        <w:footnoteReference w:id="70"/>
      </w:r>
      <w:r>
        <w:rPr>
          <w:rFonts w:ascii="휴먼명조" w:eastAsia="휴먼명조" w:hint="eastAsia"/>
          <w:sz w:val="24"/>
          <w:szCs w:val="24"/>
        </w:rPr>
        <w:t xml:space="preserve"> 보고서에 따르면 구금 장소의 과밀로 인해 물리적 거리두기 규칙 적용이 어려웠다.</w:t>
      </w:r>
      <w:r w:rsidR="00FC3944">
        <w:rPr>
          <w:rStyle w:val="a7"/>
          <w:rFonts w:ascii="휴먼명조" w:eastAsia="휴먼명조"/>
          <w:sz w:val="24"/>
          <w:szCs w:val="24"/>
        </w:rPr>
        <w:footnoteReference w:id="71"/>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47.</w:t>
      </w:r>
      <w:r>
        <w:tab/>
      </w:r>
      <w:r>
        <w:rPr>
          <w:rFonts w:ascii="휴먼명조" w:eastAsia="휴먼명조" w:hint="eastAsia"/>
          <w:sz w:val="24"/>
          <w:szCs w:val="24"/>
        </w:rPr>
        <w:t>충분한 훈련을 받지 않은 교정 직원은 노인을 대하거나 연령과 관련된 일반적인 건강 문제 및 필요를 파악하는데 어려움을 겪으며, 이는 종종 차별 및 학대, 부당한 대우 및 폭력으로 이어지고, 재소자가 실질적으로 교도소에 대한 통제력을 행사하는 상황에서는 젊은 재소자에 의한 낙인과 차별이 확대될 수 있다.</w:t>
      </w:r>
      <w:r w:rsidR="00FC3944">
        <w:rPr>
          <w:rStyle w:val="a7"/>
          <w:rFonts w:ascii="휴먼명조" w:eastAsia="휴먼명조"/>
          <w:sz w:val="24"/>
          <w:szCs w:val="24"/>
        </w:rPr>
        <w:footnoteReference w:id="72"/>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lastRenderedPageBreak/>
        <w:t>48.</w:t>
      </w:r>
      <w:r>
        <w:tab/>
      </w:r>
      <w:r>
        <w:rPr>
          <w:rFonts w:ascii="휴먼명조" w:eastAsia="휴먼명조" w:hint="eastAsia"/>
          <w:sz w:val="24"/>
          <w:szCs w:val="24"/>
        </w:rPr>
        <w:t>장기간의 구금은 노인이 사회적 상호작용 및 외부와의 소통을 박탈당할 위험을 증가시킨다. 코로나 19 유행기간동안 가족</w:t>
      </w:r>
      <w:r w:rsidR="00306DE7">
        <w:rPr>
          <w:rFonts w:ascii="휴먼명조" w:eastAsia="휴먼명조" w:hint="eastAsia"/>
          <w:sz w:val="24"/>
          <w:szCs w:val="24"/>
        </w:rPr>
        <w:t xml:space="preserve"> </w:t>
      </w:r>
      <w:r>
        <w:rPr>
          <w:rFonts w:ascii="휴먼명조" w:eastAsia="휴먼명조" w:hint="eastAsia"/>
          <w:sz w:val="24"/>
          <w:szCs w:val="24"/>
        </w:rPr>
        <w:t>면회가 금지되거나 제한되었으며 일부 피구금자들은 외로움을 느꼈다.</w:t>
      </w:r>
      <w:r w:rsidR="00FC3944">
        <w:rPr>
          <w:rStyle w:val="a7"/>
          <w:rFonts w:ascii="휴먼명조" w:eastAsia="휴먼명조"/>
          <w:sz w:val="24"/>
          <w:szCs w:val="24"/>
        </w:rPr>
        <w:footnoteReference w:id="73"/>
      </w:r>
      <w:r>
        <w:rPr>
          <w:rFonts w:ascii="휴먼명조" w:eastAsia="휴먼명조" w:hint="eastAsia"/>
          <w:sz w:val="24"/>
          <w:szCs w:val="24"/>
        </w:rPr>
        <w:t xml:space="preserve"> 또한 일부 국가에서 존재하는 형사 구금과 관련된 낙인은 가족들이 나이든 피구금자, 특히 종종 낙인과 사회로부터의 배척에 노출된 노인 여성과의 관계를 끊게 만들기도 한다.</w:t>
      </w:r>
      <w:r w:rsidR="00FC3944">
        <w:rPr>
          <w:rStyle w:val="a7"/>
          <w:rFonts w:ascii="휴먼명조" w:eastAsia="휴먼명조"/>
          <w:sz w:val="24"/>
          <w:szCs w:val="24"/>
        </w:rPr>
        <w:footnoteReference w:id="74"/>
      </w:r>
      <w:r>
        <w:rPr>
          <w:rFonts w:ascii="휴먼명조" w:eastAsia="휴먼명조" w:hint="eastAsia"/>
          <w:sz w:val="24"/>
          <w:szCs w:val="24"/>
        </w:rPr>
        <w:t xml:space="preserve">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49.</w:t>
      </w:r>
      <w:r>
        <w:tab/>
      </w:r>
      <w:r>
        <w:rPr>
          <w:rFonts w:ascii="휴먼명조" w:eastAsia="휴먼명조" w:hint="eastAsia"/>
          <w:sz w:val="24"/>
          <w:szCs w:val="24"/>
        </w:rPr>
        <w:t>구금 시설에는 종종 연령에 적합한 서비스, 여가 활동 및 재활 프로그램이 부족하다.</w:t>
      </w:r>
      <w:r w:rsidR="00FC3944">
        <w:rPr>
          <w:rStyle w:val="a7"/>
          <w:rFonts w:ascii="휴먼명조" w:eastAsia="휴먼명조"/>
          <w:sz w:val="24"/>
          <w:szCs w:val="24"/>
        </w:rPr>
        <w:footnoteReference w:id="75"/>
      </w:r>
      <w:r>
        <w:rPr>
          <w:rFonts w:ascii="휴먼명조" w:eastAsia="휴먼명조" w:hint="eastAsia"/>
          <w:sz w:val="24"/>
          <w:szCs w:val="24"/>
        </w:rPr>
        <w:t xml:space="preserve"> 일부 노인은 그들의 장애 및/또는 건강상의 문제로 인해 모든 활동에 참여하거나 근로할 수 없는 상황에 놓여있을 수 있다. 전문적 기술과 역량을 가르치기 위한 훈련과 교육 프로그램이 노인의 필요성에 따라 조정되지 않을 수 있다. 나이든 재소자의 필요를 평가하고 대응하기 위해 개별적 접근이 필요하다.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50.</w:t>
      </w:r>
      <w:r>
        <w:tab/>
      </w:r>
      <w:r>
        <w:rPr>
          <w:rFonts w:ascii="휴먼명조" w:eastAsia="휴먼명조" w:hint="eastAsia"/>
          <w:sz w:val="24"/>
          <w:szCs w:val="24"/>
        </w:rPr>
        <w:t>교도소에서 출소한 노인들 역시 어려움을 겪으며, 출소 후 주거, 돌봄 또는 고용 측면에서 재통합과 관련된 필요가 충족되지 않는 경우가 종종 있다.</w:t>
      </w:r>
      <w:r w:rsidR="00FC3944">
        <w:rPr>
          <w:rStyle w:val="a7"/>
          <w:rFonts w:ascii="휴먼명조" w:eastAsia="휴먼명조"/>
          <w:sz w:val="24"/>
          <w:szCs w:val="24"/>
        </w:rPr>
        <w:footnoteReference w:id="76"/>
      </w:r>
      <w:r>
        <w:rPr>
          <w:rFonts w:ascii="휴먼명조" w:eastAsia="휴먼명조" w:hint="eastAsia"/>
          <w:sz w:val="24"/>
          <w:szCs w:val="24"/>
        </w:rPr>
        <w:t xml:space="preserve"> 노인의 경우 교도소 밖의 생활에 대한 준비를 제대로 받지 못하는 경우가 있고, 오랜</w:t>
      </w:r>
      <w:r w:rsidR="00306DE7">
        <w:rPr>
          <w:rFonts w:ascii="휴먼명조" w:eastAsia="휴먼명조" w:hint="eastAsia"/>
          <w:sz w:val="24"/>
          <w:szCs w:val="24"/>
        </w:rPr>
        <w:t xml:space="preserve"> </w:t>
      </w:r>
      <w:r>
        <w:rPr>
          <w:rFonts w:ascii="휴먼명조" w:eastAsia="휴먼명조" w:hint="eastAsia"/>
          <w:sz w:val="24"/>
          <w:szCs w:val="24"/>
        </w:rPr>
        <w:t>기간 지속되고 제대로 치료받지 못한 만성 질환에 대한 의료 및 정신 건강 서비스를 받는데 어려움을 겪는다.</w:t>
      </w:r>
      <w:r w:rsidR="004F41C1">
        <w:rPr>
          <w:rStyle w:val="a7"/>
          <w:rFonts w:ascii="휴먼명조" w:eastAsia="휴먼명조"/>
          <w:sz w:val="24"/>
          <w:szCs w:val="24"/>
        </w:rPr>
        <w:footnoteReference w:id="77"/>
      </w:r>
      <w:r>
        <w:rPr>
          <w:rFonts w:ascii="휴먼명조" w:eastAsia="휴먼명조" w:hint="eastAsia"/>
          <w:sz w:val="24"/>
          <w:szCs w:val="24"/>
        </w:rPr>
        <w:t xml:space="preserve"> 일부 국가에서는 중범죄를 저지른 이들이 공공 주택에서 사는 것을 금지하여 일부 노인이 노숙자 신세가 된다.</w:t>
      </w:r>
      <w:r w:rsidR="00CE7DE4">
        <w:rPr>
          <w:rStyle w:val="a7"/>
          <w:rFonts w:ascii="휴먼명조" w:eastAsia="휴먼명조"/>
          <w:sz w:val="24"/>
          <w:szCs w:val="24"/>
        </w:rPr>
        <w:footnoteReference w:id="78"/>
      </w:r>
      <w:r>
        <w:rPr>
          <w:rFonts w:ascii="휴먼명조" w:eastAsia="휴먼명조" w:hint="eastAsia"/>
          <w:sz w:val="24"/>
          <w:szCs w:val="24"/>
        </w:rPr>
        <w:t xml:space="preserve"> </w:t>
      </w:r>
    </w:p>
    <w:p w:rsidR="009E6F5F" w:rsidRDefault="009E6F5F" w:rsidP="009E6F5F">
      <w:pPr>
        <w:pStyle w:val="a4"/>
        <w:spacing w:line="372" w:lineRule="auto"/>
        <w:rPr>
          <w:sz w:val="24"/>
          <w:szCs w:val="24"/>
        </w:rPr>
      </w:pPr>
    </w:p>
    <w:p w:rsidR="009E6F5F" w:rsidRDefault="009E6F5F" w:rsidP="009E6F5F">
      <w:pPr>
        <w:pStyle w:val="a4"/>
        <w:spacing w:line="372" w:lineRule="auto"/>
      </w:pPr>
      <w:r>
        <w:rPr>
          <w:rFonts w:ascii="휴먼명조" w:eastAsia="휴먼명조" w:hint="eastAsia"/>
          <w:b/>
          <w:bCs/>
          <w:sz w:val="26"/>
          <w:szCs w:val="26"/>
        </w:rPr>
        <w:t>2.</w:t>
      </w:r>
      <w:r>
        <w:tab/>
      </w:r>
      <w:r>
        <w:rPr>
          <w:rFonts w:ascii="휴먼명조" w:eastAsia="휴먼명조" w:hint="eastAsia"/>
          <w:b/>
          <w:bCs/>
          <w:sz w:val="26"/>
          <w:szCs w:val="26"/>
        </w:rPr>
        <w:t>이주 관련 구금 맥락에서</w:t>
      </w:r>
    </w:p>
    <w:p w:rsidR="009E6F5F" w:rsidRDefault="009E6F5F" w:rsidP="009E6F5F">
      <w:pPr>
        <w:pStyle w:val="a4"/>
        <w:spacing w:line="372" w:lineRule="auto"/>
        <w:rPr>
          <w:sz w:val="24"/>
          <w:szCs w:val="24"/>
        </w:rPr>
      </w:pPr>
    </w:p>
    <w:p w:rsidR="009E6F5F" w:rsidRDefault="009E6F5F" w:rsidP="009E6F5F">
      <w:pPr>
        <w:pStyle w:val="a4"/>
        <w:spacing w:line="372" w:lineRule="auto"/>
        <w:ind w:left="596"/>
      </w:pPr>
      <w:r>
        <w:rPr>
          <w:rFonts w:ascii="휴먼명조" w:eastAsia="휴먼명조" w:hint="eastAsia"/>
          <w:sz w:val="24"/>
          <w:szCs w:val="24"/>
        </w:rPr>
        <w:lastRenderedPageBreak/>
        <w:t>51.</w:t>
      </w:r>
      <w:r>
        <w:tab/>
      </w:r>
      <w:r>
        <w:rPr>
          <w:rFonts w:ascii="휴먼명조" w:eastAsia="휴먼명조" w:hint="eastAsia"/>
          <w:sz w:val="24"/>
          <w:szCs w:val="24"/>
        </w:rPr>
        <w:t>고령의 이주민과 망명 신청자는 특히 이민 구금 등 자유를 박탈당할 위험에 놓여있다.</w:t>
      </w:r>
      <w:r w:rsidR="00CE7DE4">
        <w:rPr>
          <w:rStyle w:val="a7"/>
          <w:rFonts w:ascii="휴먼명조" w:eastAsia="휴먼명조"/>
          <w:sz w:val="24"/>
          <w:szCs w:val="24"/>
        </w:rPr>
        <w:footnoteReference w:id="79"/>
      </w:r>
      <w:r>
        <w:rPr>
          <w:rFonts w:ascii="휴먼명조" w:eastAsia="휴먼명조" w:hint="eastAsia"/>
          <w:sz w:val="24"/>
          <w:szCs w:val="24"/>
        </w:rPr>
        <w:t xml:space="preserve"> 이주 및 국경 집행 환경은 일반적으로 피구금자의 필요를 개별적으로 평가하기 위한 역량과 노인에 대한 구금 결정 시 필요성과 비례성을 평가하기 위해 필요한 교차적 접근이 부족하다.</w:t>
      </w:r>
      <w:r w:rsidR="00CE7DE4">
        <w:rPr>
          <w:rStyle w:val="a7"/>
          <w:rFonts w:ascii="휴먼명조" w:eastAsia="휴먼명조"/>
          <w:sz w:val="24"/>
          <w:szCs w:val="24"/>
        </w:rPr>
        <w:footnoteReference w:id="80"/>
      </w:r>
      <w:r>
        <w:rPr>
          <w:rFonts w:ascii="휴먼명조" w:eastAsia="휴먼명조" w:hint="eastAsia"/>
          <w:sz w:val="24"/>
          <w:szCs w:val="24"/>
        </w:rPr>
        <w:t xml:space="preserve"> 이러한 상황에서 적법 절차가 보장되지 않을 수 있고, 오랜</w:t>
      </w:r>
      <w:r w:rsidR="00306DE7">
        <w:rPr>
          <w:rFonts w:ascii="휴먼명조" w:eastAsia="휴먼명조" w:hint="eastAsia"/>
          <w:sz w:val="24"/>
          <w:szCs w:val="24"/>
        </w:rPr>
        <w:t xml:space="preserve"> </w:t>
      </w:r>
      <w:r>
        <w:rPr>
          <w:rFonts w:ascii="휴먼명조" w:eastAsia="휴먼명조" w:hint="eastAsia"/>
          <w:sz w:val="24"/>
          <w:szCs w:val="24"/>
        </w:rPr>
        <w:t>기간 자의적으로 과밀하고 비위생적인 환경에 구금된 고령의 이주민과 망명 신청자는 그들의 특정한 필요를 충족시키지 못하는 위태로운 상황에 놓이게 된다.</w:t>
      </w:r>
      <w:r w:rsidR="00CE7DE4">
        <w:rPr>
          <w:rStyle w:val="a7"/>
          <w:rFonts w:ascii="휴먼명조" w:eastAsia="휴먼명조"/>
          <w:sz w:val="24"/>
          <w:szCs w:val="24"/>
        </w:rPr>
        <w:footnoteReference w:id="81"/>
      </w:r>
      <w:r>
        <w:rPr>
          <w:rFonts w:ascii="휴먼명조" w:eastAsia="휴먼명조" w:hint="eastAsia"/>
          <w:sz w:val="24"/>
          <w:szCs w:val="24"/>
        </w:rPr>
        <w:t xml:space="preserve"> 그러한 시설에 구금된 이들은 일반적으로 박해, 일반화된 폭력, 분쟁, 경제적 불안 및 생명에 대한 위협을 피해 달아났으며 그러한 상황에서 트라우마를 겪을 수 있다.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52.</w:t>
      </w:r>
      <w:r>
        <w:tab/>
      </w:r>
      <w:r>
        <w:rPr>
          <w:rFonts w:ascii="휴먼명조" w:eastAsia="휴먼명조" w:hint="eastAsia"/>
          <w:sz w:val="24"/>
          <w:szCs w:val="24"/>
        </w:rPr>
        <w:t>구금된 고령의 망명 신청자와 이주민은 기본적 의료에만 접근할 수 있게 되며, 이로 인해 제대로 다뤄지지 않는 복잡한 여러 건강 문제로 인해 고통받게 될 수 있다.</w:t>
      </w:r>
      <w:r w:rsidR="00CE7DE4">
        <w:rPr>
          <w:rStyle w:val="a7"/>
          <w:rFonts w:ascii="휴먼명조" w:eastAsia="휴먼명조"/>
          <w:sz w:val="24"/>
          <w:szCs w:val="24"/>
        </w:rPr>
        <w:footnoteReference w:id="82"/>
      </w:r>
      <w:r>
        <w:rPr>
          <w:rFonts w:ascii="휴먼명조" w:eastAsia="휴먼명조" w:hint="eastAsia"/>
          <w:sz w:val="24"/>
          <w:szCs w:val="24"/>
        </w:rPr>
        <w:t xml:space="preserve"> 이들은 특히 친척, 변호사, 통역사 또는 영사관과의 소통에 대한 접근의 부재와 그들이 이해할 수 있는 언어의 정보 및 통역 서비스의 부재로 인해 취약한 상황에 놓인다.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53.</w:t>
      </w:r>
      <w:r>
        <w:tab/>
      </w:r>
      <w:r>
        <w:rPr>
          <w:rFonts w:ascii="휴먼명조" w:eastAsia="휴먼명조" w:hint="eastAsia"/>
          <w:sz w:val="24"/>
          <w:szCs w:val="24"/>
        </w:rPr>
        <w:t>불충분한 이주 관련 구금에 대한 연구 및 정보 수집은 고령의 이주민 및 망명 신청자와 관련한 부적절한 관행과 정책 및 법률의 만연에 기여한다. 이러한 차원에서의 비가시성과 신고의 부재로 인해 노인은 높은 수준의 연령기반 차별 및 폭력의 위험성에 노출된다.</w:t>
      </w:r>
      <w:r w:rsidR="00CE7DE4">
        <w:rPr>
          <w:rStyle w:val="a7"/>
          <w:rFonts w:ascii="휴먼명조" w:eastAsia="휴먼명조"/>
          <w:sz w:val="24"/>
          <w:szCs w:val="24"/>
        </w:rPr>
        <w:footnoteReference w:id="83"/>
      </w:r>
      <w:r>
        <w:rPr>
          <w:rFonts w:ascii="휴먼명조" w:eastAsia="휴먼명조" w:hint="eastAsia"/>
          <w:sz w:val="24"/>
          <w:szCs w:val="24"/>
        </w:rPr>
        <w:t xml:space="preserve"> </w:t>
      </w:r>
    </w:p>
    <w:p w:rsidR="009E6F5F" w:rsidRDefault="009E6F5F" w:rsidP="009E6F5F">
      <w:pPr>
        <w:pStyle w:val="a4"/>
        <w:spacing w:line="372" w:lineRule="auto"/>
        <w:rPr>
          <w:sz w:val="24"/>
          <w:szCs w:val="24"/>
        </w:rPr>
      </w:pPr>
    </w:p>
    <w:p w:rsidR="009E6F5F" w:rsidRDefault="009E6F5F" w:rsidP="009E6F5F">
      <w:pPr>
        <w:pStyle w:val="a4"/>
        <w:spacing w:line="372" w:lineRule="auto"/>
      </w:pPr>
      <w:r>
        <w:rPr>
          <w:rFonts w:ascii="휴먼명조" w:eastAsia="휴먼명조" w:hint="eastAsia"/>
          <w:b/>
          <w:bCs/>
          <w:sz w:val="26"/>
          <w:szCs w:val="26"/>
        </w:rPr>
        <w:t>3.</w:t>
      </w:r>
      <w:r>
        <w:tab/>
      </w:r>
      <w:r>
        <w:rPr>
          <w:rFonts w:ascii="휴먼명조" w:eastAsia="휴먼명조" w:hint="eastAsia"/>
          <w:b/>
          <w:bCs/>
          <w:sz w:val="26"/>
          <w:szCs w:val="26"/>
        </w:rPr>
        <w:t>돌봄 맥락에서</w:t>
      </w:r>
    </w:p>
    <w:p w:rsidR="009E6F5F" w:rsidRDefault="009E6F5F" w:rsidP="009E6F5F">
      <w:pPr>
        <w:pStyle w:val="a4"/>
        <w:spacing w:line="372" w:lineRule="auto"/>
        <w:ind w:left="596"/>
        <w:rPr>
          <w:sz w:val="24"/>
          <w:szCs w:val="24"/>
        </w:rPr>
      </w:pPr>
    </w:p>
    <w:p w:rsidR="009E6F5F" w:rsidRDefault="009E6F5F" w:rsidP="00306DE7">
      <w:pPr>
        <w:pStyle w:val="a4"/>
        <w:spacing w:line="372" w:lineRule="auto"/>
        <w:ind w:left="596"/>
        <w:rPr>
          <w:rFonts w:ascii="휴먼명조" w:eastAsia="휴먼명조"/>
          <w:sz w:val="24"/>
          <w:szCs w:val="24"/>
        </w:rPr>
      </w:pPr>
      <w:r>
        <w:rPr>
          <w:rFonts w:ascii="휴먼명조" w:eastAsia="휴먼명조" w:hint="eastAsia"/>
          <w:sz w:val="24"/>
          <w:szCs w:val="24"/>
        </w:rPr>
        <w:t>54.</w:t>
      </w:r>
      <w:r>
        <w:tab/>
      </w:r>
      <w:r>
        <w:rPr>
          <w:rFonts w:ascii="휴먼명조" w:eastAsia="휴먼명조" w:hint="eastAsia"/>
          <w:sz w:val="24"/>
          <w:szCs w:val="24"/>
        </w:rPr>
        <w:t>노인은 돌봄 맥락에서 자유의 박탈을 경험할 수 있다. 어떤</w:t>
      </w:r>
      <w:r w:rsidR="00306DE7">
        <w:rPr>
          <w:rFonts w:ascii="휴먼명조" w:eastAsia="휴먼명조" w:hint="eastAsia"/>
          <w:sz w:val="24"/>
          <w:szCs w:val="24"/>
        </w:rPr>
        <w:t xml:space="preserve"> </w:t>
      </w:r>
      <w:r>
        <w:rPr>
          <w:rFonts w:ascii="휴먼명조" w:eastAsia="휴먼명조" w:hint="eastAsia"/>
          <w:sz w:val="24"/>
          <w:szCs w:val="24"/>
        </w:rPr>
        <w:t>이들은 나이가 들어</w:t>
      </w:r>
      <w:r w:rsidR="00306DE7">
        <w:rPr>
          <w:rFonts w:ascii="휴먼명조" w:eastAsia="휴먼명조" w:hint="eastAsia"/>
          <w:sz w:val="24"/>
          <w:szCs w:val="24"/>
        </w:rPr>
        <w:t xml:space="preserve"> </w:t>
      </w:r>
      <w:r>
        <w:rPr>
          <w:rFonts w:ascii="휴먼명조" w:eastAsia="휴먼명조" w:hint="eastAsia"/>
          <w:sz w:val="24"/>
          <w:szCs w:val="24"/>
        </w:rPr>
        <w:t>감에 따라 지원을 필요로 하고 타인의 도움에 의존하며, 자율적이고 독립적인 삶을 살기 위해 다양한 수준의 특정한 보살핌과 지원을 필요로 한다. 자유가 박탈되는 상황에는 노인의 거주형 돌봄 시설, 장기 돌봄 및 요양 시설과 같은 사설 및 공공 시설, 병원 및 정신병원으로의 강제적 입소, 제한적인 공동체 기반 구금, 또는 보통 가족 혹은 보호자에 의한 강제적인 가정 감금 등이 포함된다.</w:t>
      </w:r>
      <w:r w:rsidR="00CE7DE4">
        <w:rPr>
          <w:rStyle w:val="a7"/>
          <w:rFonts w:ascii="휴먼명조" w:eastAsia="휴먼명조"/>
          <w:sz w:val="24"/>
          <w:szCs w:val="24"/>
        </w:rPr>
        <w:footnoteReference w:id="84"/>
      </w:r>
      <w:r>
        <w:rPr>
          <w:rFonts w:ascii="휴먼명조" w:eastAsia="휴먼명조" w:hint="eastAsia"/>
          <w:sz w:val="24"/>
          <w:szCs w:val="24"/>
        </w:rPr>
        <w:t xml:space="preserve"> </w:t>
      </w:r>
    </w:p>
    <w:p w:rsidR="00C508D1" w:rsidRPr="00306DE7" w:rsidRDefault="00C508D1" w:rsidP="00306DE7">
      <w:pPr>
        <w:pStyle w:val="a4"/>
        <w:spacing w:line="372" w:lineRule="auto"/>
        <w:ind w:left="596"/>
      </w:pPr>
    </w:p>
    <w:p w:rsidR="009E6F5F" w:rsidRDefault="009E6F5F" w:rsidP="009E6F5F">
      <w:pPr>
        <w:pStyle w:val="a4"/>
        <w:spacing w:line="372" w:lineRule="auto"/>
        <w:ind w:left="596"/>
      </w:pPr>
      <w:r>
        <w:rPr>
          <w:rFonts w:ascii="휴먼명조" w:eastAsia="휴먼명조" w:hint="eastAsia"/>
          <w:sz w:val="24"/>
          <w:szCs w:val="24"/>
        </w:rPr>
        <w:t>55.</w:t>
      </w:r>
      <w:r>
        <w:tab/>
      </w:r>
      <w:r>
        <w:rPr>
          <w:rFonts w:ascii="휴먼명조" w:eastAsia="휴먼명조" w:hint="eastAsia"/>
          <w:sz w:val="24"/>
          <w:szCs w:val="24"/>
        </w:rPr>
        <w:t>제도화된 돌봄(institutionalized care)을 통한 자유의 박탈은 노인이 그들의 의지 또는 선호와는 달리 요양 또는 건강 관련 시설 또는 기관에 입소하게 되는 국가에서 발생한다. 일부 국가에서 노인은 교도소보다 돌봄 시설에서 사실상 자유를 박탈당한다.</w:t>
      </w:r>
      <w:r w:rsidR="00CE7DE4">
        <w:rPr>
          <w:rStyle w:val="a7"/>
          <w:rFonts w:ascii="휴먼명조" w:eastAsia="휴먼명조"/>
          <w:sz w:val="24"/>
          <w:szCs w:val="24"/>
        </w:rPr>
        <w:footnoteReference w:id="85"/>
      </w:r>
      <w:r>
        <w:rPr>
          <w:rFonts w:ascii="휴먼명조" w:eastAsia="휴먼명조" w:hint="eastAsia"/>
          <w:sz w:val="24"/>
          <w:szCs w:val="24"/>
        </w:rPr>
        <w:t xml:space="preserve"> 이러한 맥락에서 노인은 종종 그러한 돌봄 계획에 동의할 법적 또는 정신적 능력이 없는 것으로 여겨지며, 관련 결정이 친척과 같은 타인에 의해 내려진다. 노인은 그러한 시설을 떠날 수 없고 일상 생활을 누리기 위해 돌봄 제공자에게 전적으로 의지한다. 그러나 노령 또는 정신 질환의 진단만으로 노인이 의미</w:t>
      </w:r>
      <w:r w:rsidR="00CE7DE4">
        <w:rPr>
          <w:rFonts w:ascii="휴먼명조" w:eastAsia="휴먼명조" w:hint="eastAsia"/>
          <w:sz w:val="24"/>
          <w:szCs w:val="24"/>
        </w:rPr>
        <w:t xml:space="preserve"> </w:t>
      </w:r>
      <w:r>
        <w:rPr>
          <w:rFonts w:ascii="휴먼명조" w:eastAsia="휴먼명조" w:hint="eastAsia"/>
          <w:sz w:val="24"/>
          <w:szCs w:val="24"/>
        </w:rPr>
        <w:t>있는 의사결정을 할 능력이 부족하다고 결정짓기에는 충분하지 않다.</w:t>
      </w:r>
      <w:r w:rsidR="00CE7DE4">
        <w:rPr>
          <w:rStyle w:val="a7"/>
          <w:rFonts w:ascii="휴먼명조" w:eastAsia="휴먼명조"/>
          <w:sz w:val="24"/>
          <w:szCs w:val="24"/>
        </w:rPr>
        <w:footnoteReference w:id="86"/>
      </w:r>
      <w:r>
        <w:rPr>
          <w:rFonts w:ascii="휴먼명조" w:eastAsia="휴먼명조" w:hint="eastAsia"/>
          <w:sz w:val="24"/>
          <w:szCs w:val="24"/>
        </w:rPr>
        <w:t xml:space="preserve"> 어떠한 상황에서도, 만일 능력이 저하되고 있다면 국가는 대리 의사 결정이라는 체계 및 관행 대신 의사결정을 지원할 수 있는 시스템이 작동하도록 보장해야 할 의무를 가진다.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56.</w:t>
      </w:r>
      <w:r>
        <w:tab/>
      </w:r>
      <w:r>
        <w:rPr>
          <w:rFonts w:ascii="휴먼명조" w:eastAsia="휴먼명조" w:hint="eastAsia"/>
          <w:sz w:val="24"/>
          <w:szCs w:val="24"/>
        </w:rPr>
        <w:t>강제입원은 가정 및/또는 공동체 기반 서비스의 부족을 포함해 다른 형태의 돌봄이 가능하지 않은 경우, 또는 친척이 돌봄 및 지원을 제공할 수 없거나 그러한 의사가 없는 경우 발생한다.</w:t>
      </w:r>
      <w:r w:rsidR="00CE7DE4">
        <w:rPr>
          <w:rStyle w:val="a7"/>
          <w:rFonts w:ascii="휴먼명조" w:eastAsia="휴먼명조"/>
          <w:sz w:val="24"/>
          <w:szCs w:val="24"/>
        </w:rPr>
        <w:footnoteReference w:id="87"/>
      </w:r>
      <w:r>
        <w:rPr>
          <w:rFonts w:ascii="휴먼명조" w:eastAsia="휴먼명조" w:hint="eastAsia"/>
          <w:sz w:val="24"/>
          <w:szCs w:val="24"/>
        </w:rPr>
        <w:t xml:space="preserve"> 강제로 수용되고 자유를 박탈당한 노인의 경우 폭력, 학대 및 방임에 노출될 위험성이 커진다. 이는 직원에 </w:t>
      </w:r>
      <w:r>
        <w:rPr>
          <w:rFonts w:ascii="휴먼명조" w:eastAsia="휴먼명조" w:hint="eastAsia"/>
          <w:sz w:val="24"/>
          <w:szCs w:val="24"/>
        </w:rPr>
        <w:lastRenderedPageBreak/>
        <w:t xml:space="preserve">의한 물리적인 부당한 대우, 언어적 학대 또는 무례한 행동, 젠더 기반 성 폭력을 포함한 입소자들 간의 폭력, 적절한 의료 서비스의 부족 및 신체적, 기계적 및/또는 화학적 억제의 지속적인 사용 등의 형태를 취할 수 있다.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57.</w:t>
      </w:r>
      <w:r>
        <w:tab/>
      </w:r>
      <w:r>
        <w:rPr>
          <w:rFonts w:ascii="휴먼명조" w:eastAsia="휴먼명조" w:hint="eastAsia"/>
          <w:sz w:val="24"/>
          <w:szCs w:val="24"/>
        </w:rPr>
        <w:t xml:space="preserve">치매를 앓고 있는 노인의 행동을 통제하기 위해 적절한 치료적 목적 없이 약물을 남용하는 것은 건강상의 합병증 또는 과다 투여로 인한 사망에까지 이를 수 있는 만연하고 </w:t>
      </w:r>
      <w:proofErr w:type="spellStart"/>
      <w:r>
        <w:rPr>
          <w:rFonts w:ascii="휴먼명조" w:eastAsia="휴먼명조" w:hint="eastAsia"/>
          <w:sz w:val="24"/>
          <w:szCs w:val="24"/>
        </w:rPr>
        <w:t>학대적인</w:t>
      </w:r>
      <w:proofErr w:type="spellEnd"/>
      <w:r>
        <w:rPr>
          <w:rFonts w:ascii="휴먼명조" w:eastAsia="휴먼명조" w:hint="eastAsia"/>
          <w:sz w:val="24"/>
          <w:szCs w:val="24"/>
        </w:rPr>
        <w:t xml:space="preserve"> 관행이다.</w:t>
      </w:r>
      <w:r w:rsidR="00C76EFD">
        <w:rPr>
          <w:rStyle w:val="a7"/>
          <w:rFonts w:ascii="휴먼명조" w:eastAsia="휴먼명조"/>
          <w:sz w:val="24"/>
          <w:szCs w:val="24"/>
        </w:rPr>
        <w:footnoteReference w:id="88"/>
      </w:r>
      <w:r>
        <w:rPr>
          <w:rFonts w:ascii="휴먼명조" w:eastAsia="휴먼명조" w:hint="eastAsia"/>
          <w:sz w:val="24"/>
          <w:szCs w:val="24"/>
        </w:rPr>
        <w:t xml:space="preserve"> 코로나 19의 유행기간동안 많은 거주형 요양 시설에서 </w:t>
      </w:r>
      <w:proofErr w:type="spellStart"/>
      <w:r>
        <w:rPr>
          <w:rFonts w:ascii="휴먼명조" w:eastAsia="휴먼명조" w:hint="eastAsia"/>
          <w:sz w:val="24"/>
          <w:szCs w:val="24"/>
        </w:rPr>
        <w:t>항정신신성</w:t>
      </w:r>
      <w:proofErr w:type="spellEnd"/>
      <w:r>
        <w:rPr>
          <w:rFonts w:ascii="휴먼명조" w:eastAsia="휴먼명조" w:hint="eastAsia"/>
          <w:sz w:val="24"/>
          <w:szCs w:val="24"/>
        </w:rPr>
        <w:t xml:space="preserve"> 의약품(psychotropic medication)의 사용이 급격히 증가했으며 이는 노인 입소자들이 봉쇄기간동안 느끼는 외로움과 지속되는 사회적 고립이라는 명분으로 정당화되었다.</w:t>
      </w:r>
      <w:r w:rsidR="00C76EFD">
        <w:rPr>
          <w:rStyle w:val="a7"/>
          <w:rFonts w:ascii="휴먼명조" w:eastAsia="휴먼명조"/>
          <w:sz w:val="24"/>
          <w:szCs w:val="24"/>
        </w:rPr>
        <w:footnoteReference w:id="89"/>
      </w:r>
      <w:r>
        <w:rPr>
          <w:rFonts w:ascii="휴먼명조" w:eastAsia="휴먼명조" w:hint="eastAsia"/>
          <w:sz w:val="24"/>
          <w:szCs w:val="24"/>
        </w:rPr>
        <w:t xml:space="preserve">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58.</w:t>
      </w:r>
      <w:r>
        <w:tab/>
      </w:r>
      <w:r>
        <w:rPr>
          <w:rFonts w:ascii="휴먼명조" w:eastAsia="휴먼명조" w:hint="eastAsia"/>
          <w:sz w:val="24"/>
          <w:szCs w:val="24"/>
        </w:rPr>
        <w:t>돌봄 시설 내 건강을 비롯한 연령 관련 문제에 대해 적절히 훈련받은 직원이 부족한 경우 노인은 직원 및 다른 입소자에 대한 학대의 위험에 노출된다.</w:t>
      </w:r>
      <w:r w:rsidR="00C76EFD">
        <w:rPr>
          <w:rStyle w:val="a7"/>
          <w:rFonts w:ascii="휴먼명조" w:eastAsia="휴먼명조"/>
          <w:sz w:val="24"/>
          <w:szCs w:val="24"/>
        </w:rPr>
        <w:footnoteReference w:id="90"/>
      </w:r>
      <w:r>
        <w:rPr>
          <w:rFonts w:ascii="휴먼명조" w:eastAsia="휴먼명조" w:hint="eastAsia"/>
          <w:sz w:val="24"/>
          <w:szCs w:val="24"/>
        </w:rPr>
        <w:t xml:space="preserve"> 또한 부적절한 조치는 예를 들어 ‘공격적’ 행동을 보이는 이들과 함께 생활하거나 남성 및 여성을 위한 분리 및 보호된 욕실 및 위생 시설에 접근할 수 없는 경우 등을 포함해 노인의 안전을 위협하기도 한다.</w:t>
      </w:r>
      <w:r w:rsidR="00C76EFD">
        <w:rPr>
          <w:rStyle w:val="a7"/>
          <w:rFonts w:ascii="휴먼명조" w:eastAsia="휴먼명조"/>
          <w:sz w:val="24"/>
          <w:szCs w:val="24"/>
        </w:rPr>
        <w:footnoteReference w:id="91"/>
      </w:r>
      <w:r>
        <w:rPr>
          <w:rFonts w:ascii="휴먼명조" w:eastAsia="휴먼명조" w:hint="eastAsia"/>
          <w:sz w:val="24"/>
          <w:szCs w:val="24"/>
        </w:rPr>
        <w:t xml:space="preserve">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59.</w:t>
      </w:r>
      <w:r>
        <w:tab/>
      </w:r>
      <w:r>
        <w:rPr>
          <w:rFonts w:ascii="휴먼명조" w:eastAsia="휴먼명조" w:hint="eastAsia"/>
          <w:sz w:val="24"/>
          <w:szCs w:val="24"/>
        </w:rPr>
        <w:t>돌봄 상황에서 특히 완화 의료를 포함한 적절한 의료의 부재하거나 가용성이 낮은</w:t>
      </w:r>
      <w:r w:rsidR="00306DE7">
        <w:rPr>
          <w:rFonts w:ascii="휴먼명조" w:eastAsia="휴먼명조" w:hint="eastAsia"/>
          <w:sz w:val="24"/>
          <w:szCs w:val="24"/>
        </w:rPr>
        <w:t xml:space="preserve"> </w:t>
      </w:r>
      <w:r>
        <w:rPr>
          <w:rFonts w:ascii="휴먼명조" w:eastAsia="휴먼명조" w:hint="eastAsia"/>
          <w:sz w:val="24"/>
          <w:szCs w:val="24"/>
        </w:rPr>
        <w:t xml:space="preserve">점 역시 </w:t>
      </w:r>
      <w:proofErr w:type="spellStart"/>
      <w:r>
        <w:rPr>
          <w:rFonts w:ascii="휴먼명조" w:eastAsia="휴먼명조" w:hint="eastAsia"/>
          <w:sz w:val="24"/>
          <w:szCs w:val="24"/>
        </w:rPr>
        <w:t>우려스럽다</w:t>
      </w:r>
      <w:proofErr w:type="spellEnd"/>
      <w:r>
        <w:rPr>
          <w:rFonts w:ascii="휴먼명조" w:eastAsia="휴먼명조" w:hint="eastAsia"/>
          <w:sz w:val="24"/>
          <w:szCs w:val="24"/>
        </w:rPr>
        <w:t>. 완화 치료 및 통증 완화의 거부는 국제 및 지역 전문가가 인지하듯 인권 침해에 해당한다.</w:t>
      </w:r>
      <w:r w:rsidR="00C76EFD">
        <w:rPr>
          <w:rStyle w:val="a7"/>
          <w:rFonts w:ascii="휴먼명조" w:eastAsia="휴먼명조"/>
          <w:sz w:val="24"/>
          <w:szCs w:val="24"/>
        </w:rPr>
        <w:footnoteReference w:id="92"/>
      </w:r>
      <w:r>
        <w:rPr>
          <w:rFonts w:ascii="휴먼명조" w:eastAsia="휴먼명조" w:hint="eastAsia"/>
          <w:sz w:val="24"/>
          <w:szCs w:val="24"/>
        </w:rPr>
        <w:t xml:space="preserve"> 열악한 또는 제한된 의료와 필수 의약품 및 기타 지원에 대한 제한된 접근은 코로나 19 봉쇄기간동안 더욱 악화되었으며, 돌봄 시설에서 자유를 박탈당한 노인에게 </w:t>
      </w:r>
      <w:proofErr w:type="spellStart"/>
      <w:r>
        <w:rPr>
          <w:rFonts w:ascii="휴먼명조" w:eastAsia="휴먼명조" w:hint="eastAsia"/>
          <w:sz w:val="24"/>
          <w:szCs w:val="24"/>
        </w:rPr>
        <w:t>불균형적인</w:t>
      </w:r>
      <w:proofErr w:type="spellEnd"/>
      <w:r>
        <w:rPr>
          <w:rFonts w:ascii="휴먼명조" w:eastAsia="휴먼명조" w:hint="eastAsia"/>
          <w:sz w:val="24"/>
          <w:szCs w:val="24"/>
        </w:rPr>
        <w:t xml:space="preserve"> 영</w:t>
      </w:r>
      <w:r>
        <w:rPr>
          <w:rFonts w:ascii="휴먼명조" w:eastAsia="휴먼명조" w:hint="eastAsia"/>
          <w:sz w:val="24"/>
          <w:szCs w:val="24"/>
        </w:rPr>
        <w:lastRenderedPageBreak/>
        <w:t>향을 미쳤다.</w:t>
      </w:r>
      <w:r w:rsidR="00C76EFD">
        <w:rPr>
          <w:rStyle w:val="a7"/>
          <w:rFonts w:ascii="휴먼명조" w:eastAsia="휴먼명조"/>
          <w:sz w:val="24"/>
          <w:szCs w:val="24"/>
        </w:rPr>
        <w:footnoteReference w:id="93"/>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60.</w:t>
      </w:r>
      <w:r>
        <w:tab/>
      </w:r>
      <w:r>
        <w:rPr>
          <w:rFonts w:ascii="휴먼명조" w:eastAsia="휴먼명조" w:hint="eastAsia"/>
          <w:sz w:val="24"/>
          <w:szCs w:val="24"/>
        </w:rPr>
        <w:t>돌봄 및 건강 관련 시설에서의 자유의 박탈은 노인의 삶의 질과 생활 조건을 현저하게 저해한다. 내부에서 문을 열 수 없는 방에 노인을 가두는 것, 특히 탈의 및 목욕 시 그들의 프라이버시를 존중하지 않는 것, 적절한 난방 및 환기의 부재, 불충분한 음식 및 요실금 제품(비용절감을 위한), 안경, 목발 및 낙상을 예방하기 위한 보행 보조기 등 필요한 보조수단의 제거와 같은 여러 상황에서 입소자의 존엄성, 사생활, 자율성 및 참여에 대한 권리에 관해 심각한 우려가 제기되었다.</w:t>
      </w:r>
      <w:r w:rsidR="0033588E">
        <w:rPr>
          <w:rStyle w:val="a7"/>
          <w:rFonts w:ascii="휴먼명조" w:eastAsia="휴먼명조"/>
          <w:sz w:val="24"/>
          <w:szCs w:val="24"/>
        </w:rPr>
        <w:footnoteReference w:id="94"/>
      </w:r>
    </w:p>
    <w:p w:rsidR="009E6F5F" w:rsidRDefault="009E6F5F" w:rsidP="009E6F5F">
      <w:pPr>
        <w:pStyle w:val="a4"/>
        <w:spacing w:line="372" w:lineRule="auto"/>
        <w:ind w:left="596"/>
        <w:rPr>
          <w:sz w:val="24"/>
          <w:szCs w:val="24"/>
        </w:rPr>
      </w:pPr>
    </w:p>
    <w:p w:rsidR="009E6F5F" w:rsidRDefault="009E6F5F" w:rsidP="00306DE7">
      <w:pPr>
        <w:pStyle w:val="a4"/>
        <w:spacing w:line="372" w:lineRule="auto"/>
        <w:ind w:left="596"/>
        <w:rPr>
          <w:rFonts w:ascii="휴먼명조" w:eastAsia="휴먼명조"/>
          <w:sz w:val="24"/>
          <w:szCs w:val="24"/>
        </w:rPr>
      </w:pPr>
      <w:r>
        <w:rPr>
          <w:rFonts w:ascii="휴먼명조" w:eastAsia="휴먼명조" w:hint="eastAsia"/>
          <w:sz w:val="24"/>
          <w:szCs w:val="24"/>
        </w:rPr>
        <w:t>61.</w:t>
      </w:r>
      <w:r>
        <w:tab/>
      </w:r>
      <w:r>
        <w:rPr>
          <w:rFonts w:ascii="휴먼명조" w:eastAsia="휴먼명조" w:hint="eastAsia"/>
          <w:sz w:val="24"/>
          <w:szCs w:val="24"/>
        </w:rPr>
        <w:t>사회적 고립 및 외로움은 돌봄 시설 내 자유를 박탈당한 노인에게서 흔히 찾아볼 수 있으며 이는 스트레스, 불안 및 우울의 위험을 높인다. 코로나 19 유행 초기 단계부터 접촉제한, 격리 및 고립이 돌봄 시설 내 노인의 건강과 웰빙에 미치는 파괴적 영향이 보고되었다.</w:t>
      </w:r>
      <w:r w:rsidR="008046C4">
        <w:rPr>
          <w:rStyle w:val="a7"/>
          <w:rFonts w:ascii="휴먼명조" w:eastAsia="휴먼명조"/>
          <w:sz w:val="24"/>
          <w:szCs w:val="24"/>
        </w:rPr>
        <w:footnoteReference w:id="95"/>
      </w:r>
      <w:r>
        <w:rPr>
          <w:rFonts w:ascii="휴먼명조" w:eastAsia="휴먼명조" w:hint="eastAsia"/>
          <w:sz w:val="24"/>
          <w:szCs w:val="24"/>
        </w:rPr>
        <w:t xml:space="preserve"> 파트너의 하룻밤 방문을 허용하지 않거나 커플이 함께 생활할 수 있도록 허용하지 않는 것은 그들의 사회적 고립 및 외로움을 악화시킬 수 있다.</w:t>
      </w:r>
      <w:r w:rsidR="008046C4">
        <w:rPr>
          <w:rStyle w:val="a7"/>
          <w:rFonts w:ascii="휴먼명조" w:eastAsia="휴먼명조"/>
          <w:sz w:val="24"/>
          <w:szCs w:val="24"/>
        </w:rPr>
        <w:footnoteReference w:id="96"/>
      </w:r>
    </w:p>
    <w:p w:rsidR="008046C4" w:rsidRPr="00306DE7" w:rsidRDefault="008046C4" w:rsidP="00306DE7">
      <w:pPr>
        <w:pStyle w:val="a4"/>
        <w:spacing w:line="372" w:lineRule="auto"/>
        <w:ind w:left="596"/>
      </w:pPr>
    </w:p>
    <w:p w:rsidR="009E6F5F" w:rsidRDefault="009E6F5F" w:rsidP="009E6F5F">
      <w:pPr>
        <w:pStyle w:val="a4"/>
        <w:spacing w:line="372" w:lineRule="auto"/>
        <w:ind w:left="596"/>
      </w:pPr>
      <w:r>
        <w:rPr>
          <w:rFonts w:ascii="휴먼명조" w:eastAsia="휴먼명조" w:hint="eastAsia"/>
          <w:sz w:val="24"/>
          <w:szCs w:val="24"/>
        </w:rPr>
        <w:t>62.</w:t>
      </w:r>
      <w:r>
        <w:tab/>
      </w:r>
      <w:r>
        <w:rPr>
          <w:rFonts w:ascii="휴먼명조" w:eastAsia="휴먼명조" w:hint="eastAsia"/>
          <w:sz w:val="24"/>
          <w:szCs w:val="24"/>
        </w:rPr>
        <w:t>일부 시설에서는 불만 제기 메커니즘을 통해 부당한 대우를 신고할 수 있지만, 노인은 자신이 처한 상황 또는 그들이 받는 대우에 대해 불만을 제기하거나 권리를 주장할 가능성이 낮다.</w:t>
      </w:r>
      <w:r w:rsidR="008046C4">
        <w:rPr>
          <w:rStyle w:val="a7"/>
          <w:rFonts w:ascii="휴먼명조" w:eastAsia="휴먼명조"/>
          <w:sz w:val="24"/>
          <w:szCs w:val="24"/>
        </w:rPr>
        <w:footnoteReference w:id="97"/>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63.</w:t>
      </w:r>
      <w:r>
        <w:tab/>
      </w:r>
      <w:r>
        <w:rPr>
          <w:rFonts w:ascii="휴먼명조" w:eastAsia="휴먼명조" w:hint="eastAsia"/>
          <w:sz w:val="24"/>
          <w:szCs w:val="24"/>
        </w:rPr>
        <w:t>노인의 시설화라는 전통이 없고 주로 공동체 또는 가족 구성원이 노</w:t>
      </w:r>
      <w:r>
        <w:rPr>
          <w:rFonts w:ascii="휴먼명조" w:eastAsia="휴먼명조" w:hint="eastAsia"/>
          <w:sz w:val="24"/>
          <w:szCs w:val="24"/>
        </w:rPr>
        <w:lastRenderedPageBreak/>
        <w:t>인을 돌보는 국가의 경우 노인이 직면하는 문제는 다른 양상을 띨 수 있다.</w:t>
      </w:r>
      <w:r w:rsidR="008046C4">
        <w:rPr>
          <w:rStyle w:val="a7"/>
          <w:rFonts w:ascii="휴먼명조" w:eastAsia="휴먼명조"/>
          <w:sz w:val="24"/>
          <w:szCs w:val="24"/>
        </w:rPr>
        <w:footnoteReference w:id="98"/>
      </w:r>
      <w:r>
        <w:rPr>
          <w:rFonts w:ascii="휴먼명조" w:eastAsia="휴먼명조" w:hint="eastAsia"/>
          <w:sz w:val="24"/>
          <w:szCs w:val="24"/>
        </w:rPr>
        <w:t xml:space="preserve"> 그러나 시설화는 노인이 제한된 선택 및 통제, 낮거나 부적절한 수준의 지원 및 학대와 폭력의 위험에 노출된 경우 공동체 기반 서비스 또는 가족 내 환경에서도 되풀이될 수 있다.</w:t>
      </w:r>
      <w:r w:rsidR="008046C4">
        <w:rPr>
          <w:rStyle w:val="a7"/>
          <w:rFonts w:ascii="휴먼명조" w:eastAsia="휴먼명조"/>
          <w:sz w:val="24"/>
          <w:szCs w:val="24"/>
        </w:rPr>
        <w:footnoteReference w:id="99"/>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64.</w:t>
      </w:r>
      <w:r>
        <w:tab/>
      </w:r>
      <w:r>
        <w:rPr>
          <w:rFonts w:ascii="휴먼명조" w:eastAsia="휴먼명조" w:hint="eastAsia"/>
          <w:sz w:val="24"/>
          <w:szCs w:val="24"/>
        </w:rPr>
        <w:t>다수의 국가에서 가정과 가족의 돌봄이 여전히 돌봄의 주된 원천이며, 종종 가족 구성원은 자식으로서 나이 든 친척을 돌봐야 할 의무를 진다고 문화적으로 여겨</w:t>
      </w:r>
      <w:r w:rsidR="00306DE7">
        <w:rPr>
          <w:rFonts w:ascii="휴먼명조" w:eastAsia="휴먼명조" w:hint="eastAsia"/>
          <w:sz w:val="24"/>
          <w:szCs w:val="24"/>
        </w:rPr>
        <w:t xml:space="preserve"> </w:t>
      </w:r>
      <w:r>
        <w:rPr>
          <w:rFonts w:ascii="휴먼명조" w:eastAsia="휴먼명조" w:hint="eastAsia"/>
          <w:sz w:val="24"/>
          <w:szCs w:val="24"/>
        </w:rPr>
        <w:t>지기도 한다. 국가가 가정에 적절한 지원 서비스를 제공하지 못함으로 인해, 가정 내 돌봄을 받는 노인, 특히 지적 또는 신체적 장애를 가지고 도움이 필요한 이들이 인권침해의 위험에 놓여있다. 일부 국가의 경우 가정 내 노인의 자유 박탈과 관련된 상황에서 법적 개입을 신청하는 것이 가능하다.</w:t>
      </w:r>
      <w:r w:rsidR="008046C4">
        <w:rPr>
          <w:rStyle w:val="a7"/>
          <w:rFonts w:ascii="휴먼명조" w:eastAsia="휴먼명조"/>
          <w:sz w:val="24"/>
          <w:szCs w:val="24"/>
        </w:rPr>
        <w:footnoteReference w:id="100"/>
      </w:r>
      <w:r>
        <w:rPr>
          <w:rFonts w:ascii="휴먼명조" w:eastAsia="휴먼명조" w:hint="eastAsia"/>
          <w:sz w:val="24"/>
          <w:szCs w:val="24"/>
        </w:rPr>
        <w:t xml:space="preserve"> 그러나 이러한 경우 가정 또는 가족 내 돌봄의 상황에서의 인용 가능성에 대한 구체적 규제 및 국가 메커니즘의 관리 감독이 부족하고 이는 노인에 대한 더욱 심각한 인권침해를 일으킬 수 있다. </w:t>
      </w:r>
    </w:p>
    <w:p w:rsidR="009E6F5F" w:rsidRDefault="009E6F5F" w:rsidP="009E6F5F">
      <w:pPr>
        <w:pStyle w:val="a4"/>
        <w:spacing w:line="372" w:lineRule="auto"/>
        <w:ind w:left="596"/>
        <w:rPr>
          <w:sz w:val="24"/>
          <w:szCs w:val="24"/>
        </w:rPr>
      </w:pPr>
    </w:p>
    <w:p w:rsidR="009E6F5F" w:rsidRDefault="009E6F5F" w:rsidP="00C508D1">
      <w:pPr>
        <w:pStyle w:val="a4"/>
        <w:spacing w:line="372" w:lineRule="auto"/>
        <w:ind w:left="596"/>
      </w:pPr>
      <w:r>
        <w:rPr>
          <w:rFonts w:ascii="휴먼명조" w:eastAsia="휴먼명조" w:hint="eastAsia"/>
          <w:sz w:val="24"/>
          <w:szCs w:val="24"/>
        </w:rPr>
        <w:t>65.</w:t>
      </w:r>
      <w:r>
        <w:tab/>
      </w:r>
      <w:r>
        <w:rPr>
          <w:rFonts w:ascii="휴먼명조" w:eastAsia="휴먼명조" w:hint="eastAsia"/>
          <w:sz w:val="24"/>
          <w:szCs w:val="24"/>
        </w:rPr>
        <w:t>어떤 경우에는 치매를 앓는 노인이 장기간 밀폐된 공간에서 지내거나, 방에 갇히거나, 뒤뜰의 나무에 묶이거나 그들을 억제하기 위해 집안에서 약을 먹도록 강요되기도 한다.</w:t>
      </w:r>
      <w:r w:rsidR="008046C4">
        <w:rPr>
          <w:rStyle w:val="a7"/>
          <w:rFonts w:ascii="휴먼명조" w:eastAsia="휴먼명조"/>
          <w:sz w:val="24"/>
          <w:szCs w:val="24"/>
        </w:rPr>
        <w:footnoteReference w:id="101"/>
      </w:r>
      <w:r>
        <w:rPr>
          <w:rFonts w:ascii="휴먼명조" w:eastAsia="휴먼명조" w:hint="eastAsia"/>
          <w:sz w:val="24"/>
          <w:szCs w:val="24"/>
        </w:rPr>
        <w:t xml:space="preserve"> 노인은 돌봄 제공자로부터 부당한 대우, 방치 또는 학대를 경험하거나 극도로 비위생적인 상황에서 생활하거나 적절한 의료적 지원과 도움을 받지 못할 위험이 크다. 가족 구성원이 돌봄을 제공할 수 없는 경우, 그들은 종종 이주민을 돌봄 노동자로 고용한다. 이러한 노동자들은 경제적으로 착취될 수 있고, 자신이 돌보는 노인과 동일한 언어를 구사하지 못할 수 있으며, 노인을 위한 지원 및 돌봄 제공에 대한 적절한 교육을 받지 못하</w:t>
      </w:r>
      <w:r>
        <w:rPr>
          <w:rFonts w:ascii="휴먼명조" w:eastAsia="휴먼명조" w:hint="eastAsia"/>
          <w:sz w:val="24"/>
          <w:szCs w:val="24"/>
        </w:rPr>
        <w:lastRenderedPageBreak/>
        <w:t>거나 지식이 없을 수 있다.</w:t>
      </w:r>
      <w:r w:rsidR="008046C4">
        <w:rPr>
          <w:rStyle w:val="a7"/>
          <w:rFonts w:ascii="휴먼명조" w:eastAsia="휴먼명조"/>
          <w:sz w:val="24"/>
          <w:szCs w:val="24"/>
        </w:rPr>
        <w:footnoteReference w:id="102"/>
      </w:r>
      <w:r>
        <w:rPr>
          <w:rFonts w:ascii="휴먼명조" w:eastAsia="휴먼명조" w:hint="eastAsia"/>
          <w:sz w:val="24"/>
          <w:szCs w:val="24"/>
        </w:rPr>
        <w:t xml:space="preserve"> </w:t>
      </w:r>
    </w:p>
    <w:p w:rsidR="00C508D1" w:rsidRPr="00C508D1" w:rsidRDefault="00C508D1" w:rsidP="00C508D1">
      <w:pPr>
        <w:pStyle w:val="a4"/>
        <w:spacing w:line="372" w:lineRule="auto"/>
        <w:ind w:left="596"/>
      </w:pPr>
    </w:p>
    <w:p w:rsidR="009E6F5F" w:rsidRDefault="009E6F5F" w:rsidP="009E6F5F">
      <w:pPr>
        <w:pStyle w:val="a4"/>
        <w:spacing w:line="372" w:lineRule="auto"/>
        <w:ind w:left="596"/>
      </w:pPr>
      <w:r>
        <w:rPr>
          <w:rFonts w:ascii="휴먼명조" w:eastAsia="휴먼명조" w:hint="eastAsia"/>
          <w:sz w:val="24"/>
          <w:szCs w:val="24"/>
        </w:rPr>
        <w:t>66.</w:t>
      </w:r>
      <w:r>
        <w:tab/>
      </w:r>
      <w:r>
        <w:rPr>
          <w:rFonts w:ascii="휴먼명조" w:eastAsia="휴먼명조" w:hint="eastAsia"/>
          <w:sz w:val="24"/>
          <w:szCs w:val="24"/>
        </w:rPr>
        <w:t>자유를 박탈당한 노인에 대한 데이터는 다수의 국가에서 희소하고 가용하지 않는다. 일부 라틴아메리카 국가의 경우 노인 중 30%가 자신의 의지에 반해 돌봄 시설에서 생활하고 있다.</w:t>
      </w:r>
      <w:r w:rsidR="00341E60">
        <w:rPr>
          <w:rStyle w:val="a7"/>
          <w:rFonts w:ascii="휴먼명조" w:eastAsia="휴먼명조"/>
          <w:sz w:val="24"/>
          <w:szCs w:val="24"/>
        </w:rPr>
        <w:footnoteReference w:id="103"/>
      </w:r>
      <w:r>
        <w:rPr>
          <w:rFonts w:ascii="휴먼명조" w:eastAsia="휴먼명조" w:hint="eastAsia"/>
          <w:sz w:val="24"/>
          <w:szCs w:val="24"/>
        </w:rPr>
        <w:t xml:space="preserve"> 유럽의 경우, 한 국가에서 85세 이상 인구의 6%가량이 돌봄 시설 또는 병원에서 허용된 자유 박탈의 대상이 되었다고 보고했다.</w:t>
      </w:r>
      <w:r w:rsidR="00341E60">
        <w:rPr>
          <w:rStyle w:val="a7"/>
          <w:rFonts w:ascii="휴먼명조" w:eastAsia="휴먼명조"/>
          <w:sz w:val="24"/>
          <w:szCs w:val="24"/>
        </w:rPr>
        <w:footnoteReference w:id="104"/>
      </w:r>
      <w:r>
        <w:rPr>
          <w:rFonts w:ascii="휴먼명조" w:eastAsia="휴먼명조" w:hint="eastAsia"/>
          <w:sz w:val="24"/>
          <w:szCs w:val="24"/>
        </w:rPr>
        <w:t xml:space="preserve"> 자유를 박탈당한 노인의 상황을 사안별로 평가 및 결정하기 위한 감시 메커니즘을 이행하는 법률과 정책이 부재하다면 그러한 정보는 여전히 비가시적일 것이다. </w:t>
      </w:r>
    </w:p>
    <w:p w:rsidR="009E6F5F" w:rsidRDefault="009E6F5F" w:rsidP="009E6F5F">
      <w:pPr>
        <w:pStyle w:val="a4"/>
        <w:spacing w:line="372" w:lineRule="auto"/>
        <w:rPr>
          <w:sz w:val="24"/>
          <w:szCs w:val="24"/>
        </w:rPr>
      </w:pPr>
    </w:p>
    <w:p w:rsidR="009E6F5F" w:rsidRDefault="009E6F5F" w:rsidP="009E6F5F">
      <w:pPr>
        <w:pStyle w:val="a4"/>
        <w:spacing w:line="372" w:lineRule="auto"/>
      </w:pPr>
      <w:r>
        <w:rPr>
          <w:rFonts w:ascii="휴먼명조" w:eastAsia="휴먼명조" w:hint="eastAsia"/>
          <w:b/>
          <w:bCs/>
          <w:sz w:val="28"/>
          <w:szCs w:val="28"/>
        </w:rPr>
        <w:t>D.</w:t>
      </w:r>
      <w:r>
        <w:tab/>
      </w:r>
      <w:r>
        <w:rPr>
          <w:rFonts w:ascii="휴먼명조" w:eastAsia="휴먼명조" w:hint="eastAsia"/>
          <w:b/>
          <w:bCs/>
          <w:sz w:val="28"/>
          <w:szCs w:val="28"/>
        </w:rPr>
        <w:t>자유를 박탈당한 노인의 인권 보호</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67.</w:t>
      </w:r>
      <w:r>
        <w:tab/>
      </w:r>
      <w:r>
        <w:rPr>
          <w:rFonts w:ascii="휴먼명조" w:eastAsia="휴먼명조" w:hint="eastAsia"/>
          <w:sz w:val="24"/>
          <w:szCs w:val="24"/>
        </w:rPr>
        <w:t xml:space="preserve">독립전문가는 본 보고서를 작성하며 자유를 박탈당한 또는 박탈당할 위험에 놓인 노인의 인권 보호를 위한 여러 희망적인 관행을 발견했다. </w:t>
      </w:r>
    </w:p>
    <w:p w:rsidR="009E6F5F" w:rsidRDefault="009E6F5F" w:rsidP="009E6F5F">
      <w:pPr>
        <w:pStyle w:val="a4"/>
        <w:spacing w:line="372" w:lineRule="auto"/>
        <w:rPr>
          <w:sz w:val="24"/>
          <w:szCs w:val="24"/>
        </w:rPr>
      </w:pPr>
    </w:p>
    <w:p w:rsidR="009E6F5F" w:rsidRDefault="009E6F5F" w:rsidP="009E6F5F">
      <w:pPr>
        <w:pStyle w:val="a4"/>
        <w:spacing w:line="372" w:lineRule="auto"/>
      </w:pPr>
      <w:r>
        <w:rPr>
          <w:rFonts w:ascii="휴먼명조" w:eastAsia="휴먼명조" w:hint="eastAsia"/>
          <w:b/>
          <w:bCs/>
          <w:sz w:val="26"/>
          <w:szCs w:val="26"/>
        </w:rPr>
        <w:t>1.</w:t>
      </w:r>
      <w:r>
        <w:tab/>
      </w:r>
      <w:r>
        <w:rPr>
          <w:rFonts w:ascii="휴먼명조" w:eastAsia="휴먼명조" w:hint="eastAsia"/>
          <w:b/>
          <w:bCs/>
          <w:sz w:val="26"/>
          <w:szCs w:val="26"/>
        </w:rPr>
        <w:t>법률 및 정책 개혁</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68.</w:t>
      </w:r>
      <w:r>
        <w:tab/>
      </w:r>
      <w:r>
        <w:rPr>
          <w:rFonts w:ascii="휴먼명조" w:eastAsia="휴먼명조" w:hint="eastAsia"/>
          <w:sz w:val="24"/>
          <w:szCs w:val="24"/>
        </w:rPr>
        <w:t>노인에 대한 포괄적인 국제인권 규범의 부재로 인해 국가의 법적 및 정치적 체계가 종종 노인의 필요성을 효과적으로 해결하지 못하곤 한다. 독립전문가는 많은 국가에 자유의 박탈을 규제하는 법과 정책이 있지만 대부분은 노인의 상황에 주의를 기울이지 않음에 주목했다.</w:t>
      </w:r>
      <w:r w:rsidR="00341E60">
        <w:rPr>
          <w:rStyle w:val="a7"/>
          <w:rFonts w:ascii="휴먼명조" w:eastAsia="휴먼명조"/>
          <w:sz w:val="24"/>
          <w:szCs w:val="24"/>
        </w:rPr>
        <w:footnoteReference w:id="105"/>
      </w:r>
      <w:r>
        <w:rPr>
          <w:rFonts w:ascii="휴먼명조" w:eastAsia="휴먼명조" w:hint="eastAsia"/>
          <w:sz w:val="24"/>
          <w:szCs w:val="24"/>
        </w:rPr>
        <w:t xml:space="preserve"> 노인은 그들이 자유를 박탈당한 상황에도 불구하고 법과 정책의 고안 및 이해에서 그들의 필요가 고려되지 않는다면 모든 범주의 인권침해의 위험에 놓일 수 있다.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69.</w:t>
      </w:r>
      <w:r>
        <w:tab/>
      </w:r>
      <w:r>
        <w:rPr>
          <w:rFonts w:ascii="휴먼명조" w:eastAsia="휴먼명조" w:hint="eastAsia"/>
          <w:sz w:val="24"/>
          <w:szCs w:val="24"/>
        </w:rPr>
        <w:t>시설화가 일반적인 일부 국가의 경우 노인, 특히 돌봄 및 지원 시설에서 사실상 자유를 박탈당하고 동의 능력이 부족하다고 여겨지는 장애가 있는 노인의 자유권을 보호하기 위한 법과 규정이 채택되었다. 이러한 법률 중 일부는 가정에서, 가족과 함께 또는 공동체 내에서 생활하는 노인을 위한 돌봄과 같은 상황에도 적용될 수 있다.</w:t>
      </w:r>
      <w:r w:rsidR="00341E60">
        <w:rPr>
          <w:rStyle w:val="a7"/>
          <w:rFonts w:ascii="휴먼명조" w:eastAsia="휴먼명조"/>
          <w:sz w:val="24"/>
          <w:szCs w:val="24"/>
        </w:rPr>
        <w:footnoteReference w:id="106"/>
      </w:r>
      <w:r>
        <w:rPr>
          <w:rFonts w:ascii="휴먼명조" w:eastAsia="휴먼명조" w:hint="eastAsia"/>
          <w:sz w:val="24"/>
          <w:szCs w:val="24"/>
        </w:rPr>
        <w:t xml:space="preserve"> 논란의 여지가 많고 불충분한 이러한 ‘안전장치’ 법 및 규제는 연령 또는 장애를 바탕으로 개인의 자유 박탈을 합법화할 수 있는 권한으로 이해되기에 중요한 사회적 및 법적 도전을 나타낸다.</w:t>
      </w:r>
      <w:r w:rsidR="00341E60">
        <w:rPr>
          <w:rStyle w:val="a7"/>
          <w:rFonts w:ascii="휴먼명조" w:eastAsia="휴먼명조"/>
          <w:sz w:val="24"/>
          <w:szCs w:val="24"/>
        </w:rPr>
        <w:footnoteReference w:id="107"/>
      </w:r>
      <w:r>
        <w:rPr>
          <w:rFonts w:ascii="휴먼명조" w:eastAsia="휴먼명조" w:hint="eastAsia"/>
          <w:sz w:val="24"/>
          <w:szCs w:val="24"/>
        </w:rPr>
        <w:t xml:space="preserve"> 이러한 법은 자유의 박탈과 강제적 돌봄 및 의료적 개입을 가능하게 하며 장애인권리협약을 포함한 국제인권기준에 위배된다. 노인의 돌봄 및 지원에 영향을 미치는 결정을 함에 있어 노인의 자율성, 독립성 및 행위능력을 존중하는 것이 중요하다.</w:t>
      </w:r>
      <w:r w:rsidR="00341E60">
        <w:rPr>
          <w:rStyle w:val="a7"/>
          <w:rFonts w:ascii="휴먼명조" w:eastAsia="휴먼명조"/>
          <w:sz w:val="24"/>
          <w:szCs w:val="24"/>
        </w:rPr>
        <w:footnoteReference w:id="108"/>
      </w:r>
      <w:r>
        <w:rPr>
          <w:rFonts w:ascii="휴먼명조" w:eastAsia="휴먼명조" w:hint="eastAsia"/>
          <w:sz w:val="24"/>
          <w:szCs w:val="24"/>
        </w:rPr>
        <w:t xml:space="preserve">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70.</w:t>
      </w:r>
      <w:r>
        <w:tab/>
      </w:r>
      <w:r>
        <w:rPr>
          <w:rFonts w:ascii="휴먼명조" w:eastAsia="휴먼명조" w:hint="eastAsia"/>
          <w:sz w:val="24"/>
          <w:szCs w:val="24"/>
        </w:rPr>
        <w:t>노인이 형사사법제도 내에 구금된 경우, 국가는 그들의 인권을 보호하고 안전을 보장해야 할 의무를 진다. 일부 국가의 사례에서 보듯 합법적으로 자유를 박탈당한 노인의 특별한 필요를 충족하기 위해 국제 인권 기준에 부합하는 헌법적 및 법률적 연령 관련 조항을 채택하는 것이 좋은 관행이다.</w:t>
      </w:r>
      <w:r w:rsidR="00341E60">
        <w:rPr>
          <w:rStyle w:val="a7"/>
          <w:rFonts w:ascii="휴먼명조" w:eastAsia="휴먼명조"/>
          <w:sz w:val="24"/>
          <w:szCs w:val="24"/>
        </w:rPr>
        <w:footnoteReference w:id="109"/>
      </w:r>
    </w:p>
    <w:p w:rsidR="009E6F5F" w:rsidRDefault="009E6F5F" w:rsidP="009E6F5F">
      <w:pPr>
        <w:pStyle w:val="a4"/>
        <w:spacing w:line="372" w:lineRule="auto"/>
        <w:rPr>
          <w:sz w:val="24"/>
          <w:szCs w:val="24"/>
        </w:rPr>
      </w:pPr>
    </w:p>
    <w:p w:rsidR="009E6F5F" w:rsidRDefault="009E6F5F" w:rsidP="000D3EAB">
      <w:pPr>
        <w:pStyle w:val="a4"/>
        <w:spacing w:line="372" w:lineRule="auto"/>
        <w:rPr>
          <w:rFonts w:ascii="휴먼명조" w:eastAsia="휴먼명조"/>
          <w:b/>
          <w:bCs/>
          <w:sz w:val="26"/>
          <w:szCs w:val="26"/>
        </w:rPr>
      </w:pPr>
      <w:r>
        <w:rPr>
          <w:rFonts w:ascii="휴먼명조" w:eastAsia="휴먼명조" w:hint="eastAsia"/>
          <w:b/>
          <w:bCs/>
          <w:sz w:val="26"/>
          <w:szCs w:val="26"/>
        </w:rPr>
        <w:t>2.</w:t>
      </w:r>
      <w:r>
        <w:tab/>
      </w:r>
      <w:r>
        <w:rPr>
          <w:rFonts w:ascii="휴먼명조" w:eastAsia="휴먼명조" w:hint="eastAsia"/>
          <w:b/>
          <w:bCs/>
          <w:sz w:val="26"/>
          <w:szCs w:val="26"/>
        </w:rPr>
        <w:t>자유의 박탈에 대한 대안적 해결책</w:t>
      </w:r>
    </w:p>
    <w:p w:rsidR="00C508D1" w:rsidRPr="000D3EAB" w:rsidRDefault="00C508D1" w:rsidP="000D3EAB">
      <w:pPr>
        <w:pStyle w:val="a4"/>
        <w:spacing w:line="372" w:lineRule="auto"/>
      </w:pPr>
    </w:p>
    <w:p w:rsidR="00C508D1" w:rsidRDefault="009E6F5F" w:rsidP="00C508D1">
      <w:pPr>
        <w:pStyle w:val="a4"/>
        <w:spacing w:line="372" w:lineRule="auto"/>
        <w:ind w:left="596"/>
      </w:pPr>
      <w:r>
        <w:rPr>
          <w:rFonts w:ascii="휴먼명조" w:eastAsia="휴먼명조" w:hint="eastAsia"/>
          <w:sz w:val="24"/>
          <w:szCs w:val="24"/>
        </w:rPr>
        <w:t>71.</w:t>
      </w:r>
      <w:r>
        <w:tab/>
      </w:r>
      <w:r>
        <w:rPr>
          <w:rFonts w:ascii="휴먼명조" w:eastAsia="휴먼명조" w:hint="eastAsia"/>
          <w:sz w:val="24"/>
          <w:szCs w:val="24"/>
        </w:rPr>
        <w:t>국가는 자신의 관할 내 개인의 자유를 보호할 적극적 의무가 있으며 자유의 박탈을 예방하기 위한 조치를 취해야 한다.</w:t>
      </w:r>
      <w:r w:rsidR="00BB28D3">
        <w:rPr>
          <w:rStyle w:val="a7"/>
          <w:rFonts w:ascii="휴먼명조" w:eastAsia="휴먼명조"/>
          <w:sz w:val="24"/>
          <w:szCs w:val="24"/>
        </w:rPr>
        <w:footnoteReference w:id="110"/>
      </w:r>
      <w:r>
        <w:rPr>
          <w:rFonts w:ascii="휴먼명조" w:eastAsia="휴먼명조" w:hint="eastAsia"/>
          <w:sz w:val="24"/>
          <w:szCs w:val="24"/>
        </w:rPr>
        <w:t xml:space="preserve"> 복잡한 요구를 가진 이질적 집단인 노인을 위해 자유의 박탈에 대한 대안이 국가의 조치를 통해 우</w:t>
      </w:r>
      <w:r>
        <w:rPr>
          <w:rFonts w:ascii="휴먼명조" w:eastAsia="휴먼명조" w:hint="eastAsia"/>
          <w:sz w:val="24"/>
          <w:szCs w:val="24"/>
        </w:rPr>
        <w:lastRenderedPageBreak/>
        <w:t xml:space="preserve">선시되고 장려되어야 한다. </w:t>
      </w:r>
    </w:p>
    <w:p w:rsidR="00C508D1" w:rsidRPr="00C508D1" w:rsidRDefault="00C508D1" w:rsidP="00C508D1">
      <w:pPr>
        <w:pStyle w:val="a4"/>
        <w:spacing w:line="372" w:lineRule="auto"/>
        <w:ind w:left="596"/>
      </w:pPr>
    </w:p>
    <w:p w:rsidR="009E6F5F" w:rsidRDefault="009E6F5F" w:rsidP="009E6F5F">
      <w:pPr>
        <w:pStyle w:val="a4"/>
        <w:spacing w:line="372" w:lineRule="auto"/>
        <w:ind w:left="596"/>
      </w:pPr>
      <w:r>
        <w:rPr>
          <w:rFonts w:ascii="휴먼명조" w:eastAsia="휴먼명조" w:hint="eastAsia"/>
          <w:sz w:val="24"/>
          <w:szCs w:val="24"/>
        </w:rPr>
        <w:t>72.</w:t>
      </w:r>
      <w:r>
        <w:tab/>
      </w:r>
      <w:r>
        <w:rPr>
          <w:rFonts w:ascii="휴먼명조" w:eastAsia="휴먼명조" w:hint="eastAsia"/>
          <w:sz w:val="24"/>
          <w:szCs w:val="24"/>
        </w:rPr>
        <w:t>일부 형사사법 상황에서, 노인을 위한 대안을 제공하는 희망적 사례가 존재했는데, 예를 들어 재판 전 또는 경범죄의 경우 70세 이상 노인에 대한 가택연금을 우선시하는 것</w:t>
      </w:r>
      <w:r w:rsidR="00BB28D3">
        <w:rPr>
          <w:rStyle w:val="a7"/>
          <w:rFonts w:ascii="휴먼명조" w:eastAsia="휴먼명조"/>
          <w:sz w:val="24"/>
          <w:szCs w:val="24"/>
        </w:rPr>
        <w:footnoteReference w:id="111"/>
      </w:r>
      <w:r>
        <w:rPr>
          <w:rFonts w:ascii="휴먼명조" w:eastAsia="휴먼명조" w:hint="eastAsia"/>
          <w:sz w:val="24"/>
          <w:szCs w:val="24"/>
        </w:rPr>
        <w:t>, 연령을 포함한 여러 기준을 바탕으로 병원, 가족, 가정 또는 돌봄 시설에서 복역하는 것 (일부 또는 전부)</w:t>
      </w:r>
      <w:r w:rsidR="00BB28D3">
        <w:rPr>
          <w:rStyle w:val="a7"/>
          <w:rFonts w:ascii="휴먼명조" w:eastAsia="휴먼명조"/>
          <w:sz w:val="24"/>
          <w:szCs w:val="24"/>
        </w:rPr>
        <w:footnoteReference w:id="112"/>
      </w:r>
      <w:r>
        <w:rPr>
          <w:rFonts w:ascii="휴먼명조" w:eastAsia="휴먼명조" w:hint="eastAsia"/>
          <w:sz w:val="24"/>
          <w:szCs w:val="24"/>
        </w:rPr>
        <w:t>, 65세 이상 노인에 대한 무기징역을 기각하고 그들의 연령, 교도소에서 보낸 시간 및 건강 상태 등을 바탕으로 사면</w:t>
      </w:r>
      <w:r w:rsidR="00BB28D3">
        <w:rPr>
          <w:rStyle w:val="a7"/>
          <w:rFonts w:ascii="휴먼명조" w:eastAsia="휴먼명조"/>
          <w:sz w:val="24"/>
          <w:szCs w:val="24"/>
        </w:rPr>
        <w:footnoteReference w:id="113"/>
      </w:r>
      <w:r>
        <w:rPr>
          <w:rFonts w:ascii="휴먼명조" w:eastAsia="휴먼명조" w:hint="eastAsia"/>
          <w:sz w:val="24"/>
          <w:szCs w:val="24"/>
        </w:rPr>
        <w:t>, 가석방, 동정적 또는 조기 조건부 석방</w:t>
      </w:r>
      <w:r w:rsidR="00BB28D3">
        <w:rPr>
          <w:rStyle w:val="a7"/>
          <w:rFonts w:ascii="휴먼명조" w:eastAsia="휴먼명조"/>
          <w:sz w:val="24"/>
          <w:szCs w:val="24"/>
        </w:rPr>
        <w:footnoteReference w:id="114"/>
      </w:r>
      <w:r>
        <w:rPr>
          <w:rFonts w:ascii="휴먼명조" w:eastAsia="휴먼명조" w:hint="eastAsia"/>
          <w:sz w:val="24"/>
          <w:szCs w:val="24"/>
        </w:rPr>
        <w:t>을 제공하는 것, 임시 석방, 사면, 경범죄로 유죄판결을 받은 노인을 추적 및 관리하기 위한 전자 감시 등이 포함된다. 연구에 따르면 노인의 경우 석방 이후 또다시 범죄를 저지를 확률이 현저히 낮다.</w:t>
      </w:r>
      <w:r w:rsidR="00BB28D3">
        <w:rPr>
          <w:rStyle w:val="a7"/>
          <w:rFonts w:ascii="휴먼명조" w:eastAsia="휴먼명조"/>
          <w:sz w:val="24"/>
          <w:szCs w:val="24"/>
        </w:rPr>
        <w:footnoteReference w:id="115"/>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73.</w:t>
      </w:r>
      <w:r>
        <w:tab/>
      </w:r>
      <w:r>
        <w:rPr>
          <w:rFonts w:ascii="휴먼명조" w:eastAsia="휴먼명조" w:hint="eastAsia"/>
          <w:sz w:val="24"/>
          <w:szCs w:val="24"/>
        </w:rPr>
        <w:t>지속되는 코로나19의 유행 기간 동안, 그리고 일부 구금시설의 과밀로 인해, 여러 국가가 비구금적 조치를 우선시했으며 고령이 특히 감염될 위험이 높기에 이들의 보호 및 안전을 위해 조기 석방을 허용했다.</w:t>
      </w:r>
      <w:r w:rsidR="00BB28D3">
        <w:rPr>
          <w:rStyle w:val="a7"/>
          <w:rFonts w:ascii="휴먼명조" w:eastAsia="휴먼명조"/>
          <w:sz w:val="24"/>
          <w:szCs w:val="24"/>
        </w:rPr>
        <w:footnoteReference w:id="116"/>
      </w:r>
      <w:r>
        <w:rPr>
          <w:rFonts w:ascii="휴먼명조" w:eastAsia="휴먼명조" w:hint="eastAsia"/>
          <w:sz w:val="24"/>
          <w:szCs w:val="24"/>
        </w:rPr>
        <w:t xml:space="preserve"> 코로나19에 따른 긴급 석방 메커니즘을 검토한 연구에 따르면, 연구에 참여한 53개국 중 38%에서 석방에 있어 노인을 우선하는 연령 기반 조건이 포함됐다.</w:t>
      </w:r>
      <w:r w:rsidR="00BB28D3">
        <w:rPr>
          <w:rStyle w:val="a7"/>
          <w:rFonts w:ascii="휴먼명조" w:eastAsia="휴먼명조"/>
          <w:sz w:val="24"/>
          <w:szCs w:val="24"/>
        </w:rPr>
        <w:footnoteReference w:id="117"/>
      </w:r>
      <w:r>
        <w:rPr>
          <w:rFonts w:ascii="휴먼명조" w:eastAsia="휴먼명조" w:hint="eastAsia"/>
          <w:sz w:val="24"/>
          <w:szCs w:val="24"/>
        </w:rPr>
        <w:t xml:space="preserve"> 아시아 태평양 지역 일부 국가의 경우 나이 든 피구금자가 보호 조치로 인구가 적은 교도소로 옮겨지거나 따로 수용되었다. 그러나 일부 유럽 국가의 경우 고령의 피구금자를 다른 교도소 인구와 오랜 기간 분리하는 것은 그들의 정신건강 및 사회적 통합에 부정적 영향을 미쳤다.</w:t>
      </w:r>
      <w:r w:rsidR="00BB28D3">
        <w:rPr>
          <w:rStyle w:val="a7"/>
          <w:rFonts w:ascii="휴먼명조" w:eastAsia="휴먼명조"/>
          <w:sz w:val="24"/>
          <w:szCs w:val="24"/>
        </w:rPr>
        <w:footnoteReference w:id="118"/>
      </w:r>
      <w:r>
        <w:rPr>
          <w:rFonts w:ascii="휴먼명조" w:eastAsia="휴먼명조" w:hint="eastAsia"/>
          <w:sz w:val="24"/>
          <w:szCs w:val="24"/>
        </w:rPr>
        <w:t xml:space="preserve">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lastRenderedPageBreak/>
        <w:t>74.</w:t>
      </w:r>
      <w:r>
        <w:tab/>
      </w:r>
      <w:r>
        <w:rPr>
          <w:rFonts w:ascii="휴먼명조" w:eastAsia="휴먼명조" w:hint="eastAsia"/>
          <w:sz w:val="24"/>
          <w:szCs w:val="24"/>
        </w:rPr>
        <w:t xml:space="preserve">교도소 내 적절한 의료 제공이 야기하는 과중한 재정적 부담을 고려하여 일부 국가의 교정 당국은 건강상 문제가 있는 </w:t>
      </w:r>
      <w:proofErr w:type="spellStart"/>
      <w:r>
        <w:rPr>
          <w:rFonts w:ascii="휴먼명조" w:eastAsia="휴먼명조" w:hint="eastAsia"/>
          <w:sz w:val="24"/>
          <w:szCs w:val="24"/>
        </w:rPr>
        <w:t>저위험군</w:t>
      </w:r>
      <w:proofErr w:type="spellEnd"/>
      <w:r>
        <w:rPr>
          <w:rFonts w:ascii="휴먼명조" w:eastAsia="휴먼명조" w:hint="eastAsia"/>
          <w:sz w:val="24"/>
          <w:szCs w:val="24"/>
        </w:rPr>
        <w:t xml:space="preserve"> 고령 수감자에 대해 온정적이고 인도적인 석방 조치를 시행하고 있다. 그러한 석방 조치는 사건별로 검토 및 부여되어야 하며, 석방되는 경우 노인은 적절한 의료 및 주거를 얻기 위한 도움을 받을 수 있어야 한다. </w:t>
      </w:r>
      <w:proofErr w:type="spellStart"/>
      <w:r>
        <w:rPr>
          <w:rFonts w:ascii="휴먼명조" w:eastAsia="휴먼명조" w:hint="eastAsia"/>
          <w:sz w:val="24"/>
          <w:szCs w:val="24"/>
        </w:rPr>
        <w:t>중범죄</w:t>
      </w:r>
      <w:proofErr w:type="spellEnd"/>
      <w:r>
        <w:rPr>
          <w:rFonts w:ascii="휴먼명조" w:eastAsia="휴먼명조" w:hint="eastAsia"/>
          <w:sz w:val="24"/>
          <w:szCs w:val="24"/>
        </w:rPr>
        <w:t>(전쟁범죄, 잔혹 행위, 인도에 반하는 죄)로 유죄판결을 받은 노인의 조기 석방이 국제인권법을 저해해서는 안 되며, 그들의 석방은 그들의 건강 상태로 인해 구금이 불가능하다는 사실에 기초해야 한다.</w:t>
      </w:r>
      <w:r w:rsidR="00BB28D3">
        <w:rPr>
          <w:rStyle w:val="a7"/>
          <w:rFonts w:ascii="휴먼명조" w:eastAsia="휴먼명조"/>
          <w:sz w:val="24"/>
          <w:szCs w:val="24"/>
        </w:rPr>
        <w:footnoteReference w:id="119"/>
      </w:r>
      <w:r>
        <w:rPr>
          <w:rFonts w:ascii="휴먼명조" w:eastAsia="휴먼명조" w:hint="eastAsia"/>
          <w:sz w:val="24"/>
          <w:szCs w:val="24"/>
        </w:rPr>
        <w:t xml:space="preserve"> </w:t>
      </w:r>
    </w:p>
    <w:p w:rsidR="009E6F5F" w:rsidRDefault="009E6F5F" w:rsidP="009E6F5F">
      <w:pPr>
        <w:pStyle w:val="a4"/>
        <w:spacing w:line="372" w:lineRule="auto"/>
        <w:ind w:left="596"/>
        <w:rPr>
          <w:sz w:val="24"/>
          <w:szCs w:val="24"/>
        </w:rPr>
      </w:pPr>
    </w:p>
    <w:p w:rsidR="009E6F5F" w:rsidRDefault="009E6F5F" w:rsidP="00BB28D3">
      <w:pPr>
        <w:pStyle w:val="a4"/>
        <w:spacing w:line="372" w:lineRule="auto"/>
        <w:ind w:left="596"/>
        <w:rPr>
          <w:rFonts w:ascii="휴먼명조" w:eastAsia="휴먼명조"/>
          <w:sz w:val="24"/>
          <w:szCs w:val="24"/>
        </w:rPr>
      </w:pPr>
      <w:r>
        <w:rPr>
          <w:rFonts w:ascii="휴먼명조" w:eastAsia="휴먼명조" w:hint="eastAsia"/>
          <w:sz w:val="24"/>
          <w:szCs w:val="24"/>
        </w:rPr>
        <w:t>75.</w:t>
      </w:r>
      <w:r>
        <w:tab/>
      </w:r>
      <w:r>
        <w:rPr>
          <w:rFonts w:ascii="휴먼명조" w:eastAsia="휴먼명조" w:hint="eastAsia"/>
          <w:sz w:val="24"/>
          <w:szCs w:val="24"/>
        </w:rPr>
        <w:t>적절한 재정적 수단을 통한 돌봄 계획의 고안은 노인이 거주 장소를 선택하게 할 수 있고, 그들이 자유를 박탈당하지 않고 존엄한 삶을 누릴 수 있도록 할 수 있다. 이러한 차원에서 “</w:t>
      </w:r>
      <w:proofErr w:type="spellStart"/>
      <w:r>
        <w:rPr>
          <w:rFonts w:ascii="휴먼명조" w:eastAsia="휴먼명조" w:hint="eastAsia"/>
          <w:sz w:val="24"/>
          <w:szCs w:val="24"/>
        </w:rPr>
        <w:t>에이징</w:t>
      </w:r>
      <w:proofErr w:type="spellEnd"/>
      <w:r>
        <w:rPr>
          <w:rFonts w:ascii="휴먼명조" w:eastAsia="휴먼명조" w:hint="eastAsia"/>
          <w:sz w:val="24"/>
          <w:szCs w:val="24"/>
        </w:rPr>
        <w:t xml:space="preserve"> 인 </w:t>
      </w:r>
      <w:proofErr w:type="spellStart"/>
      <w:r>
        <w:rPr>
          <w:rFonts w:ascii="휴먼명조" w:eastAsia="휴먼명조" w:hint="eastAsia"/>
          <w:sz w:val="24"/>
          <w:szCs w:val="24"/>
        </w:rPr>
        <w:t>플레이스</w:t>
      </w:r>
      <w:proofErr w:type="spellEnd"/>
      <w:r>
        <w:rPr>
          <w:rFonts w:ascii="휴먼명조" w:eastAsia="휴먼명조" w:hint="eastAsia"/>
          <w:sz w:val="24"/>
          <w:szCs w:val="24"/>
        </w:rPr>
        <w:t xml:space="preserve">(ageing in place)-내 집에서 나이 </w:t>
      </w:r>
      <w:proofErr w:type="spellStart"/>
      <w:r>
        <w:rPr>
          <w:rFonts w:ascii="휴먼명조" w:eastAsia="휴먼명조" w:hint="eastAsia"/>
          <w:sz w:val="24"/>
          <w:szCs w:val="24"/>
        </w:rPr>
        <w:t>들기”라는</w:t>
      </w:r>
      <w:proofErr w:type="spellEnd"/>
      <w:r>
        <w:rPr>
          <w:rFonts w:ascii="휴먼명조" w:eastAsia="휴먼명조" w:hint="eastAsia"/>
          <w:sz w:val="24"/>
          <w:szCs w:val="24"/>
        </w:rPr>
        <w:t xml:space="preserve"> 개념을 존중해야 하며</w:t>
      </w:r>
      <w:r w:rsidR="00BB28D3">
        <w:rPr>
          <w:rStyle w:val="a7"/>
          <w:rFonts w:ascii="휴먼명조" w:eastAsia="휴먼명조"/>
          <w:sz w:val="24"/>
          <w:szCs w:val="24"/>
        </w:rPr>
        <w:footnoteReference w:id="120"/>
      </w:r>
      <w:r>
        <w:rPr>
          <w:rFonts w:ascii="휴먼명조" w:eastAsia="휴먼명조" w:hint="eastAsia"/>
          <w:sz w:val="24"/>
          <w:szCs w:val="24"/>
        </w:rPr>
        <w:t xml:space="preserve">, 국가는 노인들이 완전하고 정보에 기반한 동의를 바탕으로 자신이 선택한 곳에서 살아갈 수 있도록 적절한 돌봄 및 지원책을 제공해야 할 의무를 갖는다. 노인의 시설화를 점진적으로 종식하고 노인의 자율성 및 독립성을 보장하기 위해 적절한 지원 서비스에 투자하고 노인이 공동체 내에서 독립적으로 살아가며 포용적 사회의 일원이 되도록 하는 것은 건강의 향상과 개인적 및 정서적 필요에 기여하게 될 것이다. </w:t>
      </w:r>
    </w:p>
    <w:p w:rsidR="00C508D1" w:rsidRPr="00BB28D3" w:rsidRDefault="00C508D1" w:rsidP="00BB28D3">
      <w:pPr>
        <w:pStyle w:val="a4"/>
        <w:spacing w:line="372" w:lineRule="auto"/>
        <w:ind w:left="596"/>
      </w:pPr>
    </w:p>
    <w:p w:rsidR="009E6F5F" w:rsidRDefault="009E6F5F" w:rsidP="009E6F5F">
      <w:pPr>
        <w:pStyle w:val="a4"/>
        <w:spacing w:line="372" w:lineRule="auto"/>
        <w:ind w:left="596"/>
      </w:pPr>
      <w:r>
        <w:rPr>
          <w:rFonts w:ascii="휴먼명조" w:eastAsia="휴먼명조" w:hint="eastAsia"/>
          <w:sz w:val="24"/>
          <w:szCs w:val="24"/>
        </w:rPr>
        <w:t>76.</w:t>
      </w:r>
      <w:r>
        <w:tab/>
      </w:r>
      <w:r>
        <w:rPr>
          <w:rFonts w:ascii="휴먼명조" w:eastAsia="휴먼명조" w:hint="eastAsia"/>
          <w:sz w:val="24"/>
          <w:szCs w:val="24"/>
        </w:rPr>
        <w:t xml:space="preserve">많은 노인이 가족 돌봄을 선호하지만, 적절하고 저렴하며 질 좋은 서비스가 가족 구성원 및 비공식 돌봄 제공자에게 제공되어 그들이 자유를 박탈당하는 것을 방지해야 한다. 여기에는 일시적인 간병 서비스, 필요성 평가, 상담 및 조언, 자활 집단 및 실용적 훈련 및 주말 휴식과 노인 및 가족을 위한 통합된 돌봄 계획 수립을 포함한 간병인의 신체적 및 정신적 건강을 보호하기 </w:t>
      </w:r>
      <w:r>
        <w:rPr>
          <w:rFonts w:ascii="휴먼명조" w:eastAsia="휴먼명조" w:hint="eastAsia"/>
          <w:sz w:val="24"/>
          <w:szCs w:val="24"/>
        </w:rPr>
        <w:lastRenderedPageBreak/>
        <w:t>위한 조치에 대한 정보가 포함된다.</w:t>
      </w:r>
      <w:r w:rsidR="00BB28D3">
        <w:rPr>
          <w:rStyle w:val="a7"/>
          <w:rFonts w:ascii="휴먼명조" w:eastAsia="휴먼명조"/>
          <w:sz w:val="24"/>
          <w:szCs w:val="24"/>
        </w:rPr>
        <w:footnoteReference w:id="121"/>
      </w:r>
      <w:r>
        <w:rPr>
          <w:rFonts w:ascii="휴먼명조" w:eastAsia="휴먼명조" w:hint="eastAsia"/>
          <w:sz w:val="24"/>
          <w:szCs w:val="24"/>
        </w:rPr>
        <w:t xml:space="preserve"> 또한 종종 여성과 고령의 여성이 무급으로 수행하는 경우가 많은 돌봄 노동의 과중한 부담을 국가가 인정하고 평가해야 한다.</w:t>
      </w:r>
      <w:r w:rsidR="00BB28D3">
        <w:rPr>
          <w:rStyle w:val="a7"/>
          <w:rFonts w:ascii="휴먼명조" w:eastAsia="휴먼명조"/>
          <w:sz w:val="24"/>
          <w:szCs w:val="24"/>
        </w:rPr>
        <w:footnoteReference w:id="122"/>
      </w:r>
    </w:p>
    <w:p w:rsidR="009E6F5F" w:rsidRDefault="009E6F5F" w:rsidP="009E6F5F">
      <w:pPr>
        <w:pStyle w:val="a4"/>
        <w:spacing w:line="372" w:lineRule="auto"/>
        <w:rPr>
          <w:sz w:val="24"/>
          <w:szCs w:val="24"/>
        </w:rPr>
      </w:pPr>
    </w:p>
    <w:p w:rsidR="009E6F5F" w:rsidRDefault="009E6F5F" w:rsidP="009E6F5F">
      <w:pPr>
        <w:pStyle w:val="a4"/>
        <w:spacing w:line="372" w:lineRule="auto"/>
      </w:pPr>
      <w:r>
        <w:rPr>
          <w:rFonts w:ascii="휴먼명조" w:eastAsia="휴먼명조" w:hint="eastAsia"/>
          <w:b/>
          <w:bCs/>
          <w:sz w:val="26"/>
          <w:szCs w:val="26"/>
        </w:rPr>
        <w:t>3.</w:t>
      </w:r>
      <w:r>
        <w:tab/>
      </w:r>
      <w:r>
        <w:rPr>
          <w:rFonts w:ascii="휴먼명조" w:eastAsia="휴먼명조" w:hint="eastAsia"/>
          <w:b/>
          <w:bCs/>
          <w:sz w:val="26"/>
          <w:szCs w:val="26"/>
        </w:rPr>
        <w:t xml:space="preserve">관행 모니터링 및 사법에의 접근 </w:t>
      </w:r>
    </w:p>
    <w:p w:rsidR="009E6F5F" w:rsidRDefault="009E6F5F" w:rsidP="009E6F5F">
      <w:pPr>
        <w:pStyle w:val="a4"/>
        <w:spacing w:line="372" w:lineRule="auto"/>
        <w:rPr>
          <w:sz w:val="24"/>
          <w:szCs w:val="24"/>
        </w:rPr>
      </w:pPr>
    </w:p>
    <w:p w:rsidR="009E6F5F" w:rsidRDefault="009E6F5F" w:rsidP="009E6F5F">
      <w:pPr>
        <w:pStyle w:val="a4"/>
        <w:spacing w:line="372" w:lineRule="auto"/>
        <w:ind w:left="596"/>
      </w:pPr>
      <w:r>
        <w:rPr>
          <w:rFonts w:ascii="휴먼명조" w:eastAsia="휴먼명조" w:hint="eastAsia"/>
          <w:sz w:val="24"/>
          <w:szCs w:val="24"/>
        </w:rPr>
        <w:t>77.</w:t>
      </w:r>
      <w:r>
        <w:tab/>
      </w:r>
      <w:r>
        <w:rPr>
          <w:rFonts w:ascii="휴먼명조" w:eastAsia="휴먼명조" w:hint="eastAsia"/>
          <w:sz w:val="24"/>
          <w:szCs w:val="24"/>
        </w:rPr>
        <w:t>자유가 박탈된 장소에 대한 독립적인 모니터링은 노인의 권리 보호를 위한 가장 효과적인 예방적 조치 중 하나로 여겨진다.</w:t>
      </w:r>
      <w:r w:rsidR="00BB28D3">
        <w:rPr>
          <w:rStyle w:val="a7"/>
          <w:rFonts w:ascii="휴먼명조" w:eastAsia="휴먼명조"/>
          <w:sz w:val="24"/>
          <w:szCs w:val="24"/>
        </w:rPr>
        <w:footnoteReference w:id="123"/>
      </w:r>
      <w:r>
        <w:rPr>
          <w:rFonts w:ascii="휴먼명조" w:eastAsia="휴먼명조" w:hint="eastAsia"/>
          <w:sz w:val="24"/>
          <w:szCs w:val="24"/>
        </w:rPr>
        <w:t xml:space="preserve"> 노인과의 개인적인 인터뷰 및 모든 관련 문서에 대한 무제한적 접근을 포함한 구금시설에 대한 방문을 통해 국가 예방 메커니즘과 국가인권기구와 같은 독립적 국가 감시 메커니즘은 노인이 처한 상황과 그들이 겪는 대우에 대해 직접적인 증거를 살펴보고 조사할 수 있다. 그러한 메커니즘은 기준과 절차의 결함을 포함하여 노인이 노출된 위험을 파악하고, 권고사항을 제시하며, 보고서를 발행하고 당국과의 건설적 대화에 참여한다.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78.</w:t>
      </w:r>
      <w:r>
        <w:tab/>
      </w:r>
      <w:r>
        <w:rPr>
          <w:rFonts w:ascii="휴먼명조" w:eastAsia="휴먼명조" w:hint="eastAsia"/>
          <w:sz w:val="24"/>
          <w:szCs w:val="24"/>
        </w:rPr>
        <w:t>점점 더 많은 국가가 그러한 메커니즘을 수립하고 있다. 독립전문가는 여러 메커니즘이 연령과 교차성을 그들의 업무에서 고려하고 돌봄 및 건강 관련 기관을 포함하여 노인이 자유를 박탈당할 수 있는 모든 장소를 모니터링함을 주목한다.</w:t>
      </w:r>
      <w:r w:rsidR="00BB28D3">
        <w:rPr>
          <w:rStyle w:val="a7"/>
          <w:rFonts w:ascii="휴먼명조" w:eastAsia="휴먼명조"/>
          <w:sz w:val="24"/>
          <w:szCs w:val="24"/>
        </w:rPr>
        <w:footnoteReference w:id="124"/>
      </w:r>
      <w:r>
        <w:rPr>
          <w:rFonts w:ascii="휴먼명조" w:eastAsia="휴먼명조" w:hint="eastAsia"/>
          <w:sz w:val="24"/>
          <w:szCs w:val="24"/>
        </w:rPr>
        <w:t xml:space="preserve"> 이러한 모니터링은 특히 비구금적 조치가 장려되는 형사</w:t>
      </w:r>
      <w:r w:rsidR="00306DE7">
        <w:rPr>
          <w:rFonts w:ascii="휴먼명조" w:eastAsia="휴먼명조" w:hint="eastAsia"/>
          <w:sz w:val="24"/>
          <w:szCs w:val="24"/>
        </w:rPr>
        <w:t xml:space="preserve"> </w:t>
      </w:r>
      <w:r>
        <w:rPr>
          <w:rFonts w:ascii="휴먼명조" w:eastAsia="휴먼명조" w:hint="eastAsia"/>
          <w:sz w:val="24"/>
          <w:szCs w:val="24"/>
        </w:rPr>
        <w:t>사법</w:t>
      </w:r>
      <w:r w:rsidR="00306DE7">
        <w:rPr>
          <w:rFonts w:ascii="휴먼명조" w:eastAsia="휴먼명조" w:hint="eastAsia"/>
          <w:sz w:val="24"/>
          <w:szCs w:val="24"/>
        </w:rPr>
        <w:t xml:space="preserve"> </w:t>
      </w:r>
      <w:r>
        <w:rPr>
          <w:rFonts w:ascii="휴먼명조" w:eastAsia="휴먼명조" w:hint="eastAsia"/>
          <w:sz w:val="24"/>
          <w:szCs w:val="24"/>
        </w:rPr>
        <w:t>맥락에서 정책, 규제 프레임워크 및 관행에 대한 증거 기반 개선을 가능하게 한다. 코로나19의 유행은 노인의 건강에 대해 높아진 위험으로 인해 그러한 장소로의 방문을 우선시해야 할 필요가 있는 상황을 만들었다. 일부 메커니즘은 구금에 대한 대안적 조치의 사용을 장려하고 노인을 위한 돌봄의 탈시설화의 필요성을 다루었다.</w:t>
      </w:r>
      <w:r w:rsidR="00BB28D3">
        <w:rPr>
          <w:rStyle w:val="a7"/>
          <w:rFonts w:ascii="휴먼명조" w:eastAsia="휴먼명조"/>
          <w:sz w:val="24"/>
          <w:szCs w:val="24"/>
        </w:rPr>
        <w:footnoteReference w:id="125"/>
      </w:r>
    </w:p>
    <w:p w:rsidR="009E6F5F" w:rsidRDefault="009E6F5F" w:rsidP="009E6F5F">
      <w:pPr>
        <w:pStyle w:val="a4"/>
        <w:spacing w:line="372" w:lineRule="auto"/>
        <w:ind w:left="596"/>
        <w:rPr>
          <w:sz w:val="24"/>
          <w:szCs w:val="24"/>
        </w:rPr>
      </w:pPr>
    </w:p>
    <w:p w:rsidR="009E6F5F" w:rsidRDefault="009E6F5F" w:rsidP="00BB28D3">
      <w:pPr>
        <w:pStyle w:val="a4"/>
        <w:spacing w:line="372" w:lineRule="auto"/>
        <w:ind w:left="596"/>
        <w:rPr>
          <w:rFonts w:ascii="휴먼명조" w:eastAsia="휴먼명조"/>
          <w:sz w:val="24"/>
          <w:szCs w:val="24"/>
        </w:rPr>
      </w:pPr>
      <w:r>
        <w:rPr>
          <w:rFonts w:ascii="휴먼명조" w:eastAsia="휴먼명조" w:hint="eastAsia"/>
          <w:sz w:val="24"/>
          <w:szCs w:val="24"/>
        </w:rPr>
        <w:t>79.</w:t>
      </w:r>
      <w:r>
        <w:tab/>
      </w:r>
      <w:r>
        <w:rPr>
          <w:rFonts w:ascii="휴먼명조" w:eastAsia="휴먼명조" w:hint="eastAsia"/>
          <w:sz w:val="24"/>
          <w:szCs w:val="24"/>
        </w:rPr>
        <w:t xml:space="preserve">국가는 국가가 관리하는 기관에서의 인권침해를 예방하고 처벌할 뿐만 아니라 </w:t>
      </w:r>
      <w:proofErr w:type="spellStart"/>
      <w:r>
        <w:rPr>
          <w:rFonts w:ascii="휴먼명조" w:eastAsia="휴먼명조" w:hint="eastAsia"/>
          <w:sz w:val="24"/>
          <w:szCs w:val="24"/>
        </w:rPr>
        <w:t>비국가</w:t>
      </w:r>
      <w:proofErr w:type="spellEnd"/>
      <w:r>
        <w:rPr>
          <w:rFonts w:ascii="휴먼명조" w:eastAsia="휴먼명조" w:hint="eastAsia"/>
          <w:sz w:val="24"/>
          <w:szCs w:val="24"/>
        </w:rPr>
        <w:t xml:space="preserve"> 행위자에 의한 그러한 권리의 위반으로부터 노인을 보호하기 위해 모든 필요한 조치를 취해야 할 의무를 진다.</w:t>
      </w:r>
      <w:r w:rsidR="00BB28D3">
        <w:rPr>
          <w:rStyle w:val="a7"/>
          <w:rFonts w:ascii="휴먼명조" w:eastAsia="휴먼명조"/>
          <w:sz w:val="24"/>
          <w:szCs w:val="24"/>
        </w:rPr>
        <w:footnoteReference w:id="126"/>
      </w:r>
      <w:r>
        <w:rPr>
          <w:rFonts w:ascii="휴먼명조" w:eastAsia="휴먼명조" w:hint="eastAsia"/>
          <w:sz w:val="24"/>
          <w:szCs w:val="24"/>
        </w:rPr>
        <w:t xml:space="preserve"> 이들은 자의적 구금, 고문 및 부당한 대우를 포함하여 생명권과 같은 노인의 권리에 대한 모든 침해 의혹과 민간 기업에 의한 위반을 조사해야 한다.</w:t>
      </w:r>
      <w:r w:rsidR="00BB28D3">
        <w:rPr>
          <w:rStyle w:val="a7"/>
          <w:rFonts w:ascii="휴먼명조" w:eastAsia="휴먼명조"/>
          <w:sz w:val="24"/>
          <w:szCs w:val="24"/>
        </w:rPr>
        <w:footnoteReference w:id="127"/>
      </w:r>
      <w:r>
        <w:rPr>
          <w:rFonts w:ascii="휴먼명조" w:eastAsia="휴먼명조" w:hint="eastAsia"/>
          <w:sz w:val="24"/>
          <w:szCs w:val="24"/>
        </w:rPr>
        <w:t xml:space="preserve"> 조사는 효과적이고 즉각적이며 철저하고 공정해야 한다.</w:t>
      </w:r>
      <w:r w:rsidR="00BB28D3">
        <w:rPr>
          <w:rStyle w:val="a7"/>
          <w:rFonts w:ascii="휴먼명조" w:eastAsia="휴먼명조"/>
          <w:sz w:val="24"/>
          <w:szCs w:val="24"/>
        </w:rPr>
        <w:footnoteReference w:id="128"/>
      </w:r>
      <w:r>
        <w:rPr>
          <w:rFonts w:ascii="휴먼명조" w:eastAsia="휴먼명조" w:hint="eastAsia"/>
          <w:sz w:val="24"/>
          <w:szCs w:val="24"/>
        </w:rPr>
        <w:t xml:space="preserve"> 효과적인 책임규명 메커니즘을 통해 노인을 위한 사법 및 정의에 대한 접근을 보장할 수 있다. 돌봄 및 건강 관련 시설은 입소자가 자신의 인권이 침해되었다고 생각하는 경우 진정을 제기할 수 있는 메커니즘을 갖추어야 하며 이는 의료 서비스의 질과 효율성을 향상시키고 고객 만족을 유지할 수 있는 좋은 방법이다.</w:t>
      </w:r>
      <w:r w:rsidR="00BB28D3">
        <w:rPr>
          <w:rStyle w:val="a7"/>
          <w:rFonts w:ascii="휴먼명조" w:eastAsia="휴먼명조"/>
          <w:sz w:val="24"/>
          <w:szCs w:val="24"/>
        </w:rPr>
        <w:footnoteReference w:id="129"/>
      </w:r>
      <w:r>
        <w:rPr>
          <w:rFonts w:ascii="휴먼명조" w:eastAsia="휴먼명조" w:hint="eastAsia"/>
          <w:sz w:val="24"/>
          <w:szCs w:val="24"/>
        </w:rPr>
        <w:t xml:space="preserve"> 요양원 직원에 의한 방임에 책임을 묻지 못해 노인을 사망에 이르게 하는 것은 생명권의 위반에 해당한다.</w:t>
      </w:r>
      <w:r w:rsidR="00BB28D3">
        <w:rPr>
          <w:rStyle w:val="a7"/>
          <w:rFonts w:ascii="휴먼명조" w:eastAsia="휴먼명조"/>
          <w:sz w:val="24"/>
          <w:szCs w:val="24"/>
        </w:rPr>
        <w:footnoteReference w:id="130"/>
      </w:r>
      <w:r>
        <w:rPr>
          <w:rFonts w:ascii="휴먼명조" w:eastAsia="휴먼명조" w:hint="eastAsia"/>
          <w:sz w:val="24"/>
          <w:szCs w:val="24"/>
        </w:rPr>
        <w:t xml:space="preserve"> 이는 형사사법 제도 내에서도 적용되어야 한다. </w:t>
      </w:r>
    </w:p>
    <w:p w:rsidR="00C508D1" w:rsidRPr="00BB28D3" w:rsidRDefault="00C508D1" w:rsidP="00BB28D3">
      <w:pPr>
        <w:pStyle w:val="a4"/>
        <w:spacing w:line="372" w:lineRule="auto"/>
        <w:ind w:left="596"/>
      </w:pPr>
    </w:p>
    <w:p w:rsidR="009E6F5F" w:rsidRDefault="009E6F5F" w:rsidP="00306DE7">
      <w:pPr>
        <w:pStyle w:val="a4"/>
        <w:spacing w:line="372" w:lineRule="auto"/>
        <w:rPr>
          <w:rFonts w:ascii="휴먼명조" w:eastAsia="휴먼명조"/>
          <w:b/>
          <w:bCs/>
          <w:sz w:val="26"/>
          <w:szCs w:val="26"/>
        </w:rPr>
      </w:pPr>
      <w:r>
        <w:rPr>
          <w:rFonts w:ascii="휴먼명조" w:eastAsia="휴먼명조" w:hint="eastAsia"/>
          <w:b/>
          <w:bCs/>
          <w:sz w:val="26"/>
          <w:szCs w:val="26"/>
        </w:rPr>
        <w:t>4.</w:t>
      </w:r>
      <w:r>
        <w:tab/>
      </w:r>
      <w:r>
        <w:rPr>
          <w:rFonts w:ascii="휴먼명조" w:eastAsia="휴먼명조" w:hint="eastAsia"/>
          <w:b/>
          <w:bCs/>
          <w:sz w:val="26"/>
          <w:szCs w:val="26"/>
        </w:rPr>
        <w:t>인간다운 생활 환경의 보장</w:t>
      </w:r>
    </w:p>
    <w:p w:rsidR="00C508D1" w:rsidRPr="00306DE7" w:rsidRDefault="00C508D1" w:rsidP="00306DE7">
      <w:pPr>
        <w:pStyle w:val="a4"/>
        <w:spacing w:line="372" w:lineRule="auto"/>
      </w:pPr>
    </w:p>
    <w:p w:rsidR="009E6F5F" w:rsidRDefault="009E6F5F" w:rsidP="009E6F5F">
      <w:pPr>
        <w:pStyle w:val="a4"/>
        <w:spacing w:line="372" w:lineRule="auto"/>
        <w:ind w:left="596"/>
      </w:pPr>
      <w:r>
        <w:rPr>
          <w:rFonts w:ascii="휴먼명조" w:eastAsia="휴먼명조" w:hint="eastAsia"/>
          <w:sz w:val="24"/>
          <w:szCs w:val="24"/>
        </w:rPr>
        <w:t>80.</w:t>
      </w:r>
      <w:r>
        <w:tab/>
      </w:r>
      <w:r>
        <w:rPr>
          <w:rFonts w:ascii="휴먼명조" w:eastAsia="휴먼명조" w:hint="eastAsia"/>
          <w:sz w:val="24"/>
          <w:szCs w:val="24"/>
        </w:rPr>
        <w:t>형사사법 제도 내에서 독립전문가는 노인을 위해 채택된 인프라와 생활환경과 관련한 모범사례에 주목했다. 이에는 적절한 장비를 갖춘 개별적 공간의 마련, 조정 가능한 침상, 온수, 장애물 없는 환경, 노인 수감자를 위한 경사로와 핸들 및 큰 글자로 된 신호 등이 포함된다.</w:t>
      </w:r>
      <w:r w:rsidR="00BB28D3">
        <w:rPr>
          <w:rStyle w:val="a7"/>
          <w:rFonts w:ascii="휴먼명조" w:eastAsia="휴먼명조"/>
          <w:sz w:val="24"/>
          <w:szCs w:val="24"/>
        </w:rPr>
        <w:footnoteReference w:id="131"/>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81.</w:t>
      </w:r>
      <w:r>
        <w:tab/>
      </w:r>
      <w:r>
        <w:rPr>
          <w:rFonts w:ascii="휴먼명조" w:eastAsia="휴먼명조" w:hint="eastAsia"/>
          <w:sz w:val="24"/>
          <w:szCs w:val="24"/>
        </w:rPr>
        <w:t>재활의 하나로 교도소 내 노인에게 적절한 평생 교육 기회를 제공해</w:t>
      </w:r>
      <w:r>
        <w:rPr>
          <w:rFonts w:ascii="휴먼명조" w:eastAsia="휴먼명조" w:hint="eastAsia"/>
          <w:sz w:val="24"/>
          <w:szCs w:val="24"/>
        </w:rPr>
        <w:lastRenderedPageBreak/>
        <w:t xml:space="preserve">야 할 필요가 있으며 이에는 고립의 위험을 줄이기 위한 기술 훈련 및 지식 개발에 대한 접근, 입소 시 진행된 포괄적 평가에 기반한 신체적 및 정신적 적성 활동 및 간호에 대한 의존도를 줄이기 위한 노인 여성을 위한 운동 강좌 등이 포함된다. </w:t>
      </w:r>
    </w:p>
    <w:p w:rsidR="009E6F5F" w:rsidRDefault="009E6F5F" w:rsidP="009E6F5F">
      <w:pPr>
        <w:pStyle w:val="a4"/>
        <w:spacing w:line="372" w:lineRule="auto"/>
        <w:ind w:left="596"/>
        <w:rPr>
          <w:sz w:val="24"/>
          <w:szCs w:val="24"/>
        </w:rPr>
      </w:pPr>
    </w:p>
    <w:p w:rsidR="009E6F5F" w:rsidRDefault="009E6F5F" w:rsidP="009E6F5F">
      <w:pPr>
        <w:pStyle w:val="a4"/>
        <w:spacing w:line="372" w:lineRule="auto"/>
        <w:ind w:left="596"/>
      </w:pPr>
      <w:r>
        <w:rPr>
          <w:rFonts w:ascii="휴먼명조" w:eastAsia="휴먼명조" w:hint="eastAsia"/>
          <w:sz w:val="24"/>
          <w:szCs w:val="24"/>
        </w:rPr>
        <w:t>82.</w:t>
      </w:r>
      <w:r>
        <w:tab/>
      </w:r>
      <w:r>
        <w:rPr>
          <w:rFonts w:ascii="휴먼명조" w:eastAsia="휴먼명조" w:hint="eastAsia"/>
          <w:sz w:val="24"/>
          <w:szCs w:val="24"/>
        </w:rPr>
        <w:t>구금된 노인에게 적절한 의료에 대한 접근을 제공하는 것은 필수적이다.</w:t>
      </w:r>
      <w:r w:rsidR="00BB28D3">
        <w:rPr>
          <w:rStyle w:val="a7"/>
          <w:rFonts w:ascii="휴먼명조" w:eastAsia="휴먼명조"/>
          <w:sz w:val="24"/>
          <w:szCs w:val="24"/>
        </w:rPr>
        <w:footnoteReference w:id="132"/>
      </w:r>
      <w:r>
        <w:rPr>
          <w:rFonts w:ascii="휴먼명조" w:eastAsia="휴먼명조" w:hint="eastAsia"/>
          <w:sz w:val="24"/>
          <w:szCs w:val="24"/>
        </w:rPr>
        <w:t xml:space="preserve"> 독립전문가는 다음과 같은 희망적 관행을 발견했다: 개인적 돌봄의 제공, 교도소 내 노인학 및 노인 돌봄에 특화된 의료진의 존재, 치매, 알츠하이머 또는 기타 퇴행성 질환이 있는 노인을 대하는 방법과 그러한 질환이 노인의 소통 능력 및 기억력에 어떠한 영향을 미치는지를 </w:t>
      </w:r>
      <w:proofErr w:type="spellStart"/>
      <w:r>
        <w:rPr>
          <w:rFonts w:ascii="휴먼명조" w:eastAsia="휴먼명조" w:hint="eastAsia"/>
          <w:sz w:val="24"/>
          <w:szCs w:val="24"/>
        </w:rPr>
        <w:t>훈련받은</w:t>
      </w:r>
      <w:proofErr w:type="spellEnd"/>
      <w:r>
        <w:rPr>
          <w:rFonts w:ascii="휴먼명조" w:eastAsia="휴먼명조" w:hint="eastAsia"/>
          <w:sz w:val="24"/>
          <w:szCs w:val="24"/>
        </w:rPr>
        <w:t xml:space="preserve"> 직원, 가이드라인과 프로토콜을 준수하는 완화 의료 및 말기 돌봄의 가용성.</w:t>
      </w:r>
      <w:r w:rsidR="00BB28D3">
        <w:rPr>
          <w:rStyle w:val="a7"/>
          <w:rFonts w:ascii="휴먼명조" w:eastAsia="휴먼명조"/>
          <w:sz w:val="24"/>
          <w:szCs w:val="24"/>
        </w:rPr>
        <w:footnoteReference w:id="133"/>
      </w:r>
      <w:r>
        <w:rPr>
          <w:rFonts w:ascii="휴먼명조" w:eastAsia="휴먼명조" w:hint="eastAsia"/>
          <w:sz w:val="24"/>
          <w:szCs w:val="24"/>
        </w:rPr>
        <w:t xml:space="preserve"> 취약계층인 고령의 피구금자에 대한 우선적 백신 접종이 희망적 관행으로 인지되었다.</w:t>
      </w:r>
      <w:r w:rsidR="00BB28D3">
        <w:rPr>
          <w:rStyle w:val="a7"/>
          <w:rFonts w:ascii="휴먼명조" w:eastAsia="휴먼명조"/>
          <w:sz w:val="24"/>
          <w:szCs w:val="24"/>
        </w:rPr>
        <w:footnoteReference w:id="134"/>
      </w:r>
    </w:p>
    <w:p w:rsidR="009E6F5F" w:rsidRDefault="009E6F5F" w:rsidP="009E6F5F">
      <w:pPr>
        <w:pStyle w:val="a4"/>
        <w:spacing w:line="372" w:lineRule="auto"/>
        <w:rPr>
          <w:sz w:val="24"/>
          <w:szCs w:val="24"/>
        </w:rPr>
      </w:pPr>
    </w:p>
    <w:p w:rsidR="009E6F5F" w:rsidRDefault="009E6F5F" w:rsidP="009E6F5F">
      <w:pPr>
        <w:pStyle w:val="a4"/>
        <w:spacing w:line="372" w:lineRule="auto"/>
      </w:pPr>
      <w:proofErr w:type="spellStart"/>
      <w:r>
        <w:rPr>
          <w:rFonts w:ascii="휴먼명조" w:eastAsia="휴먼명조" w:hAnsi="휴먼명조" w:hint="eastAsia"/>
          <w:b/>
          <w:bCs/>
          <w:sz w:val="30"/>
          <w:szCs w:val="30"/>
        </w:rPr>
        <w:t>Ⅲ</w:t>
      </w:r>
      <w:proofErr w:type="spellEnd"/>
      <w:r>
        <w:rPr>
          <w:rFonts w:ascii="휴먼명조" w:eastAsia="휴먼명조" w:hint="eastAsia"/>
          <w:b/>
          <w:bCs/>
          <w:sz w:val="30"/>
          <w:szCs w:val="30"/>
        </w:rPr>
        <w:t>.</w:t>
      </w:r>
      <w:r>
        <w:tab/>
      </w:r>
      <w:r>
        <w:rPr>
          <w:rFonts w:ascii="휴먼명조" w:eastAsia="휴먼명조" w:hint="eastAsia"/>
          <w:b/>
          <w:bCs/>
          <w:sz w:val="30"/>
          <w:szCs w:val="30"/>
        </w:rPr>
        <w:t>결론 및 권고</w:t>
      </w:r>
    </w:p>
    <w:p w:rsidR="009E6F5F" w:rsidRDefault="009E6F5F" w:rsidP="009E6F5F">
      <w:pPr>
        <w:pStyle w:val="a4"/>
        <w:spacing w:line="372" w:lineRule="auto"/>
        <w:rPr>
          <w:b/>
          <w:bCs/>
          <w:sz w:val="24"/>
          <w:szCs w:val="24"/>
        </w:rPr>
      </w:pPr>
    </w:p>
    <w:p w:rsidR="009E6F5F" w:rsidRDefault="009E6F5F" w:rsidP="009E6F5F">
      <w:pPr>
        <w:pStyle w:val="a4"/>
        <w:spacing w:line="372" w:lineRule="auto"/>
        <w:ind w:left="596"/>
      </w:pPr>
      <w:r>
        <w:rPr>
          <w:rFonts w:ascii="휴먼명조" w:eastAsia="휴먼명조" w:hint="eastAsia"/>
          <w:b/>
          <w:bCs/>
          <w:sz w:val="24"/>
          <w:szCs w:val="24"/>
        </w:rPr>
        <w:t>83.</w:t>
      </w:r>
      <w:r>
        <w:tab/>
      </w:r>
      <w:r>
        <w:rPr>
          <w:rFonts w:ascii="휴먼명조" w:eastAsia="휴먼명조" w:hint="eastAsia"/>
          <w:b/>
          <w:bCs/>
          <w:sz w:val="24"/>
          <w:szCs w:val="24"/>
        </w:rPr>
        <w:t xml:space="preserve">자유의 박탈은 전 세계적으로 심각한 우려 사항이며 노인에게 광범위한 영향을 미친다. 연령주의는 자유의 박탈과 더불어 노인의 인권 향유에 심각한 영향을 미쳤다. 노인은 자유를 박탈당한 환경과 관계없이 폭력, 학대, 부당한 대우, 심지어 </w:t>
      </w:r>
      <w:proofErr w:type="spellStart"/>
      <w:r>
        <w:rPr>
          <w:rFonts w:ascii="휴먼명조" w:eastAsia="휴먼명조" w:hint="eastAsia"/>
          <w:b/>
          <w:bCs/>
          <w:sz w:val="24"/>
          <w:szCs w:val="24"/>
        </w:rPr>
        <w:t>고문뿐만</w:t>
      </w:r>
      <w:proofErr w:type="spellEnd"/>
      <w:r>
        <w:rPr>
          <w:rFonts w:ascii="휴먼명조" w:eastAsia="휴먼명조" w:hint="eastAsia"/>
          <w:b/>
          <w:bCs/>
          <w:sz w:val="24"/>
          <w:szCs w:val="24"/>
        </w:rPr>
        <w:t xml:space="preserve"> 아니라 심각한 인권침해를 겪을 가능성이 더 크다. </w:t>
      </w:r>
    </w:p>
    <w:p w:rsidR="009E6F5F" w:rsidRDefault="009E6F5F" w:rsidP="009E6F5F">
      <w:pPr>
        <w:pStyle w:val="a4"/>
        <w:spacing w:line="372" w:lineRule="auto"/>
        <w:ind w:left="596"/>
        <w:rPr>
          <w:b/>
          <w:bCs/>
          <w:sz w:val="24"/>
          <w:szCs w:val="24"/>
        </w:rPr>
      </w:pPr>
    </w:p>
    <w:p w:rsidR="009E6F5F" w:rsidRDefault="009E6F5F" w:rsidP="009E6F5F">
      <w:pPr>
        <w:pStyle w:val="a4"/>
        <w:spacing w:line="372" w:lineRule="auto"/>
        <w:ind w:left="596"/>
      </w:pPr>
      <w:r>
        <w:rPr>
          <w:rFonts w:ascii="휴먼명조" w:eastAsia="휴먼명조" w:hint="eastAsia"/>
          <w:b/>
          <w:bCs/>
          <w:sz w:val="24"/>
          <w:szCs w:val="24"/>
        </w:rPr>
        <w:t>84.</w:t>
      </w:r>
      <w:r>
        <w:tab/>
      </w:r>
      <w:r>
        <w:rPr>
          <w:rFonts w:ascii="휴먼명조" w:eastAsia="휴먼명조" w:hint="eastAsia"/>
          <w:b/>
          <w:bCs/>
          <w:sz w:val="24"/>
          <w:szCs w:val="24"/>
        </w:rPr>
        <w:t>연구 및 데이터의 부재로 인해, 자유를 박탈당한 노인의 인권은 대부</w:t>
      </w:r>
      <w:r>
        <w:rPr>
          <w:rFonts w:ascii="휴먼명조" w:eastAsia="휴먼명조" w:hint="eastAsia"/>
          <w:b/>
          <w:bCs/>
          <w:sz w:val="24"/>
          <w:szCs w:val="24"/>
        </w:rPr>
        <w:lastRenderedPageBreak/>
        <w:t xml:space="preserve">분의 경우 눈에 드러나지 않고 다뤄지지 않는다. 노인의 구금 및 자유의 제한을 정당화하는 사유와 상관없이, 노인은 그들의 인권에 해로운 상황에 놓이게 되며 적절한 안전과 보호를 받지 못한다. </w:t>
      </w:r>
    </w:p>
    <w:p w:rsidR="009E6F5F" w:rsidRDefault="009E6F5F" w:rsidP="009E6F5F">
      <w:pPr>
        <w:pStyle w:val="a4"/>
        <w:spacing w:line="372" w:lineRule="auto"/>
        <w:ind w:left="596"/>
        <w:rPr>
          <w:b/>
          <w:bCs/>
          <w:sz w:val="24"/>
          <w:szCs w:val="24"/>
        </w:rPr>
      </w:pPr>
    </w:p>
    <w:p w:rsidR="009E6F5F" w:rsidRDefault="009E6F5F" w:rsidP="009E6F5F">
      <w:pPr>
        <w:pStyle w:val="a4"/>
        <w:spacing w:line="372" w:lineRule="auto"/>
        <w:ind w:left="596"/>
      </w:pPr>
      <w:r>
        <w:rPr>
          <w:rFonts w:ascii="휴먼명조" w:eastAsia="휴먼명조" w:hint="eastAsia"/>
          <w:b/>
          <w:bCs/>
          <w:sz w:val="24"/>
          <w:szCs w:val="24"/>
        </w:rPr>
        <w:t>85.</w:t>
      </w:r>
      <w:r>
        <w:tab/>
      </w:r>
      <w:r>
        <w:rPr>
          <w:rFonts w:ascii="휴먼명조" w:eastAsia="휴먼명조" w:hint="eastAsia"/>
          <w:b/>
          <w:bCs/>
          <w:sz w:val="24"/>
          <w:szCs w:val="24"/>
        </w:rPr>
        <w:t xml:space="preserve">현재의 법적 체계에는 자유를 박탈당한 상황을 포함해 노인의 인권을 효과적으로 보호하기 위한 포괄적이고 구체적인 의무가 부재하다. 연령주의는 국가가 노인, 특히 돌봄이 명백하게 필요하거나 필요하다고 인식되는 노인의 자유 제한과 관련된 법, 정책, 전략 및 관행을 채택하고 이행하는 경우에도 만연하며 대부분의 경우 이를 인지하지 못한다. </w:t>
      </w:r>
    </w:p>
    <w:p w:rsidR="009E6F5F" w:rsidRDefault="009E6F5F" w:rsidP="009E6F5F">
      <w:pPr>
        <w:pStyle w:val="a4"/>
        <w:spacing w:line="372" w:lineRule="auto"/>
        <w:ind w:left="596"/>
        <w:rPr>
          <w:b/>
          <w:bCs/>
          <w:sz w:val="24"/>
          <w:szCs w:val="24"/>
        </w:rPr>
      </w:pPr>
    </w:p>
    <w:p w:rsidR="009E6F5F" w:rsidRDefault="009E6F5F" w:rsidP="009E6F5F">
      <w:pPr>
        <w:pStyle w:val="a4"/>
        <w:spacing w:line="372" w:lineRule="auto"/>
        <w:ind w:left="596"/>
      </w:pPr>
      <w:r>
        <w:rPr>
          <w:rFonts w:ascii="휴먼명조" w:eastAsia="휴먼명조" w:hint="eastAsia"/>
          <w:b/>
          <w:bCs/>
          <w:sz w:val="24"/>
          <w:szCs w:val="24"/>
        </w:rPr>
        <w:t>86.</w:t>
      </w:r>
      <w:r>
        <w:tab/>
      </w:r>
      <w:r>
        <w:rPr>
          <w:rFonts w:ascii="휴먼명조" w:eastAsia="휴먼명조" w:hint="eastAsia"/>
          <w:b/>
          <w:bCs/>
          <w:sz w:val="24"/>
          <w:szCs w:val="24"/>
        </w:rPr>
        <w:t>독립전문가는 우리 사회 내 연령주의를 점진적으로 근절하기 위해, 국가와 기타 이해관계자에게 다음과 같이 권고한다.</w:t>
      </w:r>
    </w:p>
    <w:p w:rsidR="009E6F5F" w:rsidRDefault="009E6F5F" w:rsidP="009E6F5F">
      <w:pPr>
        <w:pStyle w:val="a4"/>
        <w:spacing w:line="372" w:lineRule="auto"/>
        <w:ind w:left="596"/>
        <w:rPr>
          <w:b/>
          <w:bCs/>
          <w:sz w:val="24"/>
          <w:szCs w:val="24"/>
        </w:rPr>
      </w:pPr>
    </w:p>
    <w:p w:rsidR="009E6F5F" w:rsidRDefault="009E6F5F" w:rsidP="009E6F5F">
      <w:pPr>
        <w:pStyle w:val="a4"/>
        <w:spacing w:line="372" w:lineRule="auto"/>
        <w:ind w:left="596"/>
      </w:pPr>
      <w:r>
        <w:rPr>
          <w:rFonts w:ascii="휴먼명조" w:eastAsia="휴먼명조" w:hint="eastAsia"/>
          <w:b/>
          <w:bCs/>
          <w:sz w:val="24"/>
          <w:szCs w:val="24"/>
        </w:rPr>
        <w:t>87.</w:t>
      </w:r>
      <w:r>
        <w:tab/>
      </w:r>
      <w:r>
        <w:rPr>
          <w:rFonts w:ascii="휴먼명조" w:eastAsia="휴먼명조" w:hint="eastAsia"/>
          <w:b/>
          <w:bCs/>
          <w:sz w:val="24"/>
          <w:szCs w:val="24"/>
        </w:rPr>
        <w:t>독립전문가는 다음과 같은 일반 권고를 제시한다:</w:t>
      </w:r>
    </w:p>
    <w:p w:rsidR="009E6F5F" w:rsidRDefault="009E6F5F" w:rsidP="009E6F5F">
      <w:pPr>
        <w:pStyle w:val="a4"/>
        <w:spacing w:line="372" w:lineRule="auto"/>
        <w:ind w:left="596"/>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(a)</w:t>
      </w:r>
      <w:r>
        <w:tab/>
      </w:r>
      <w:r>
        <w:rPr>
          <w:rFonts w:ascii="휴먼명조" w:eastAsia="휴먼명조" w:hint="eastAsia"/>
          <w:b/>
          <w:bCs/>
          <w:sz w:val="24"/>
          <w:szCs w:val="24"/>
        </w:rPr>
        <w:t xml:space="preserve">국가는 반드시 국제인권법이 규정하는 바와 같이, 그리고 노인 인권에 대한 국제적이고 포괄적인 법적 구속력을 가지는 문서에 대한 지지를 통해 노인의 신체적 자유 및 안전에 대한 권리를 인정하고 </w:t>
      </w:r>
      <w:proofErr w:type="spellStart"/>
      <w:r>
        <w:rPr>
          <w:rFonts w:ascii="휴먼명조" w:eastAsia="휴먼명조" w:hint="eastAsia"/>
          <w:b/>
          <w:bCs/>
          <w:sz w:val="24"/>
          <w:szCs w:val="24"/>
        </w:rPr>
        <w:t>성문화한다</w:t>
      </w:r>
      <w:proofErr w:type="spellEnd"/>
      <w:r>
        <w:rPr>
          <w:rFonts w:ascii="휴먼명조" w:eastAsia="휴먼명조" w:hint="eastAsia"/>
          <w:b/>
          <w:bCs/>
          <w:sz w:val="24"/>
          <w:szCs w:val="24"/>
        </w:rPr>
        <w:t>.</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(b)</w:t>
      </w:r>
      <w:r>
        <w:tab/>
      </w:r>
      <w:r>
        <w:rPr>
          <w:rFonts w:ascii="휴먼명조" w:eastAsia="휴먼명조" w:hint="eastAsia"/>
          <w:b/>
          <w:bCs/>
          <w:sz w:val="24"/>
          <w:szCs w:val="24"/>
        </w:rPr>
        <w:t>국가는 나이 든 여성, LGBTI, 장애인 등 특정 노인 집단의 자유를 박탈하는 해로운 전통적, 문화적, 사회적 및 종교적 관행을 금지하는 법률을 채택한다.</w:t>
      </w:r>
    </w:p>
    <w:p w:rsidR="009E6F5F" w:rsidRDefault="009E6F5F" w:rsidP="009E6F5F">
      <w:pPr>
        <w:pStyle w:val="a4"/>
        <w:spacing w:line="372" w:lineRule="auto"/>
      </w:pPr>
      <w:r>
        <w:tab/>
      </w:r>
      <w:r>
        <w:rPr>
          <w:rFonts w:ascii="휴먼명조" w:eastAsia="휴먼명조" w:hint="eastAsia"/>
          <w:b/>
          <w:bCs/>
          <w:sz w:val="24"/>
          <w:szCs w:val="24"/>
        </w:rPr>
        <w:t xml:space="preserve">(c) 국가와 기타 이해관계자는 자유의 박탈이라는 맥락에서 누가 노인인지 결정함에 있어 실제 </w:t>
      </w:r>
      <w:proofErr w:type="spellStart"/>
      <w:r>
        <w:rPr>
          <w:rFonts w:ascii="휴먼명조" w:eastAsia="휴먼명조" w:hint="eastAsia"/>
          <w:b/>
          <w:bCs/>
          <w:sz w:val="24"/>
          <w:szCs w:val="24"/>
        </w:rPr>
        <w:t>연령뿐만</w:t>
      </w:r>
      <w:proofErr w:type="spellEnd"/>
      <w:r>
        <w:rPr>
          <w:rFonts w:ascii="휴먼명조" w:eastAsia="휴먼명조" w:hint="eastAsia"/>
          <w:b/>
          <w:bCs/>
          <w:sz w:val="24"/>
          <w:szCs w:val="24"/>
        </w:rPr>
        <w:t xml:space="preserve"> 아니라 심리적 및 사회적 연령을 고려해야 한다. </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(d)</w:t>
      </w:r>
      <w:r>
        <w:tab/>
      </w:r>
      <w:r>
        <w:rPr>
          <w:rFonts w:ascii="휴먼명조" w:eastAsia="휴먼명조" w:hint="eastAsia"/>
          <w:b/>
          <w:bCs/>
          <w:sz w:val="24"/>
          <w:szCs w:val="24"/>
        </w:rPr>
        <w:t xml:space="preserve">모든 구금장소에 있는 노인의 상황에 관한 법률, 정책 및 관행에 효율적 정보를 제공하기 위해 모든 관련 부처 및 기타 국가 기관이 참여하고 연령에 기반하여 분류된 국가적 차원의 체계적인 데이터 수집 시스템이 구축되어야 한다. </w:t>
      </w:r>
      <w:r>
        <w:rPr>
          <w:rFonts w:ascii="휴먼명조" w:eastAsia="휴먼명조" w:hint="eastAsia"/>
          <w:b/>
          <w:bCs/>
          <w:sz w:val="24"/>
          <w:szCs w:val="24"/>
        </w:rPr>
        <w:lastRenderedPageBreak/>
        <w:t>데이터는 성별, 인종, 장애, 건강 상태 및 필요성에 따라 분류되며, 대중이 자유를 박탈당한 노인이 처한 현실을 알 수 있도록 널리 알려져야 한다.</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(e)</w:t>
      </w:r>
      <w:r>
        <w:tab/>
      </w:r>
      <w:r>
        <w:rPr>
          <w:rFonts w:ascii="휴먼명조" w:eastAsia="휴먼명조" w:hint="eastAsia"/>
          <w:b/>
          <w:bCs/>
          <w:sz w:val="24"/>
          <w:szCs w:val="24"/>
        </w:rPr>
        <w:t xml:space="preserve">노인과 그 대표는 그들의 자유의 박탈과 관련된 법률 및 정책 개혁과 관련한 모든 의사결정과정에 적극적으로 참여하고 논의할 수 있어야 한다. </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(f)</w:t>
      </w:r>
      <w:r>
        <w:tab/>
      </w:r>
      <w:r>
        <w:rPr>
          <w:rFonts w:ascii="휴먼명조" w:eastAsia="휴먼명조" w:hint="eastAsia"/>
          <w:b/>
          <w:bCs/>
          <w:sz w:val="24"/>
          <w:szCs w:val="24"/>
        </w:rPr>
        <w:t>국가는 노인과 관련된 진정을 검토하고 노인이 자유를 박탈당한 모든 장소에서의 처우와 조건을 모니터링 하는 임무를 가지는 독립적이고 평등한 자체적 기구, 절차 또는 기관을 수립해야 한다. 그러한 독립 국가 예방 메커니즘은 임무를 수행하는 데 필요한 권한과 자원을 제공받아야 한다.</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(g)</w:t>
      </w:r>
      <w:r>
        <w:tab/>
      </w:r>
      <w:r>
        <w:rPr>
          <w:rFonts w:ascii="휴먼명조" w:eastAsia="휴먼명조" w:hint="eastAsia"/>
          <w:b/>
          <w:bCs/>
          <w:sz w:val="24"/>
          <w:szCs w:val="24"/>
        </w:rPr>
        <w:t xml:space="preserve">법적 안전장치와 함께 독립 모니터링 기구가 수립되어 자신의 의지에 반해 자유를 박탈당하거나 그러할 위험에 처해있는 노인과 차별, 폭력, 학대 및 방임 등을 겪은 노인을 위한 사법 및 효과적 구제에 대한 접근을 보장해야 한다. 또한 그러한 노인의 자유를 회복시키기 위해 즉각적 행동이 취해져야 한다. </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(h)</w:t>
      </w:r>
      <w:r>
        <w:tab/>
      </w:r>
      <w:r>
        <w:rPr>
          <w:rFonts w:ascii="휴먼명조" w:eastAsia="휴먼명조" w:hint="eastAsia"/>
          <w:b/>
          <w:bCs/>
          <w:sz w:val="24"/>
          <w:szCs w:val="24"/>
        </w:rPr>
        <w:t>독립 모니터링 기구는 노인이 자유를 박탈당할 수 있는 모든 구금장소를 예고 없이 방문해야 한다. 그러한 방문을 통해 독립 모니터링 기구는 시설 내 “</w:t>
      </w:r>
      <w:proofErr w:type="spellStart"/>
      <w:r>
        <w:rPr>
          <w:rFonts w:ascii="휴먼명조" w:eastAsia="휴먼명조" w:hint="eastAsia"/>
          <w:b/>
          <w:bCs/>
          <w:sz w:val="24"/>
          <w:szCs w:val="24"/>
        </w:rPr>
        <w:t>고령”이라고</w:t>
      </w:r>
      <w:proofErr w:type="spellEnd"/>
      <w:r>
        <w:rPr>
          <w:rFonts w:ascii="휴먼명조" w:eastAsia="휴먼명조" w:hint="eastAsia"/>
          <w:b/>
          <w:bCs/>
          <w:sz w:val="24"/>
          <w:szCs w:val="24"/>
        </w:rPr>
        <w:t xml:space="preserve"> 여겨지는 개인의 수에 대한 정보를 요청하고, 노인만을 위한 정책이 있는지 질의하며, 특히 노인의 복잡한 건강 및 특정한 필요성을 포함해 노인이 직면하는 문제와 위험을 강조하고, 자연사를 포함해 자유를 박탈당한 상황에서의 사망 및 모든 폭력, 방임 및 부당한 대우에 대한 기록 및 보고에 대해 질문하며, 노인의 숙소, 시설 및 생활 환경이 연령에 적합한지 모니터링한다. 독립 모니터링 기구에 의한 방문과 보고는 노인 인권 보장을 위한 연령에 따른 권고의 개발을 용이하게 한다. </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w:t>
      </w:r>
      <w:proofErr w:type="spellStart"/>
      <w:r>
        <w:rPr>
          <w:rFonts w:ascii="휴먼명조" w:eastAsia="휴먼명조" w:hint="eastAsia"/>
          <w:b/>
          <w:bCs/>
          <w:sz w:val="24"/>
          <w:szCs w:val="24"/>
        </w:rPr>
        <w:t>i</w:t>
      </w:r>
      <w:proofErr w:type="spellEnd"/>
      <w:r>
        <w:rPr>
          <w:rFonts w:ascii="휴먼명조" w:eastAsia="휴먼명조" w:hint="eastAsia"/>
          <w:b/>
          <w:bCs/>
          <w:sz w:val="24"/>
          <w:szCs w:val="24"/>
        </w:rPr>
        <w:t>)</w:t>
      </w:r>
      <w:r>
        <w:tab/>
      </w:r>
      <w:r>
        <w:rPr>
          <w:rFonts w:ascii="휴먼명조" w:eastAsia="휴먼명조" w:hint="eastAsia"/>
          <w:b/>
          <w:bCs/>
          <w:sz w:val="24"/>
          <w:szCs w:val="24"/>
        </w:rPr>
        <w:t xml:space="preserve">부당한 대우, 고문 및 자유의 박탈에 대한 평가를 담당하는 국제 및 </w:t>
      </w:r>
      <w:r>
        <w:rPr>
          <w:rFonts w:ascii="휴먼명조" w:eastAsia="휴먼명조" w:hint="eastAsia"/>
          <w:b/>
          <w:bCs/>
          <w:sz w:val="24"/>
          <w:szCs w:val="24"/>
        </w:rPr>
        <w:lastRenderedPageBreak/>
        <w:t xml:space="preserve">지역 인권 메커니즘은 조사 및 보고 단계에서 노인의 상황을 자세히 조사할 수 있는 수단과 역량을 제공받아야 한다. 그러한 평가는 자유를 박탈당한 노인의 경험에 대한 투명성을 제공하며 인권 메커니즘이 국가 및 기타 이해관계자를 위한 권고를 수립하는 것을 돕는다. </w:t>
      </w:r>
    </w:p>
    <w:p w:rsidR="009E6F5F" w:rsidRDefault="009E6F5F" w:rsidP="009E6F5F">
      <w:pPr>
        <w:pStyle w:val="a4"/>
        <w:spacing w:line="372" w:lineRule="auto"/>
        <w:rPr>
          <w:b/>
          <w:bCs/>
          <w:sz w:val="24"/>
          <w:szCs w:val="24"/>
        </w:rPr>
      </w:pPr>
    </w:p>
    <w:p w:rsidR="009E6F5F" w:rsidRDefault="009E6F5F" w:rsidP="009E6F5F">
      <w:pPr>
        <w:pStyle w:val="a4"/>
        <w:spacing w:line="372" w:lineRule="auto"/>
        <w:ind w:left="596"/>
      </w:pPr>
      <w:r>
        <w:rPr>
          <w:rFonts w:ascii="휴먼명조" w:eastAsia="휴먼명조" w:hint="eastAsia"/>
          <w:b/>
          <w:bCs/>
          <w:sz w:val="24"/>
          <w:szCs w:val="24"/>
        </w:rPr>
        <w:t>88.</w:t>
      </w:r>
      <w:r>
        <w:tab/>
      </w:r>
      <w:r>
        <w:rPr>
          <w:rFonts w:ascii="휴먼명조" w:eastAsia="휴먼명조" w:hint="eastAsia"/>
          <w:b/>
          <w:bCs/>
          <w:sz w:val="24"/>
          <w:szCs w:val="24"/>
        </w:rPr>
        <w:t>형사 구금의 맥락에서, 독립전문가는 다음과 같이 권고한다:</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(a)</w:t>
      </w:r>
      <w:r>
        <w:tab/>
      </w:r>
      <w:r>
        <w:rPr>
          <w:rFonts w:ascii="휴먼명조" w:eastAsia="휴먼명조" w:hint="eastAsia"/>
          <w:b/>
          <w:bCs/>
          <w:sz w:val="24"/>
          <w:szCs w:val="24"/>
        </w:rPr>
        <w:t>국가는 형사사법적 맥락에서 연령에 민감한 정책 및 전략을 채택하여 자유의 박탈을 규제하는 국제적 및 지역적 인권 기준에 따라 노인의 인권을 존중 및 보호해야 한다.</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(b)</w:t>
      </w:r>
      <w:r>
        <w:tab/>
      </w:r>
      <w:r>
        <w:rPr>
          <w:rFonts w:ascii="휴먼명조" w:eastAsia="휴먼명조" w:hint="eastAsia"/>
          <w:b/>
          <w:bCs/>
          <w:sz w:val="24"/>
          <w:szCs w:val="24"/>
        </w:rPr>
        <w:t xml:space="preserve">적절한 인프라, 수용 및 생활 환경, 공손한 소통 및 정보에 기반한 의사결정을 촉진하기 위한 교정 직원에 대한 연령에 민감한 교육 등 연령 친화적 구금 환경이 보장되어야 한다. 노인은 평생 학습 및 직업 교육을 포함한 연령에 적합한 서비스 및 활동에 접근할 수 있어야 한다. </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(c) 의료의 평등이라는 원칙에 따라 노인의 개별적 필요를 충족하기 위해 적절한 의료 서비스가 제공되어야 한다. 고령 수감자의 위험 및 특정한 필요를 파악하기 위해 입소, 이동 및 구금 기간 전반에 걸쳐 검사가 진행되어야 한다.</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(d)</w:t>
      </w:r>
      <w:r>
        <w:tab/>
      </w:r>
      <w:r>
        <w:rPr>
          <w:rFonts w:ascii="휴먼명조" w:eastAsia="휴먼명조" w:hint="eastAsia"/>
          <w:b/>
          <w:bCs/>
          <w:sz w:val="24"/>
          <w:szCs w:val="24"/>
        </w:rPr>
        <w:t xml:space="preserve">국가는 노인들이 석방되는 경우 지속되고 치료받지 못한 건강 문제를 해결하기 위한 의료 및 정신 건강 서비스에 대한 접근, 주거의 해결, 연금 및 재정적 지원에 대한 접근을 포함해 그들의 필요 및 소망에 따라 고안된 개별화된 석방 전 프로그램을 통해 혜택을 받도록 해야 한다. </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(e)</w:t>
      </w:r>
      <w:r>
        <w:tab/>
      </w:r>
      <w:r>
        <w:rPr>
          <w:rFonts w:ascii="휴먼명조" w:eastAsia="휴먼명조" w:hint="eastAsia"/>
          <w:b/>
          <w:bCs/>
          <w:sz w:val="24"/>
          <w:szCs w:val="24"/>
        </w:rPr>
        <w:t>형사사법절차의 모든 단계에서, 특히 노인이 젠더, 장애, 원주민 또는 민족적 신분과 같은 교차적인 차별 요소를 가지는 경우 교차적 요소에 마땅한 주의</w:t>
      </w:r>
      <w:r>
        <w:rPr>
          <w:rFonts w:ascii="휴먼명조" w:eastAsia="휴먼명조" w:hint="eastAsia"/>
          <w:b/>
          <w:bCs/>
          <w:sz w:val="24"/>
          <w:szCs w:val="24"/>
        </w:rPr>
        <w:lastRenderedPageBreak/>
        <w:t xml:space="preserve">를 기울여야 한다. 나이 든 여성, LGBTI, 민족, 종교 및 원주민 집단에 속하는 노인 등 폭력, 부당한 대우 및 박해를 경험할 위험성이 높은 노인이 구금 중 안전하게 지내도록 보장하기 위해 개별화된 돌봄 계획이 수립되어야 한다. </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(f)</w:t>
      </w:r>
      <w:r>
        <w:tab/>
      </w:r>
      <w:r>
        <w:rPr>
          <w:rFonts w:ascii="휴먼명조" w:eastAsia="휴먼명조" w:hint="eastAsia"/>
          <w:b/>
          <w:bCs/>
          <w:sz w:val="24"/>
          <w:szCs w:val="24"/>
        </w:rPr>
        <w:t xml:space="preserve">국가는 사법 시스템을 통해 건강 상태가 복잡하고 완화치료가 필요한 노인을 구금하는 것의 필요성과 비례성을 고려해야 한다. 국가는 또한 모든 구금 단계에서 노인의 요구가 충족되는 시설에서의 복역과 인도주의적 또는 온정적 석방을 포함한 비구금적 대안의 가능성을 검토해야 한다. </w:t>
      </w:r>
    </w:p>
    <w:p w:rsidR="009E6F5F" w:rsidRDefault="009E6F5F" w:rsidP="009E6F5F">
      <w:pPr>
        <w:pStyle w:val="a4"/>
        <w:spacing w:line="372" w:lineRule="auto"/>
        <w:rPr>
          <w:b/>
          <w:bCs/>
          <w:sz w:val="24"/>
          <w:szCs w:val="24"/>
        </w:rPr>
      </w:pPr>
    </w:p>
    <w:p w:rsidR="009E6F5F" w:rsidRDefault="009E6F5F" w:rsidP="009E6F5F">
      <w:pPr>
        <w:pStyle w:val="a4"/>
        <w:spacing w:line="372" w:lineRule="auto"/>
        <w:ind w:left="596"/>
      </w:pPr>
      <w:r>
        <w:rPr>
          <w:rFonts w:ascii="휴먼명조" w:eastAsia="휴먼명조" w:hint="eastAsia"/>
          <w:b/>
          <w:bCs/>
          <w:sz w:val="24"/>
          <w:szCs w:val="24"/>
        </w:rPr>
        <w:t>89.</w:t>
      </w:r>
      <w:r>
        <w:tab/>
      </w:r>
      <w:r>
        <w:rPr>
          <w:rFonts w:ascii="휴먼명조" w:eastAsia="휴먼명조" w:hint="eastAsia"/>
          <w:b/>
          <w:bCs/>
          <w:sz w:val="24"/>
          <w:szCs w:val="24"/>
        </w:rPr>
        <w:t>이주 관련 구금의 맥락에서, 독립전문가는 다음과 같이 권고한다:</w:t>
      </w:r>
    </w:p>
    <w:p w:rsidR="009E6F5F" w:rsidRDefault="009E6F5F" w:rsidP="009E6F5F">
      <w:pPr>
        <w:pStyle w:val="a4"/>
        <w:spacing w:line="372" w:lineRule="auto"/>
      </w:pPr>
      <w:r>
        <w:tab/>
      </w:r>
      <w:r>
        <w:rPr>
          <w:rFonts w:ascii="휴먼명조" w:eastAsia="휴먼명조" w:hint="eastAsia"/>
          <w:b/>
          <w:bCs/>
          <w:sz w:val="24"/>
          <w:szCs w:val="24"/>
        </w:rPr>
        <w:t>(a)</w:t>
      </w:r>
      <w:r>
        <w:tab/>
      </w:r>
      <w:r>
        <w:rPr>
          <w:rFonts w:ascii="휴먼명조" w:eastAsia="휴먼명조" w:hint="eastAsia"/>
          <w:b/>
          <w:bCs/>
          <w:sz w:val="24"/>
          <w:szCs w:val="24"/>
        </w:rPr>
        <w:t xml:space="preserve">국가는 이주 맥락에서 노인과 그 가족에 대한 모든 형태의 자유 박탈을 점진적으로 근절해야 한다. </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(b)</w:t>
      </w:r>
      <w:r>
        <w:tab/>
      </w:r>
      <w:r>
        <w:rPr>
          <w:rFonts w:ascii="휴먼명조" w:eastAsia="휴먼명조" w:hint="eastAsia"/>
          <w:b/>
          <w:bCs/>
          <w:sz w:val="24"/>
          <w:szCs w:val="24"/>
        </w:rPr>
        <w:t xml:space="preserve">노인이 구금되는 경우 대안적인 비구금적 이주 절차가 우선해야 한다. 국가는 고령의 이주민 및 망명 신청자의 인권을 존중하기 위해 적절한 조치를 취하며 구금 환경이 연령에 적합하고 노인이 필요로 하는 의료 및 전문적 지원을 제공받도록 보장해야 한다. 국제적 및 지역적인 법적 기준에 따라 고령의 이주민 및 망명 신청자의 존엄할 권리 및 평등하게 대우받을 권리가 존중되어야 한다. </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 xml:space="preserve">(c) 이주민과 망명 신청자와 관련한 데이터를 수집하는 경우 더 나은 이주 정책을 위해 연령 및 기타 관련된 교차적 요소에 따라 분류되어야 한다. </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(d)</w:t>
      </w:r>
      <w:r>
        <w:tab/>
      </w:r>
      <w:r>
        <w:rPr>
          <w:rFonts w:ascii="휴먼명조" w:eastAsia="휴먼명조" w:hint="eastAsia"/>
          <w:b/>
          <w:bCs/>
          <w:sz w:val="24"/>
          <w:szCs w:val="24"/>
        </w:rPr>
        <w:t xml:space="preserve">국가는 나이든 이주민과 망명 신청자가 구금된 경우 법적 구제 및 법률지원에 접근할 수 있고, 구금 사유와 법적 절차에 대해 그들이 이해하는 언어로 정보를 제공받도록 보장해야 한다. </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rPr>
          <w:rFonts w:ascii="휴먼명조" w:eastAsia="휴먼명조" w:hint="eastAsia"/>
          <w:b/>
          <w:bCs/>
          <w:sz w:val="24"/>
          <w:szCs w:val="24"/>
        </w:rPr>
        <w:t>90.</w:t>
      </w:r>
      <w:r>
        <w:tab/>
      </w:r>
      <w:r>
        <w:rPr>
          <w:rFonts w:ascii="휴먼명조" w:eastAsia="휴먼명조" w:hint="eastAsia"/>
          <w:b/>
          <w:bCs/>
          <w:sz w:val="24"/>
          <w:szCs w:val="24"/>
        </w:rPr>
        <w:t xml:space="preserve">돌봄의 맥락에서, 독립전문가는 다음과 같이 권고한다: </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(a)</w:t>
      </w:r>
      <w:r>
        <w:tab/>
      </w:r>
      <w:r>
        <w:rPr>
          <w:rFonts w:ascii="휴먼명조" w:eastAsia="휴먼명조" w:hint="eastAsia"/>
          <w:b/>
          <w:bCs/>
          <w:sz w:val="24"/>
          <w:szCs w:val="24"/>
        </w:rPr>
        <w:t>소위 “</w:t>
      </w:r>
      <w:proofErr w:type="spellStart"/>
      <w:r>
        <w:rPr>
          <w:rFonts w:ascii="휴먼명조" w:eastAsia="휴먼명조" w:hint="eastAsia"/>
          <w:b/>
          <w:bCs/>
          <w:sz w:val="24"/>
          <w:szCs w:val="24"/>
        </w:rPr>
        <w:t>정신건강법률”을</w:t>
      </w:r>
      <w:proofErr w:type="spellEnd"/>
      <w:r>
        <w:rPr>
          <w:rFonts w:ascii="휴먼명조" w:eastAsia="휴먼명조" w:hint="eastAsia"/>
          <w:b/>
          <w:bCs/>
          <w:sz w:val="24"/>
          <w:szCs w:val="24"/>
        </w:rPr>
        <w:t xml:space="preserve"> 포함하여 노인의 연령 혹은 돌봄에 대한 인지된 또는 실질적 필요성에 기반하여 자유의 박탈을 정당화하며 “대리 </w:t>
      </w:r>
      <w:proofErr w:type="spellStart"/>
      <w:r>
        <w:rPr>
          <w:rFonts w:ascii="휴먼명조" w:eastAsia="휴먼명조" w:hint="eastAsia"/>
          <w:b/>
          <w:bCs/>
          <w:sz w:val="24"/>
          <w:szCs w:val="24"/>
        </w:rPr>
        <w:t>의사결정”을</w:t>
      </w:r>
      <w:proofErr w:type="spellEnd"/>
      <w:r>
        <w:rPr>
          <w:rFonts w:ascii="휴먼명조" w:eastAsia="휴먼명조" w:hint="eastAsia"/>
          <w:b/>
          <w:bCs/>
          <w:sz w:val="24"/>
          <w:szCs w:val="24"/>
        </w:rPr>
        <w:t xml:space="preserve"> 허용하는 모든 법규가 폐지되어야 한다. </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(b)</w:t>
      </w:r>
      <w:r>
        <w:tab/>
      </w:r>
      <w:r>
        <w:rPr>
          <w:rFonts w:ascii="휴먼명조" w:eastAsia="휴먼명조" w:hint="eastAsia"/>
          <w:b/>
          <w:bCs/>
          <w:sz w:val="24"/>
          <w:szCs w:val="24"/>
        </w:rPr>
        <w:t>“</w:t>
      </w:r>
      <w:proofErr w:type="spellStart"/>
      <w:r>
        <w:rPr>
          <w:rFonts w:ascii="휴먼명조" w:eastAsia="휴먼명조" w:hint="eastAsia"/>
          <w:b/>
          <w:bCs/>
          <w:sz w:val="24"/>
          <w:szCs w:val="24"/>
        </w:rPr>
        <w:t>에이징</w:t>
      </w:r>
      <w:proofErr w:type="spellEnd"/>
      <w:r>
        <w:rPr>
          <w:rFonts w:ascii="휴먼명조" w:eastAsia="휴먼명조" w:hint="eastAsia"/>
          <w:b/>
          <w:bCs/>
          <w:sz w:val="24"/>
          <w:szCs w:val="24"/>
        </w:rPr>
        <w:t xml:space="preserve"> 인 </w:t>
      </w:r>
      <w:proofErr w:type="spellStart"/>
      <w:r>
        <w:rPr>
          <w:rFonts w:ascii="휴먼명조" w:eastAsia="휴먼명조" w:hint="eastAsia"/>
          <w:b/>
          <w:bCs/>
          <w:sz w:val="24"/>
          <w:szCs w:val="24"/>
        </w:rPr>
        <w:t>플레이스”의</w:t>
      </w:r>
      <w:proofErr w:type="spellEnd"/>
      <w:r>
        <w:rPr>
          <w:rFonts w:ascii="휴먼명조" w:eastAsia="휴먼명조" w:hint="eastAsia"/>
          <w:b/>
          <w:bCs/>
          <w:sz w:val="24"/>
          <w:szCs w:val="24"/>
        </w:rPr>
        <w:t xml:space="preserve"> 개념과 노인에 대한 시설화의 근절이라는 목적에 부합하도록 연령과 관련된 적절한 돌봄 계획이 수립되고 국가 재정이 적절히 제공되어 노인이 공동체에서 독립적으로 존엄하며 그들의 의지와 선호에 부합하는 삶을 살 수 있도록 보장해야 한다. </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 xml:space="preserve">(c) 민간 서비스 제공자는 노인을 위한 돌봄 및 생활 계획에 있어 권리에 기반한 접근법을 취해야 한다. 그러한 계획과 활동은 국제인권법에 따른 의무에 따라 국가가 규제하고 감시해야 한다. </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(d)</w:t>
      </w:r>
      <w:r>
        <w:tab/>
      </w:r>
      <w:r>
        <w:rPr>
          <w:rFonts w:ascii="휴먼명조" w:eastAsia="휴먼명조" w:hint="eastAsia"/>
          <w:b/>
          <w:bCs/>
          <w:sz w:val="24"/>
          <w:szCs w:val="24"/>
        </w:rPr>
        <w:t xml:space="preserve">돌봄 제공 인력과 돌봄 시설 관리들은 노인에 대한 자유의 박탈 및 부당한 대우, 폭력 또는 방임에 해당하는 행동을 예방하기 위해 노인들의 요구에 대한 적절한 교육을 받아야 한다. </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(e)</w:t>
      </w:r>
      <w:r>
        <w:tab/>
      </w:r>
      <w:r>
        <w:rPr>
          <w:rFonts w:ascii="휴먼명조" w:eastAsia="휴먼명조" w:hint="eastAsia"/>
          <w:b/>
          <w:bCs/>
          <w:sz w:val="24"/>
          <w:szCs w:val="24"/>
        </w:rPr>
        <w:t xml:space="preserve">국가는 연령 또는 인지되거나 실질적인 장애 혹은 돌봄의 필요성을 기반으로 노인의 자유를 박탈하는 것을 허용하는 서비스에 재정을 지원하는 것을 지양해야 한다. 재정지원은 돌봄 맥락에서 모든 형태의 자유 박탈을 근절하기 위한 연구 및 기술적 지원을 보조하는데 제공되어야 한다. </w:t>
      </w:r>
    </w:p>
    <w:p w:rsidR="009E6F5F" w:rsidRDefault="009E6F5F" w:rsidP="009E6F5F">
      <w:pPr>
        <w:pStyle w:val="a4"/>
        <w:spacing w:line="372" w:lineRule="auto"/>
        <w:rPr>
          <w:b/>
          <w:bCs/>
          <w:sz w:val="24"/>
          <w:szCs w:val="24"/>
        </w:rPr>
      </w:pPr>
    </w:p>
    <w:p w:rsidR="009E6F5F" w:rsidRDefault="009E6F5F" w:rsidP="009E6F5F">
      <w:pPr>
        <w:pStyle w:val="a4"/>
        <w:spacing w:line="372" w:lineRule="auto"/>
      </w:pPr>
      <w:r>
        <w:tab/>
      </w:r>
      <w:r>
        <w:rPr>
          <w:rFonts w:ascii="휴먼명조" w:eastAsia="휴먼명조" w:hint="eastAsia"/>
          <w:b/>
          <w:bCs/>
          <w:sz w:val="24"/>
          <w:szCs w:val="24"/>
        </w:rPr>
        <w:t>(f)</w:t>
      </w:r>
      <w:r>
        <w:tab/>
      </w:r>
      <w:r>
        <w:rPr>
          <w:rFonts w:ascii="휴먼명조" w:eastAsia="휴먼명조" w:hint="eastAsia"/>
          <w:b/>
          <w:bCs/>
          <w:sz w:val="24"/>
          <w:szCs w:val="24"/>
        </w:rPr>
        <w:t xml:space="preserve">국가는 장애인권리협약에 규정하듯 국가 법률에서 노인을 위한 정보에 기반한 동의를 포함한 자율성, 독립성 및 행위능력의 원칙을 지지해야 한다. </w:t>
      </w:r>
    </w:p>
    <w:p w:rsidR="009E6F5F" w:rsidRPr="009E6F5F" w:rsidRDefault="009E6F5F" w:rsidP="009E6F5F">
      <w:pPr>
        <w:pStyle w:val="a4"/>
        <w:spacing w:line="372" w:lineRule="auto"/>
        <w:rPr>
          <w:spacing w:val="-14"/>
        </w:rPr>
      </w:pPr>
    </w:p>
    <w:sectPr w:rsidR="009E6F5F" w:rsidRPr="009E6F5F" w:rsidSect="00070120">
      <w:pgSz w:w="11906" w:h="16838"/>
      <w:pgMar w:top="1418" w:right="1304" w:bottom="1418" w:left="1304"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E77F5" w:rsidRDefault="00EE77F5" w:rsidP="00053582">
      <w:pPr>
        <w:spacing w:after="0" w:line="240" w:lineRule="auto"/>
      </w:pPr>
      <w:r>
        <w:separator/>
      </w:r>
    </w:p>
  </w:endnote>
  <w:endnote w:type="continuationSeparator" w:id="0">
    <w:p w:rsidR="00EE77F5" w:rsidRDefault="00EE77F5" w:rsidP="000535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HY중고딕">
    <w:panose1 w:val="02030600000101010101"/>
    <w:charset w:val="81"/>
    <w:family w:val="roman"/>
    <w:pitch w:val="variable"/>
    <w:sig w:usb0="900002A7" w:usb1="29D77CF9" w:usb2="00000010" w:usb3="00000000" w:csb0="00080000" w:csb1="00000000"/>
  </w:font>
  <w:font w:name="굴림">
    <w:altName w:val="Gulim"/>
    <w:panose1 w:val="020B0600000101010101"/>
    <w:charset w:val="81"/>
    <w:family w:val="modern"/>
    <w:pitch w:val="variable"/>
    <w:sig w:usb0="B00002AF" w:usb1="69D77CFB" w:usb2="00000030" w:usb3="00000000" w:csb0="0008009F" w:csb1="00000000"/>
  </w:font>
  <w:font w:name="함초롬바탕">
    <w:panose1 w:val="020B0804000101010101"/>
    <w:charset w:val="81"/>
    <w:family w:val="roman"/>
    <w:pitch w:val="variable"/>
    <w:sig w:usb0="F7002EFF" w:usb1="19DFFFFF" w:usb2="001BFDD7" w:usb3="00000000" w:csb0="001F01FF" w:csb1="00000000"/>
  </w:font>
  <w:font w:name="HY헤드라인M">
    <w:panose1 w:val="02030600000101010101"/>
    <w:charset w:val="81"/>
    <w:family w:val="roman"/>
    <w:pitch w:val="variable"/>
    <w:sig w:usb0="900002A7" w:usb1="09D77CF9"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 w:name="휴먼명조">
    <w:altName w:val="바탕"/>
    <w:panose1 w:val="00000000000000000000"/>
    <w:charset w:val="81"/>
    <w:family w:val="roman"/>
    <w:notTrueType/>
    <w:pitch w:val="default"/>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E77F5" w:rsidRDefault="00EE77F5" w:rsidP="00053582">
      <w:pPr>
        <w:spacing w:after="0" w:line="240" w:lineRule="auto"/>
      </w:pPr>
      <w:r>
        <w:separator/>
      </w:r>
    </w:p>
  </w:footnote>
  <w:footnote w:type="continuationSeparator" w:id="0">
    <w:p w:rsidR="00EE77F5" w:rsidRDefault="00EE77F5" w:rsidP="00053582">
      <w:pPr>
        <w:spacing w:after="0" w:line="240" w:lineRule="auto"/>
      </w:pPr>
      <w:r>
        <w:continuationSeparator/>
      </w:r>
    </w:p>
  </w:footnote>
  <w:footnote w:id="1">
    <w:p w:rsidR="0033588E" w:rsidRPr="00053582" w:rsidRDefault="0033588E" w:rsidP="00053582">
      <w:pPr>
        <w:pStyle w:val="a8"/>
      </w:pPr>
      <w:r w:rsidRPr="00053582">
        <w:rPr>
          <w:rStyle w:val="a7"/>
          <w:rFonts w:ascii="휴먼명조" w:eastAsia="휴먼명조" w:hint="eastAsia"/>
        </w:rPr>
        <w:footnoteRef/>
      </w:r>
      <w:r w:rsidRPr="00053582">
        <w:rPr>
          <w:rFonts w:ascii="휴먼명조" w:eastAsia="휴먼명조" w:hint="eastAsia"/>
        </w:rPr>
        <w:t xml:space="preserve"> </w:t>
      </w:r>
      <w:hyperlink r:id="rId1" w:history="1">
        <w:r w:rsidRPr="00053582">
          <w:rPr>
            <w:rStyle w:val="a9"/>
            <w:rFonts w:ascii="휴먼명조" w:eastAsia="휴먼명조" w:hint="eastAsia"/>
            <w:u w:color="0000FF"/>
          </w:rPr>
          <w:t>https://www.ohchr.org/en/calls-for-input/2022/report-older-persons-deprived-their-liberty</w:t>
        </w:r>
      </w:hyperlink>
      <w:r w:rsidRPr="00053582">
        <w:rPr>
          <w:rFonts w:ascii="휴먼명조" w:eastAsia="휴먼명조" w:hint="eastAsia"/>
        </w:rPr>
        <w:t xml:space="preserve"> 참조</w:t>
      </w:r>
      <w:r>
        <w:rPr>
          <w:rFonts w:ascii="휴먼명조" w:eastAsia="휴먼명조" w:hint="eastAsia"/>
        </w:rPr>
        <w:t>.</w:t>
      </w:r>
    </w:p>
  </w:footnote>
  <w:footnote w:id="2">
    <w:p w:rsidR="0033588E" w:rsidRPr="00053582" w:rsidRDefault="0033588E" w:rsidP="00053582">
      <w:pPr>
        <w:pStyle w:val="a8"/>
        <w:rPr>
          <w:rFonts w:ascii="휴먼명조" w:eastAsia="휴먼명조"/>
        </w:rPr>
      </w:pPr>
      <w:r w:rsidRPr="00053582">
        <w:rPr>
          <w:rStyle w:val="a7"/>
          <w:rFonts w:ascii="휴먼명조" w:eastAsia="휴먼명조" w:hint="eastAsia"/>
        </w:rPr>
        <w:footnoteRef/>
      </w:r>
      <w:r w:rsidRPr="00053582">
        <w:rPr>
          <w:rFonts w:ascii="휴먼명조" w:eastAsia="휴먼명조" w:hint="eastAsia"/>
        </w:rPr>
        <w:t xml:space="preserve"> 세계인권선언 제3조, 시민적 및 정치적 권리에 관한 국제규약 제9조. </w:t>
      </w:r>
    </w:p>
  </w:footnote>
  <w:footnote w:id="3">
    <w:p w:rsidR="0033588E" w:rsidRPr="00053582" w:rsidRDefault="0033588E" w:rsidP="00053582">
      <w:pPr>
        <w:pStyle w:val="a8"/>
        <w:rPr>
          <w:rFonts w:ascii="휴먼명조" w:eastAsia="휴먼명조"/>
        </w:rPr>
      </w:pPr>
      <w:r w:rsidRPr="00053582">
        <w:rPr>
          <w:rStyle w:val="a7"/>
          <w:rFonts w:ascii="휴먼명조" w:eastAsia="휴먼명조" w:hint="eastAsia"/>
        </w:rPr>
        <w:footnoteRef/>
      </w:r>
      <w:r w:rsidRPr="00053582">
        <w:rPr>
          <w:rFonts w:ascii="휴먼명조" w:eastAsia="휴먼명조" w:hint="eastAsia"/>
        </w:rPr>
        <w:t xml:space="preserve"> 자유권위원회, 일반논평 제35호(2014), 제3항.</w:t>
      </w:r>
    </w:p>
  </w:footnote>
  <w:footnote w:id="4">
    <w:p w:rsidR="0033588E" w:rsidRDefault="0033588E" w:rsidP="00053582">
      <w:pPr>
        <w:pStyle w:val="a8"/>
      </w:pPr>
      <w:r w:rsidRPr="00053582">
        <w:rPr>
          <w:rStyle w:val="a7"/>
          <w:rFonts w:ascii="휴먼명조" w:eastAsia="휴먼명조" w:hint="eastAsia"/>
        </w:rPr>
        <w:footnoteRef/>
      </w:r>
      <w:r w:rsidRPr="00053582">
        <w:rPr>
          <w:rFonts w:ascii="휴먼명조" w:eastAsia="휴먼명조" w:hint="eastAsia"/>
        </w:rPr>
        <w:t xml:space="preserve"> 상게서, 제7항.</w:t>
      </w:r>
    </w:p>
  </w:footnote>
  <w:footnote w:id="5">
    <w:p w:rsidR="0033588E" w:rsidRPr="00DE0A9D" w:rsidRDefault="0033588E" w:rsidP="00053582">
      <w:pPr>
        <w:pStyle w:val="a8"/>
        <w:rPr>
          <w:rFonts w:ascii="휴먼명조" w:eastAsia="휴먼명조"/>
        </w:rPr>
      </w:pPr>
      <w:r w:rsidRPr="00DE0A9D">
        <w:rPr>
          <w:rStyle w:val="a7"/>
          <w:rFonts w:ascii="휴먼명조" w:eastAsia="휴먼명조" w:hint="eastAsia"/>
        </w:rPr>
        <w:footnoteRef/>
      </w:r>
      <w:r w:rsidRPr="00DE0A9D">
        <w:rPr>
          <w:rFonts w:ascii="휴먼명조" w:eastAsia="휴먼명조" w:hint="eastAsia"/>
        </w:rPr>
        <w:t xml:space="preserve"> 상게서, 제17항; A/HRC/40/54, 제39항.</w:t>
      </w:r>
    </w:p>
  </w:footnote>
  <w:footnote w:id="6">
    <w:p w:rsidR="0033588E" w:rsidRPr="00DE0A9D" w:rsidRDefault="0033588E" w:rsidP="00DE0A9D">
      <w:pPr>
        <w:pStyle w:val="a8"/>
        <w:rPr>
          <w:rFonts w:ascii="휴먼명조" w:eastAsia="휴먼명조"/>
        </w:rPr>
      </w:pPr>
      <w:r w:rsidRPr="00DE0A9D">
        <w:rPr>
          <w:rStyle w:val="a7"/>
          <w:rFonts w:ascii="휴먼명조" w:eastAsia="휴먼명조" w:hint="eastAsia"/>
        </w:rPr>
        <w:footnoteRef/>
      </w:r>
      <w:r w:rsidRPr="00DE0A9D">
        <w:rPr>
          <w:rFonts w:ascii="휴먼명조" w:eastAsia="휴먼명조" w:hint="eastAsia"/>
        </w:rPr>
        <w:t xml:space="preserve"> 자유권위원회, 일반논평 제35호(2014), 제6항.</w:t>
      </w:r>
    </w:p>
  </w:footnote>
  <w:footnote w:id="7">
    <w:p w:rsidR="0033588E" w:rsidRPr="00DE0A9D" w:rsidRDefault="0033588E" w:rsidP="00DE0A9D">
      <w:pPr>
        <w:pStyle w:val="a8"/>
        <w:rPr>
          <w:rFonts w:ascii="휴먼명조" w:eastAsia="휴먼명조"/>
        </w:rPr>
      </w:pPr>
      <w:r w:rsidRPr="00DE0A9D">
        <w:rPr>
          <w:rStyle w:val="a7"/>
          <w:rFonts w:ascii="휴먼명조" w:eastAsia="휴먼명조" w:hint="eastAsia"/>
        </w:rPr>
        <w:footnoteRef/>
      </w:r>
      <w:r w:rsidRPr="00DE0A9D">
        <w:rPr>
          <w:rFonts w:ascii="휴먼명조" w:eastAsia="휴먼명조" w:hint="eastAsia"/>
        </w:rPr>
        <w:t xml:space="preserve"> 상게서, 제5항.</w:t>
      </w:r>
    </w:p>
  </w:footnote>
  <w:footnote w:id="8">
    <w:p w:rsidR="0033588E" w:rsidRPr="00DE0A9D" w:rsidRDefault="0033588E" w:rsidP="00DE0A9D">
      <w:pPr>
        <w:pStyle w:val="a8"/>
        <w:rPr>
          <w:rFonts w:ascii="휴먼명조" w:eastAsia="휴먼명조"/>
        </w:rPr>
      </w:pPr>
      <w:r w:rsidRPr="00DE0A9D">
        <w:rPr>
          <w:rStyle w:val="a7"/>
          <w:rFonts w:ascii="휴먼명조" w:eastAsia="휴먼명조" w:hint="eastAsia"/>
        </w:rPr>
        <w:footnoteRef/>
      </w:r>
      <w:r w:rsidRPr="00DE0A9D">
        <w:rPr>
          <w:rFonts w:ascii="휴먼명조" w:eastAsia="휴먼명조" w:hint="eastAsia"/>
        </w:rPr>
        <w:t xml:space="preserve"> 총회 결의 제57/199호, 부록.</w:t>
      </w:r>
    </w:p>
  </w:footnote>
  <w:footnote w:id="9">
    <w:p w:rsidR="0033588E" w:rsidRDefault="0033588E" w:rsidP="00DE0A9D">
      <w:pPr>
        <w:pStyle w:val="a8"/>
      </w:pPr>
      <w:r w:rsidRPr="00DE0A9D">
        <w:rPr>
          <w:rStyle w:val="a7"/>
          <w:rFonts w:ascii="휴먼명조" w:eastAsia="휴먼명조" w:hint="eastAsia"/>
        </w:rPr>
        <w:footnoteRef/>
      </w:r>
      <w:r w:rsidRPr="00DE0A9D">
        <w:rPr>
          <w:rFonts w:ascii="휴먼명조" w:eastAsia="휴먼명조" w:hint="eastAsia"/>
        </w:rPr>
        <w:t xml:space="preserve"> CAT/C/50/2, 제67항.</w:t>
      </w:r>
    </w:p>
  </w:footnote>
  <w:footnote w:id="10">
    <w:p w:rsidR="0033588E" w:rsidRPr="00DE0A9D" w:rsidRDefault="0033588E" w:rsidP="00DE0A9D">
      <w:pPr>
        <w:pStyle w:val="a8"/>
        <w:rPr>
          <w:rFonts w:ascii="휴먼명조" w:eastAsia="휴먼명조"/>
        </w:rPr>
      </w:pPr>
      <w:r w:rsidRPr="00DE0A9D">
        <w:rPr>
          <w:rStyle w:val="a7"/>
          <w:rFonts w:ascii="휴먼명조" w:eastAsia="휴먼명조" w:hint="eastAsia"/>
        </w:rPr>
        <w:footnoteRef/>
      </w:r>
      <w:r w:rsidRPr="00DE0A9D">
        <w:rPr>
          <w:rFonts w:ascii="휴먼명조" w:eastAsia="휴먼명조" w:hint="eastAsia"/>
        </w:rPr>
        <w:t xml:space="preserve"> 미주기구, “미주 내 자유를 박탈당한 이들의 보호를 위한 원칙 및 모범 사례”, 2008년 3월; 유엔난민기구, 망명 신청자의 구금과 관련한 적용가능한 조건 및 기준과 대안에 대한 가이드라인, UNHCR, 2012; A/HRC/30/43/Add.2, 제48-50항.</w:t>
      </w:r>
    </w:p>
  </w:footnote>
  <w:footnote w:id="11">
    <w:p w:rsidR="0033588E" w:rsidRPr="00DE0A9D" w:rsidRDefault="0033588E" w:rsidP="00DE0A9D">
      <w:pPr>
        <w:pStyle w:val="a8"/>
        <w:rPr>
          <w:rFonts w:ascii="휴먼명조" w:eastAsia="휴먼명조"/>
        </w:rPr>
      </w:pPr>
      <w:r w:rsidRPr="00DE0A9D">
        <w:rPr>
          <w:rStyle w:val="a7"/>
          <w:rFonts w:ascii="휴먼명조" w:eastAsia="휴먼명조" w:hint="eastAsia"/>
        </w:rPr>
        <w:footnoteRef/>
      </w:r>
      <w:r w:rsidRPr="00DE0A9D">
        <w:rPr>
          <w:rFonts w:ascii="휴먼명조" w:eastAsia="휴먼명조" w:hint="eastAsia"/>
        </w:rPr>
        <w:t xml:space="preserve"> 시민적 및 정치적 권리에 관한 국제규약, 제2(1)조, 10조 및 26조; 경제적, 사회적 및 문화적 권리에 관한 국제규약 제2(2)조 및 6-15조; 여성차별철폐협약; 장애인권리협약. </w:t>
      </w:r>
    </w:p>
  </w:footnote>
  <w:footnote w:id="12">
    <w:p w:rsidR="0033588E" w:rsidRPr="00DE0A9D" w:rsidRDefault="0033588E" w:rsidP="00DE0A9D">
      <w:pPr>
        <w:pStyle w:val="a8"/>
        <w:rPr>
          <w:rFonts w:ascii="휴먼명조" w:eastAsia="휴먼명조"/>
        </w:rPr>
      </w:pPr>
      <w:r w:rsidRPr="00DE0A9D">
        <w:rPr>
          <w:rStyle w:val="a7"/>
          <w:rFonts w:ascii="휴먼명조" w:eastAsia="휴먼명조" w:hint="eastAsia"/>
        </w:rPr>
        <w:footnoteRef/>
      </w:r>
      <w:r w:rsidRPr="00DE0A9D">
        <w:rPr>
          <w:rFonts w:ascii="휴먼명조" w:eastAsia="휴먼명조" w:hint="eastAsia"/>
        </w:rPr>
        <w:t xml:space="preserve"> 총회 결의 제46/91호, 부록, 원칙 12, 17, 18. </w:t>
      </w:r>
    </w:p>
  </w:footnote>
  <w:footnote w:id="13">
    <w:p w:rsidR="0033588E" w:rsidRPr="00DE0A9D" w:rsidRDefault="0033588E" w:rsidP="00DE0A9D">
      <w:pPr>
        <w:pStyle w:val="a8"/>
        <w:rPr>
          <w:rFonts w:ascii="휴먼명조" w:eastAsia="휴먼명조"/>
        </w:rPr>
      </w:pPr>
      <w:r w:rsidRPr="00DE0A9D">
        <w:rPr>
          <w:rStyle w:val="a7"/>
          <w:rFonts w:ascii="휴먼명조" w:eastAsia="휴먼명조" w:hint="eastAsia"/>
        </w:rPr>
        <w:footnoteRef/>
      </w:r>
      <w:r w:rsidRPr="00DE0A9D">
        <w:rPr>
          <w:rFonts w:ascii="휴먼명조" w:eastAsia="휴먼명조" w:hint="eastAsia"/>
        </w:rPr>
        <w:t xml:space="preserve"> 노인인권 보호에 관한 미주 협약, 제5조</w:t>
      </w:r>
    </w:p>
  </w:footnote>
  <w:footnote w:id="14">
    <w:p w:rsidR="0033588E" w:rsidRDefault="0033588E" w:rsidP="00DE0A9D">
      <w:pPr>
        <w:pStyle w:val="a8"/>
      </w:pPr>
      <w:r w:rsidRPr="00DE0A9D">
        <w:rPr>
          <w:rStyle w:val="a7"/>
          <w:rFonts w:ascii="휴먼명조" w:eastAsia="휴먼명조" w:hint="eastAsia"/>
        </w:rPr>
        <w:footnoteRef/>
      </w:r>
      <w:r w:rsidRPr="00DE0A9D">
        <w:rPr>
          <w:rFonts w:ascii="휴먼명조" w:eastAsia="휴먼명조" w:hint="eastAsia"/>
        </w:rPr>
        <w:t xml:space="preserve"> Lucy Series 박사 및 Judy Laing 교수 제출.</w:t>
      </w:r>
      <w:r>
        <w:rPr>
          <w:rFonts w:ascii="휴먼명조" w:eastAsia="휴먼명조" w:hint="eastAsia"/>
        </w:rPr>
        <w:t xml:space="preserve"> </w:t>
      </w:r>
    </w:p>
  </w:footnote>
  <w:footnote w:id="15">
    <w:p w:rsidR="0033588E" w:rsidRPr="00DE0A9D" w:rsidRDefault="0033588E" w:rsidP="00DE0A9D">
      <w:pPr>
        <w:pStyle w:val="a8"/>
        <w:rPr>
          <w:rFonts w:ascii="휴먼명조" w:eastAsia="휴먼명조"/>
        </w:rPr>
      </w:pPr>
      <w:r w:rsidRPr="00DE0A9D">
        <w:rPr>
          <w:rStyle w:val="a7"/>
          <w:rFonts w:ascii="휴먼명조" w:eastAsia="휴먼명조" w:hint="eastAsia"/>
        </w:rPr>
        <w:footnoteRef/>
      </w:r>
      <w:r w:rsidRPr="00DE0A9D">
        <w:rPr>
          <w:rFonts w:ascii="휴먼명조" w:eastAsia="휴먼명조" w:hint="eastAsia"/>
        </w:rPr>
        <w:t xml:space="preserve"> 유럽인권재판소, </w:t>
      </w:r>
      <w:proofErr w:type="spellStart"/>
      <w:r w:rsidRPr="00DE0A9D">
        <w:rPr>
          <w:rFonts w:ascii="휴먼명조" w:eastAsia="휴먼명조" w:hint="eastAsia"/>
        </w:rPr>
        <w:t>Storck</w:t>
      </w:r>
      <w:proofErr w:type="spellEnd"/>
      <w:r w:rsidRPr="00DE0A9D">
        <w:rPr>
          <w:rFonts w:ascii="휴먼명조" w:eastAsia="휴먼명조" w:hint="eastAsia"/>
        </w:rPr>
        <w:t xml:space="preserve"> 대 독일, 진정 No.61603/00(2018), 제143항.</w:t>
      </w:r>
    </w:p>
  </w:footnote>
  <w:footnote w:id="16">
    <w:p w:rsidR="0033588E" w:rsidRPr="00DE0A9D" w:rsidRDefault="0033588E" w:rsidP="00DE0A9D">
      <w:pPr>
        <w:pStyle w:val="a8"/>
        <w:rPr>
          <w:rFonts w:ascii="휴먼명조" w:eastAsia="휴먼명조"/>
        </w:rPr>
      </w:pPr>
      <w:r w:rsidRPr="00DE0A9D">
        <w:rPr>
          <w:rStyle w:val="a7"/>
          <w:rFonts w:ascii="휴먼명조" w:eastAsia="휴먼명조" w:hint="eastAsia"/>
        </w:rPr>
        <w:footnoteRef/>
      </w:r>
      <w:r w:rsidRPr="00DE0A9D">
        <w:rPr>
          <w:rFonts w:ascii="휴먼명조" w:eastAsia="휴먼명조" w:hint="eastAsia"/>
        </w:rPr>
        <w:t xml:space="preserve"> 총회결의 제70/175호, 부록, 규칙 2.2.</w:t>
      </w:r>
    </w:p>
  </w:footnote>
  <w:footnote w:id="17">
    <w:p w:rsidR="0033588E" w:rsidRPr="00DE0A9D" w:rsidRDefault="0033588E" w:rsidP="00DE0A9D">
      <w:pPr>
        <w:pStyle w:val="a8"/>
        <w:rPr>
          <w:rFonts w:ascii="휴먼명조" w:eastAsia="휴먼명조"/>
        </w:rPr>
      </w:pPr>
      <w:r w:rsidRPr="00DE0A9D">
        <w:rPr>
          <w:rStyle w:val="a7"/>
          <w:rFonts w:ascii="휴먼명조" w:eastAsia="휴먼명조" w:hint="eastAsia"/>
        </w:rPr>
        <w:footnoteRef/>
      </w:r>
      <w:r w:rsidRPr="00DE0A9D">
        <w:rPr>
          <w:rFonts w:ascii="휴먼명조" w:eastAsia="휴먼명조" w:hint="eastAsia"/>
        </w:rPr>
        <w:t xml:space="preserve"> 유엔마약범죄사무소(UNODC), 특별한 필요를 가진 피구금자에 대한 핸드북, 2009년, 131쪽. </w:t>
      </w:r>
    </w:p>
  </w:footnote>
  <w:footnote w:id="18">
    <w:p w:rsidR="0033588E" w:rsidRPr="00DE0A9D" w:rsidRDefault="0033588E" w:rsidP="00DE0A9D">
      <w:pPr>
        <w:pStyle w:val="a8"/>
        <w:rPr>
          <w:rFonts w:ascii="휴먼명조" w:eastAsia="휴먼명조"/>
          <w:spacing w:val="-20"/>
        </w:rPr>
      </w:pPr>
      <w:r w:rsidRPr="00DE0A9D">
        <w:rPr>
          <w:rStyle w:val="a7"/>
          <w:rFonts w:ascii="휴먼명조" w:eastAsia="휴먼명조" w:hint="eastAsia"/>
        </w:rPr>
        <w:footnoteRef/>
      </w:r>
      <w:r w:rsidRPr="00DE0A9D">
        <w:rPr>
          <w:rFonts w:ascii="휴먼명조" w:eastAsia="휴먼명조" w:hint="eastAsia"/>
        </w:rPr>
        <w:t xml:space="preserve"> </w:t>
      </w:r>
      <w:r w:rsidRPr="00DE0A9D">
        <w:rPr>
          <w:rFonts w:ascii="휴먼명조" w:eastAsia="휴먼명조" w:hint="eastAsia"/>
          <w:spacing w:val="-20"/>
        </w:rPr>
        <w:t>미주위원회 노인인권 향유 독립전문가가 제출한 자유를 박탈당한 노인의 인권에 대한 미주인권재판소의 자문의견, 2021년, 제25-26항 (https://www.ohchr.org/sites/default/files/Documents/Issues/OlderPersons/Advisory_Opinion_submission.pdf. 참조)</w:t>
      </w:r>
    </w:p>
  </w:footnote>
  <w:footnote w:id="19">
    <w:p w:rsidR="0033588E" w:rsidRPr="009F0F58" w:rsidRDefault="0033588E" w:rsidP="009F0F58">
      <w:pPr>
        <w:pStyle w:val="a8"/>
        <w:rPr>
          <w:rFonts w:ascii="휴먼명조" w:eastAsia="휴먼명조"/>
        </w:rPr>
      </w:pPr>
      <w:r w:rsidRPr="00DE0A9D">
        <w:rPr>
          <w:rStyle w:val="a7"/>
          <w:rFonts w:ascii="휴먼명조" w:eastAsia="휴먼명조" w:hint="eastAsia"/>
        </w:rPr>
        <w:footnoteRef/>
      </w:r>
      <w:r w:rsidRPr="00DE0A9D">
        <w:rPr>
          <w:rFonts w:ascii="휴먼명조" w:eastAsia="휴먼명조" w:hint="eastAsia"/>
        </w:rPr>
        <w:t xml:space="preserve"> 총회 결의 제66/229호, 부록.</w:t>
      </w:r>
    </w:p>
  </w:footnote>
  <w:footnote w:id="20">
    <w:p w:rsidR="0033588E" w:rsidRPr="00674127" w:rsidRDefault="0033588E" w:rsidP="009F0F58">
      <w:pPr>
        <w:pStyle w:val="a8"/>
        <w:rPr>
          <w:rFonts w:ascii="휴먼명조" w:eastAsia="휴먼명조"/>
        </w:rPr>
      </w:pPr>
      <w:r w:rsidRPr="00674127">
        <w:rPr>
          <w:rStyle w:val="a7"/>
          <w:rFonts w:ascii="휴먼명조" w:eastAsia="휴먼명조" w:hint="eastAsia"/>
        </w:rPr>
        <w:footnoteRef/>
      </w:r>
      <w:r w:rsidRPr="00674127">
        <w:rPr>
          <w:rFonts w:ascii="휴먼명조" w:eastAsia="휴먼명조" w:hint="eastAsia"/>
        </w:rPr>
        <w:t xml:space="preserve"> </w:t>
      </w:r>
      <w:r w:rsidRPr="00674127">
        <w:rPr>
          <w:rFonts w:ascii="휴먼명조" w:eastAsia="휴먼명조" w:hint="eastAsia"/>
          <w:spacing w:val="-6"/>
        </w:rPr>
        <w:t>유엔난민기구, 망명 신청자의 구금과 관련한 적용가능한 조건 및 기준과 대안에 대한 가이드라인, 2012년, 6쪽.</w:t>
      </w:r>
    </w:p>
  </w:footnote>
  <w:footnote w:id="21">
    <w:p w:rsidR="0033588E" w:rsidRPr="00674127" w:rsidRDefault="0033588E" w:rsidP="009F0F58">
      <w:pPr>
        <w:pStyle w:val="a8"/>
        <w:rPr>
          <w:rFonts w:ascii="휴먼명조" w:eastAsia="휴먼명조"/>
        </w:rPr>
      </w:pPr>
      <w:r w:rsidRPr="00674127">
        <w:rPr>
          <w:rStyle w:val="a7"/>
          <w:rFonts w:ascii="휴먼명조" w:eastAsia="휴먼명조" w:hint="eastAsia"/>
        </w:rPr>
        <w:footnoteRef/>
      </w:r>
      <w:r w:rsidRPr="00674127">
        <w:rPr>
          <w:rFonts w:ascii="휴먼명조" w:eastAsia="휴먼명조" w:hint="eastAsia"/>
        </w:rPr>
        <w:t xml:space="preserve"> A/HRC/39/45, 부록, 제41항. </w:t>
      </w:r>
      <w:proofErr w:type="spellStart"/>
      <w:r w:rsidRPr="00674127">
        <w:rPr>
          <w:rFonts w:ascii="휴먼명조" w:eastAsia="휴먼명조" w:hint="eastAsia"/>
        </w:rPr>
        <w:t>이주노동자권리보호위원회</w:t>
      </w:r>
      <w:proofErr w:type="spellEnd"/>
      <w:r w:rsidRPr="00674127">
        <w:rPr>
          <w:rFonts w:ascii="휴먼명조" w:eastAsia="휴먼명조" w:hint="eastAsia"/>
        </w:rPr>
        <w:t>, 일반논평 제5호(2021), 제52항.</w:t>
      </w:r>
    </w:p>
  </w:footnote>
  <w:footnote w:id="22">
    <w:p w:rsidR="0033588E" w:rsidRPr="00674127" w:rsidRDefault="0033588E" w:rsidP="009F0F58">
      <w:pPr>
        <w:pStyle w:val="a8"/>
        <w:rPr>
          <w:rFonts w:ascii="휴먼명조" w:eastAsia="휴먼명조"/>
        </w:rPr>
      </w:pPr>
      <w:r w:rsidRPr="00674127">
        <w:rPr>
          <w:rStyle w:val="a7"/>
          <w:rFonts w:ascii="휴먼명조" w:eastAsia="휴먼명조" w:hint="eastAsia"/>
        </w:rPr>
        <w:footnoteRef/>
      </w:r>
      <w:r w:rsidRPr="00674127">
        <w:rPr>
          <w:rFonts w:ascii="휴먼명조" w:eastAsia="휴먼명조" w:hint="eastAsia"/>
        </w:rPr>
        <w:t xml:space="preserve"> 유엔난민기구, 적용가능한 조건에 대한 가이드라인, 2021년 6쪽 및 39쪽.</w:t>
      </w:r>
    </w:p>
  </w:footnote>
  <w:footnote w:id="23">
    <w:p w:rsidR="0033588E" w:rsidRDefault="0033588E" w:rsidP="009F0F58">
      <w:pPr>
        <w:pStyle w:val="a8"/>
      </w:pPr>
      <w:r w:rsidRPr="00674127">
        <w:rPr>
          <w:rStyle w:val="a7"/>
          <w:rFonts w:ascii="휴먼명조" w:eastAsia="휴먼명조" w:hint="eastAsia"/>
        </w:rPr>
        <w:footnoteRef/>
      </w:r>
      <w:r w:rsidRPr="00674127">
        <w:rPr>
          <w:rFonts w:ascii="휴먼명조" w:eastAsia="휴먼명조" w:hint="eastAsia"/>
        </w:rPr>
        <w:t xml:space="preserve"> 상게서, 39쪽.</w:t>
      </w:r>
    </w:p>
  </w:footnote>
  <w:footnote w:id="24">
    <w:p w:rsidR="0033588E" w:rsidRPr="00674127" w:rsidRDefault="0033588E" w:rsidP="00674127">
      <w:pPr>
        <w:pStyle w:val="a8"/>
        <w:rPr>
          <w:rFonts w:ascii="휴먼명조" w:eastAsia="휴먼명조"/>
        </w:rPr>
      </w:pPr>
      <w:r w:rsidRPr="00674127">
        <w:rPr>
          <w:rStyle w:val="a7"/>
          <w:rFonts w:ascii="휴먼명조" w:eastAsia="휴먼명조" w:hint="eastAsia"/>
        </w:rPr>
        <w:footnoteRef/>
      </w:r>
      <w:r w:rsidRPr="00674127">
        <w:rPr>
          <w:rFonts w:ascii="휴먼명조" w:eastAsia="휴먼명조" w:hint="eastAsia"/>
        </w:rPr>
        <w:t xml:space="preserve"> A/HRC/40/54, 제42항; 장애인권리위원회 “장애인권리협약 제14조에 대한 가이드라인: 장애인의 자유 및 안전에 대한 권리”, 2015년, 제6항.</w:t>
      </w:r>
    </w:p>
  </w:footnote>
  <w:footnote w:id="25">
    <w:p w:rsidR="0033588E" w:rsidRPr="00674127" w:rsidRDefault="0033588E" w:rsidP="00674127">
      <w:pPr>
        <w:pStyle w:val="a8"/>
        <w:rPr>
          <w:rFonts w:ascii="휴먼명조" w:eastAsia="휴먼명조"/>
        </w:rPr>
      </w:pPr>
      <w:r w:rsidRPr="00674127">
        <w:rPr>
          <w:rStyle w:val="a7"/>
          <w:rFonts w:ascii="휴먼명조" w:eastAsia="휴먼명조" w:hint="eastAsia"/>
        </w:rPr>
        <w:footnoteRef/>
      </w:r>
      <w:r w:rsidRPr="00674127">
        <w:rPr>
          <w:rFonts w:ascii="휴먼명조" w:eastAsia="휴먼명조" w:hint="eastAsia"/>
        </w:rPr>
        <w:t xml:space="preserve"> A/74/136, 제19-20항.</w:t>
      </w:r>
    </w:p>
  </w:footnote>
  <w:footnote w:id="26">
    <w:p w:rsidR="0033588E" w:rsidRPr="00674127" w:rsidRDefault="0033588E" w:rsidP="00674127">
      <w:pPr>
        <w:pStyle w:val="a8"/>
        <w:rPr>
          <w:rFonts w:ascii="휴먼명조" w:eastAsia="휴먼명조"/>
        </w:rPr>
      </w:pPr>
      <w:r w:rsidRPr="00674127">
        <w:rPr>
          <w:rStyle w:val="a7"/>
          <w:rFonts w:ascii="휴먼명조" w:eastAsia="휴먼명조" w:hint="eastAsia"/>
        </w:rPr>
        <w:footnoteRef/>
      </w:r>
      <w:r w:rsidRPr="00674127">
        <w:rPr>
          <w:rFonts w:ascii="휴먼명조" w:eastAsia="휴먼명조" w:hint="eastAsia"/>
        </w:rPr>
        <w:t xml:space="preserve"> A/HRC/41/33.</w:t>
      </w:r>
    </w:p>
  </w:footnote>
  <w:footnote w:id="27">
    <w:p w:rsidR="0033588E" w:rsidRPr="00674127" w:rsidRDefault="0033588E" w:rsidP="00674127">
      <w:pPr>
        <w:pStyle w:val="a8"/>
        <w:rPr>
          <w:rFonts w:ascii="휴먼명조" w:eastAsia="휴먼명조"/>
        </w:rPr>
      </w:pPr>
      <w:r w:rsidRPr="00674127">
        <w:rPr>
          <w:rStyle w:val="a7"/>
          <w:rFonts w:ascii="휴먼명조" w:eastAsia="휴먼명조" w:hint="eastAsia"/>
        </w:rPr>
        <w:footnoteRef/>
      </w:r>
      <w:r w:rsidRPr="00674127">
        <w:rPr>
          <w:rFonts w:ascii="휴먼명조" w:eastAsia="휴먼명조" w:hint="eastAsia"/>
        </w:rPr>
        <w:t xml:space="preserve"> 자유권위원회, 일반논평 제35호(2014년), 제7-8항.</w:t>
      </w:r>
    </w:p>
  </w:footnote>
  <w:footnote w:id="28">
    <w:p w:rsidR="0033588E" w:rsidRPr="00674127" w:rsidRDefault="0033588E" w:rsidP="00674127">
      <w:pPr>
        <w:pStyle w:val="a8"/>
      </w:pPr>
      <w:r w:rsidRPr="00674127">
        <w:rPr>
          <w:rStyle w:val="a7"/>
          <w:rFonts w:ascii="휴먼명조" w:eastAsia="휴먼명조" w:hint="eastAsia"/>
        </w:rPr>
        <w:footnoteRef/>
      </w:r>
      <w:r w:rsidRPr="00674127">
        <w:rPr>
          <w:rFonts w:ascii="휴먼명조" w:eastAsia="휴먼명조" w:hint="eastAsia"/>
        </w:rPr>
        <w:t xml:space="preserve"> Bridget </w:t>
      </w:r>
      <w:proofErr w:type="spellStart"/>
      <w:r w:rsidRPr="00674127">
        <w:rPr>
          <w:rFonts w:ascii="휴먼명조" w:eastAsia="휴먼명조" w:hint="eastAsia"/>
        </w:rPr>
        <w:t>Sleap</w:t>
      </w:r>
      <w:proofErr w:type="spellEnd"/>
      <w:r w:rsidRPr="00674127">
        <w:rPr>
          <w:rFonts w:ascii="휴먼명조" w:eastAsia="휴먼명조" w:hint="eastAsia"/>
        </w:rPr>
        <w:t xml:space="preserve">, “결정할 자유: 자율성 및 독립성에 대한 권리에 관한 노인의 의견”, </w:t>
      </w:r>
      <w:proofErr w:type="spellStart"/>
      <w:r w:rsidRPr="00674127">
        <w:rPr>
          <w:rFonts w:ascii="휴먼명조" w:eastAsia="휴먼명조" w:hint="eastAsia"/>
        </w:rPr>
        <w:t>헬프에이지</w:t>
      </w:r>
      <w:proofErr w:type="spellEnd"/>
      <w:r w:rsidRPr="00674127">
        <w:rPr>
          <w:rFonts w:ascii="휴먼명조" w:eastAsia="휴먼명조" w:hint="eastAsia"/>
        </w:rPr>
        <w:t xml:space="preserve"> 인터내셔널, 2018년 1월.</w:t>
      </w:r>
    </w:p>
  </w:footnote>
  <w:footnote w:id="29">
    <w:p w:rsidR="0033588E" w:rsidRPr="00674127" w:rsidRDefault="0033588E" w:rsidP="00674127">
      <w:pPr>
        <w:pStyle w:val="a8"/>
        <w:rPr>
          <w:rFonts w:ascii="휴먼명조" w:eastAsia="휴먼명조"/>
        </w:rPr>
      </w:pPr>
      <w:r w:rsidRPr="00674127">
        <w:rPr>
          <w:rStyle w:val="a7"/>
          <w:rFonts w:ascii="휴먼명조" w:eastAsia="휴먼명조" w:hint="eastAsia"/>
        </w:rPr>
        <w:footnoteRef/>
      </w:r>
      <w:r w:rsidRPr="00674127">
        <w:rPr>
          <w:rFonts w:ascii="휴먼명조" w:eastAsia="휴먼명조" w:hint="eastAsia"/>
        </w:rPr>
        <w:t xml:space="preserve"> A/HRC/18/37, 제65항; 사회권위원회, 일반논평 제14호(2000년), 제37항.</w:t>
      </w:r>
    </w:p>
  </w:footnote>
  <w:footnote w:id="30">
    <w:p w:rsidR="0033588E" w:rsidRPr="00674127" w:rsidRDefault="0033588E" w:rsidP="00674127">
      <w:pPr>
        <w:pStyle w:val="a8"/>
        <w:rPr>
          <w:rFonts w:ascii="휴먼명조" w:eastAsia="휴먼명조"/>
        </w:rPr>
      </w:pPr>
      <w:r w:rsidRPr="00674127">
        <w:rPr>
          <w:rStyle w:val="a7"/>
          <w:rFonts w:ascii="휴먼명조" w:eastAsia="휴먼명조" w:hint="eastAsia"/>
        </w:rPr>
        <w:footnoteRef/>
      </w:r>
      <w:r w:rsidRPr="00674127">
        <w:rPr>
          <w:rFonts w:ascii="휴먼명조" w:eastAsia="휴먼명조" w:hint="eastAsia"/>
        </w:rPr>
        <w:t xml:space="preserve"> A/HRC/45/14, 제36항.</w:t>
      </w:r>
    </w:p>
  </w:footnote>
  <w:footnote w:id="31">
    <w:p w:rsidR="0033588E" w:rsidRPr="00674127" w:rsidRDefault="0033588E" w:rsidP="004B36BB">
      <w:pPr>
        <w:pStyle w:val="a8"/>
      </w:pPr>
      <w:r w:rsidRPr="00674127">
        <w:rPr>
          <w:rStyle w:val="a7"/>
          <w:rFonts w:ascii="휴먼명조" w:eastAsia="휴먼명조" w:hint="eastAsia"/>
        </w:rPr>
        <w:footnoteRef/>
      </w:r>
      <w:r w:rsidRPr="00674127">
        <w:rPr>
          <w:rFonts w:ascii="휴먼명조" w:eastAsia="휴먼명조" w:hint="eastAsia"/>
        </w:rPr>
        <w:t xml:space="preserve"> </w:t>
      </w:r>
      <w:proofErr w:type="spellStart"/>
      <w:r w:rsidRPr="00674127">
        <w:rPr>
          <w:rFonts w:ascii="휴먼명조" w:eastAsia="휴먼명조" w:hint="eastAsia"/>
        </w:rPr>
        <w:t>Merredith</w:t>
      </w:r>
      <w:proofErr w:type="spellEnd"/>
      <w:r w:rsidRPr="00674127">
        <w:rPr>
          <w:rFonts w:ascii="휴먼명조" w:eastAsia="휴먼명조" w:hint="eastAsia"/>
        </w:rPr>
        <w:t xml:space="preserve"> Greene </w:t>
      </w:r>
      <w:proofErr w:type="gramStart"/>
      <w:r w:rsidRPr="00674127">
        <w:rPr>
          <w:rFonts w:ascii="휴먼명조" w:eastAsia="휴먼명조" w:hint="eastAsia"/>
        </w:rPr>
        <w:t>외.,</w:t>
      </w:r>
      <w:proofErr w:type="gramEnd"/>
      <w:r w:rsidRPr="00674127">
        <w:rPr>
          <w:rFonts w:ascii="휴먼명조" w:eastAsia="휴먼명조" w:hint="eastAsia"/>
        </w:rPr>
        <w:t xml:space="preserve"> “교도소 내 노인: 노인성 질병의 높은 비율과 조기 발병”, 건강과 정의, 6권. 1호(2018년): 유럽 평의회 의회, 법무 및 인권위원회, “유럽 내 심각한 질병을 가진 구금자의 운명”, 2015년, 제8항; Tina </w:t>
      </w:r>
      <w:proofErr w:type="spellStart"/>
      <w:r w:rsidRPr="00674127">
        <w:rPr>
          <w:rFonts w:ascii="휴먼명조" w:eastAsia="휴먼명조" w:hint="eastAsia"/>
        </w:rPr>
        <w:t>Maschi</w:t>
      </w:r>
      <w:proofErr w:type="spellEnd"/>
      <w:r w:rsidRPr="00674127">
        <w:rPr>
          <w:rFonts w:ascii="휴먼명조" w:eastAsia="휴먼명조" w:hint="eastAsia"/>
        </w:rPr>
        <w:t xml:space="preserve"> 외, “나를 잊지 말아요: 교도소에서의 치매”, Gerontologist, 53권, 4호(2012년),</w:t>
      </w:r>
      <w:r>
        <w:rPr>
          <w:rFonts w:ascii="휴먼명조" w:eastAsia="휴먼명조" w:hint="eastAsia"/>
        </w:rPr>
        <w:t xml:space="preserve"> 443쪽; 국제적십자위원회(ICRC), 노화와 치매, 제네바, 2020년, 4쪽.</w:t>
      </w:r>
    </w:p>
  </w:footnote>
  <w:footnote w:id="32">
    <w:p w:rsidR="0033588E" w:rsidRPr="004B36BB" w:rsidRDefault="0033588E" w:rsidP="004B36BB">
      <w:pPr>
        <w:pStyle w:val="a8"/>
        <w:rPr>
          <w:rFonts w:ascii="휴먼명조" w:eastAsia="휴먼명조"/>
        </w:rPr>
      </w:pPr>
      <w:r w:rsidRPr="004B36BB">
        <w:rPr>
          <w:rStyle w:val="a7"/>
          <w:rFonts w:ascii="휴먼명조" w:eastAsia="휴먼명조" w:hint="eastAsia"/>
        </w:rPr>
        <w:footnoteRef/>
      </w:r>
      <w:r w:rsidRPr="004B36BB">
        <w:rPr>
          <w:rFonts w:ascii="휴먼명조" w:eastAsia="휴먼명조" w:hint="eastAsia"/>
        </w:rPr>
        <w:t xml:space="preserve"> ICRC, 노화와 치매, 5쪽, Penal Reform International, Vicki </w:t>
      </w:r>
      <w:proofErr w:type="spellStart"/>
      <w:r w:rsidRPr="004B36BB">
        <w:rPr>
          <w:rFonts w:ascii="휴먼명조" w:eastAsia="휴먼명조" w:hint="eastAsia"/>
        </w:rPr>
        <w:t>Prais</w:t>
      </w:r>
      <w:proofErr w:type="spellEnd"/>
      <w:r w:rsidRPr="004B36BB">
        <w:rPr>
          <w:rFonts w:ascii="휴먼명조" w:eastAsia="휴먼명조" w:hint="eastAsia"/>
        </w:rPr>
        <w:t xml:space="preserve">, Rebecca Lawrence 제출. </w:t>
      </w:r>
    </w:p>
  </w:footnote>
  <w:footnote w:id="33">
    <w:p w:rsidR="0033588E" w:rsidRPr="004B36BB" w:rsidRDefault="0033588E" w:rsidP="004B36BB">
      <w:pPr>
        <w:pStyle w:val="a8"/>
        <w:rPr>
          <w:rFonts w:ascii="휴먼명조" w:eastAsia="휴먼명조"/>
        </w:rPr>
      </w:pPr>
      <w:r w:rsidRPr="004B36BB">
        <w:rPr>
          <w:rStyle w:val="a7"/>
          <w:rFonts w:ascii="휴먼명조" w:eastAsia="휴먼명조" w:hint="eastAsia"/>
        </w:rPr>
        <w:footnoteRef/>
      </w:r>
      <w:r w:rsidRPr="004B36BB">
        <w:rPr>
          <w:rFonts w:ascii="휴먼명조" w:eastAsia="휴먼명조" w:hint="eastAsia"/>
        </w:rPr>
        <w:t xml:space="preserve"> 상게서.</w:t>
      </w:r>
    </w:p>
  </w:footnote>
  <w:footnote w:id="34">
    <w:p w:rsidR="0033588E" w:rsidRPr="004B36BB" w:rsidRDefault="0033588E" w:rsidP="004B36BB">
      <w:pPr>
        <w:pStyle w:val="a8"/>
        <w:rPr>
          <w:rFonts w:ascii="휴먼명조" w:eastAsia="휴먼명조"/>
        </w:rPr>
      </w:pPr>
      <w:r w:rsidRPr="004B36BB">
        <w:rPr>
          <w:rStyle w:val="a7"/>
          <w:rFonts w:ascii="휴먼명조" w:eastAsia="휴먼명조" w:hint="eastAsia"/>
        </w:rPr>
        <w:footnoteRef/>
      </w:r>
      <w:r w:rsidRPr="004B36BB">
        <w:rPr>
          <w:rFonts w:ascii="휴먼명조" w:eastAsia="휴먼명조" w:hint="eastAsia"/>
        </w:rPr>
        <w:t xml:space="preserve"> ICRC, 노화와 치매, 11쪽.</w:t>
      </w:r>
    </w:p>
  </w:footnote>
  <w:footnote w:id="35">
    <w:p w:rsidR="0033588E" w:rsidRDefault="0033588E" w:rsidP="004B36BB">
      <w:pPr>
        <w:pStyle w:val="a8"/>
      </w:pPr>
      <w:r w:rsidRPr="004B36BB">
        <w:rPr>
          <w:rStyle w:val="a7"/>
          <w:rFonts w:ascii="휴먼명조" w:eastAsia="휴먼명조" w:hint="eastAsia"/>
        </w:rPr>
        <w:footnoteRef/>
      </w:r>
      <w:r w:rsidRPr="004B36BB">
        <w:rPr>
          <w:rFonts w:ascii="휴먼명조" w:eastAsia="휴먼명조" w:hint="eastAsia"/>
        </w:rPr>
        <w:t xml:space="preserve"> 고문방지협회 제출.</w:t>
      </w:r>
    </w:p>
  </w:footnote>
  <w:footnote w:id="36">
    <w:p w:rsidR="0033588E" w:rsidRPr="00457E47" w:rsidRDefault="0033588E" w:rsidP="004B36BB">
      <w:pPr>
        <w:pStyle w:val="a8"/>
        <w:rPr>
          <w:rFonts w:ascii="휴먼명조" w:eastAsia="휴먼명조"/>
        </w:rPr>
      </w:pPr>
      <w:r w:rsidRPr="00457E47">
        <w:rPr>
          <w:rStyle w:val="a7"/>
          <w:rFonts w:ascii="휴먼명조" w:eastAsia="휴먼명조" w:hint="eastAsia"/>
        </w:rPr>
        <w:footnoteRef/>
      </w:r>
      <w:r w:rsidRPr="00457E47">
        <w:rPr>
          <w:rFonts w:ascii="휴먼명조" w:eastAsia="휴먼명조" w:hint="eastAsia"/>
        </w:rPr>
        <w:t xml:space="preserve"> 개방형 고령화 실무그룹 업무에 대한 UNODC의 기여.</w:t>
      </w:r>
    </w:p>
  </w:footnote>
  <w:footnote w:id="37">
    <w:p w:rsidR="0033588E" w:rsidRPr="00457E47" w:rsidRDefault="0033588E" w:rsidP="004B36BB">
      <w:pPr>
        <w:pStyle w:val="a8"/>
        <w:rPr>
          <w:rFonts w:ascii="휴먼명조" w:eastAsia="휴먼명조"/>
        </w:rPr>
      </w:pPr>
      <w:r w:rsidRPr="00457E47">
        <w:rPr>
          <w:rStyle w:val="a7"/>
          <w:rFonts w:ascii="휴먼명조" w:eastAsia="휴먼명조" w:hint="eastAsia"/>
        </w:rPr>
        <w:footnoteRef/>
      </w:r>
      <w:r w:rsidRPr="00457E47">
        <w:rPr>
          <w:rFonts w:ascii="휴먼명조" w:eastAsia="휴먼명조" w:hint="eastAsia"/>
        </w:rPr>
        <w:t xml:space="preserve"> Catherine Appleton 박사 제출.</w:t>
      </w:r>
    </w:p>
  </w:footnote>
  <w:footnote w:id="38">
    <w:p w:rsidR="0033588E" w:rsidRPr="00457E47" w:rsidRDefault="0033588E" w:rsidP="004B36BB">
      <w:pPr>
        <w:pStyle w:val="a8"/>
        <w:rPr>
          <w:rFonts w:ascii="휴먼명조" w:eastAsia="휴먼명조"/>
        </w:rPr>
      </w:pPr>
      <w:r w:rsidRPr="00457E47">
        <w:rPr>
          <w:rStyle w:val="a7"/>
          <w:rFonts w:ascii="휴먼명조" w:eastAsia="휴먼명조" w:hint="eastAsia"/>
        </w:rPr>
        <w:footnoteRef/>
      </w:r>
      <w:r w:rsidRPr="00457E47">
        <w:rPr>
          <w:rFonts w:ascii="휴먼명조" w:eastAsia="휴먼명조" w:hint="eastAsia"/>
        </w:rPr>
        <w:t xml:space="preserve"> 고문방지협회 제출.</w:t>
      </w:r>
    </w:p>
  </w:footnote>
  <w:footnote w:id="39">
    <w:p w:rsidR="0033588E" w:rsidRPr="00457E47" w:rsidRDefault="0033588E" w:rsidP="004B36BB">
      <w:pPr>
        <w:pStyle w:val="a8"/>
        <w:rPr>
          <w:rFonts w:ascii="휴먼명조" w:eastAsia="휴먼명조"/>
        </w:rPr>
      </w:pPr>
      <w:r w:rsidRPr="00457E47">
        <w:rPr>
          <w:rStyle w:val="a7"/>
          <w:rFonts w:ascii="휴먼명조" w:eastAsia="휴먼명조" w:hint="eastAsia"/>
        </w:rPr>
        <w:footnoteRef/>
      </w:r>
      <w:r w:rsidRPr="00457E47">
        <w:rPr>
          <w:rFonts w:ascii="휴먼명조" w:eastAsia="휴먼명조" w:hint="eastAsia"/>
        </w:rPr>
        <w:t xml:space="preserve"> A/HRC/30/43, 제74항; E/2012/51, 3/2012/51/Corr.1, 제35항.</w:t>
      </w:r>
    </w:p>
  </w:footnote>
  <w:footnote w:id="40">
    <w:p w:rsidR="0033588E" w:rsidRPr="00457E47" w:rsidRDefault="0033588E" w:rsidP="004B36BB">
      <w:pPr>
        <w:pStyle w:val="a8"/>
        <w:rPr>
          <w:rFonts w:ascii="휴먼명조" w:eastAsia="휴먼명조"/>
        </w:rPr>
      </w:pPr>
      <w:r w:rsidRPr="00457E47">
        <w:rPr>
          <w:rStyle w:val="a7"/>
          <w:rFonts w:ascii="휴먼명조" w:eastAsia="휴먼명조" w:hint="eastAsia"/>
        </w:rPr>
        <w:footnoteRef/>
      </w:r>
      <w:r w:rsidRPr="00457E47">
        <w:rPr>
          <w:rFonts w:ascii="휴먼명조" w:eastAsia="휴먼명조" w:hint="eastAsia"/>
        </w:rPr>
        <w:t xml:space="preserve"> Dignity 제출. A/77/192. </w:t>
      </w:r>
    </w:p>
  </w:footnote>
  <w:footnote w:id="41">
    <w:p w:rsidR="0033588E" w:rsidRPr="00457E47" w:rsidRDefault="0033588E" w:rsidP="004B36BB">
      <w:pPr>
        <w:pStyle w:val="a8"/>
        <w:rPr>
          <w:rFonts w:ascii="휴먼명조" w:eastAsia="휴먼명조"/>
        </w:rPr>
      </w:pPr>
      <w:r w:rsidRPr="00457E47">
        <w:rPr>
          <w:rStyle w:val="a7"/>
          <w:rFonts w:ascii="휴먼명조" w:eastAsia="휴먼명조" w:hint="eastAsia"/>
        </w:rPr>
        <w:footnoteRef/>
      </w:r>
      <w:r w:rsidRPr="00457E47">
        <w:rPr>
          <w:rFonts w:ascii="휴먼명조" w:eastAsia="휴먼명조" w:hint="eastAsia"/>
        </w:rPr>
        <w:t xml:space="preserve"> A/HRC/40/54, 제41항. </w:t>
      </w:r>
    </w:p>
  </w:footnote>
  <w:footnote w:id="42">
    <w:p w:rsidR="0033588E" w:rsidRDefault="0033588E" w:rsidP="004B36BB">
      <w:pPr>
        <w:pStyle w:val="a8"/>
      </w:pPr>
      <w:r w:rsidRPr="00457E47">
        <w:rPr>
          <w:rStyle w:val="a7"/>
          <w:rFonts w:ascii="휴먼명조" w:eastAsia="휴먼명조" w:hint="eastAsia"/>
        </w:rPr>
        <w:footnoteRef/>
      </w:r>
      <w:r w:rsidRPr="00457E47">
        <w:rPr>
          <w:rFonts w:ascii="휴먼명조" w:eastAsia="휴먼명조" w:hint="eastAsia"/>
        </w:rPr>
        <w:t xml:space="preserve"> ISL, Lucy </w:t>
      </w:r>
      <w:proofErr w:type="spellStart"/>
      <w:r w:rsidRPr="00457E47">
        <w:rPr>
          <w:rFonts w:ascii="휴먼명조" w:eastAsia="휴먼명조" w:hint="eastAsia"/>
        </w:rPr>
        <w:t>Serise</w:t>
      </w:r>
      <w:proofErr w:type="spellEnd"/>
      <w:r w:rsidRPr="00457E47">
        <w:rPr>
          <w:rFonts w:ascii="휴먼명조" w:eastAsia="휴먼명조" w:hint="eastAsia"/>
        </w:rPr>
        <w:t xml:space="preserve"> 박사, Judy Laing 교수 제출.</w:t>
      </w:r>
    </w:p>
  </w:footnote>
  <w:footnote w:id="43">
    <w:p w:rsidR="0033588E" w:rsidRPr="003F1964" w:rsidRDefault="0033588E" w:rsidP="00457E47">
      <w:pPr>
        <w:pStyle w:val="a8"/>
        <w:rPr>
          <w:rFonts w:ascii="휴먼명조" w:eastAsia="휴먼명조"/>
        </w:rPr>
      </w:pPr>
      <w:r w:rsidRPr="003F1964">
        <w:rPr>
          <w:rStyle w:val="a7"/>
          <w:rFonts w:ascii="휴먼명조" w:eastAsia="휴먼명조" w:hint="eastAsia"/>
        </w:rPr>
        <w:footnoteRef/>
      </w:r>
      <w:r w:rsidRPr="003F1964">
        <w:rPr>
          <w:rFonts w:ascii="휴먼명조" w:eastAsia="휴먼명조" w:hint="eastAsia"/>
        </w:rPr>
        <w:t xml:space="preserve"> 고문방지협회 제출.</w:t>
      </w:r>
    </w:p>
  </w:footnote>
  <w:footnote w:id="44">
    <w:p w:rsidR="0033588E" w:rsidRPr="003F1964" w:rsidRDefault="0033588E" w:rsidP="00457E47">
      <w:pPr>
        <w:pStyle w:val="a8"/>
        <w:rPr>
          <w:rFonts w:ascii="휴먼명조" w:eastAsia="휴먼명조"/>
        </w:rPr>
      </w:pPr>
      <w:r w:rsidRPr="003F1964">
        <w:rPr>
          <w:rStyle w:val="a7"/>
          <w:rFonts w:ascii="휴먼명조" w:eastAsia="휴먼명조" w:hint="eastAsia"/>
        </w:rPr>
        <w:footnoteRef/>
      </w:r>
      <w:r w:rsidRPr="003F1964">
        <w:rPr>
          <w:rFonts w:ascii="휴먼명조" w:eastAsia="휴먼명조" w:hint="eastAsia"/>
        </w:rPr>
        <w:t xml:space="preserve"> A/HRC/41/33, 제76항. </w:t>
      </w:r>
    </w:p>
  </w:footnote>
  <w:footnote w:id="45">
    <w:p w:rsidR="0033588E" w:rsidRPr="003F1964" w:rsidRDefault="0033588E" w:rsidP="003F1964">
      <w:pPr>
        <w:pStyle w:val="a8"/>
        <w:rPr>
          <w:rFonts w:ascii="휴먼명조" w:eastAsia="휴먼명조"/>
        </w:rPr>
      </w:pPr>
      <w:r w:rsidRPr="003F1964">
        <w:rPr>
          <w:rStyle w:val="a7"/>
          <w:rFonts w:ascii="휴먼명조" w:eastAsia="휴먼명조" w:hint="eastAsia"/>
        </w:rPr>
        <w:footnoteRef/>
      </w:r>
      <w:r w:rsidRPr="003F1964">
        <w:rPr>
          <w:rFonts w:ascii="휴먼명조" w:eastAsia="휴먼명조" w:hint="eastAsia"/>
        </w:rPr>
        <w:t xml:space="preserve"> 상게서, 제28항.</w:t>
      </w:r>
    </w:p>
  </w:footnote>
  <w:footnote w:id="46">
    <w:p w:rsidR="0033588E" w:rsidRDefault="0033588E" w:rsidP="003F1964">
      <w:pPr>
        <w:pStyle w:val="a8"/>
      </w:pPr>
      <w:r>
        <w:rPr>
          <w:rStyle w:val="a7"/>
        </w:rPr>
        <w:footnoteRef/>
      </w:r>
      <w:r>
        <w:t xml:space="preserve"> </w:t>
      </w:r>
      <w:r>
        <w:rPr>
          <w:rFonts w:ascii="휴먼명조" w:eastAsia="휴먼명조" w:hint="eastAsia"/>
        </w:rPr>
        <w:t>상게서.</w:t>
      </w:r>
    </w:p>
  </w:footnote>
  <w:footnote w:id="47">
    <w:p w:rsidR="0033588E" w:rsidRDefault="0033588E" w:rsidP="003F1964">
      <w:pPr>
        <w:pStyle w:val="a8"/>
      </w:pPr>
      <w:r>
        <w:rPr>
          <w:rStyle w:val="a7"/>
        </w:rPr>
        <w:footnoteRef/>
      </w:r>
      <w:r>
        <w:t xml:space="preserve"> </w:t>
      </w:r>
      <w:r>
        <w:rPr>
          <w:rFonts w:ascii="휴먼명조" w:eastAsia="휴먼명조" w:hint="eastAsia"/>
        </w:rPr>
        <w:t>상게서.</w:t>
      </w:r>
    </w:p>
  </w:footnote>
  <w:footnote w:id="48">
    <w:p w:rsidR="0033588E" w:rsidRPr="003F1964" w:rsidRDefault="0033588E" w:rsidP="00124225">
      <w:pPr>
        <w:pStyle w:val="a8"/>
        <w:rPr>
          <w:spacing w:val="-23"/>
        </w:rPr>
      </w:pPr>
      <w:r>
        <w:rPr>
          <w:rStyle w:val="a7"/>
        </w:rPr>
        <w:footnoteRef/>
      </w:r>
      <w:r>
        <w:t xml:space="preserve"> </w:t>
      </w:r>
      <w:r w:rsidRPr="003F1964">
        <w:rPr>
          <w:rFonts w:ascii="휴먼명조" w:eastAsia="휴먼명조" w:hint="eastAsia"/>
          <w:spacing w:val="-23"/>
        </w:rPr>
        <w:t xml:space="preserve">상게서, 제28항; </w:t>
      </w:r>
      <w:proofErr w:type="spellStart"/>
      <w:r w:rsidRPr="003F1964">
        <w:rPr>
          <w:rFonts w:ascii="휴먼명조" w:eastAsia="휴먼명조" w:hint="eastAsia"/>
          <w:spacing w:val="-23"/>
        </w:rPr>
        <w:t>Danwood</w:t>
      </w:r>
      <w:proofErr w:type="spellEnd"/>
      <w:r w:rsidRPr="003F1964">
        <w:rPr>
          <w:rFonts w:ascii="휴먼명조" w:eastAsia="휴먼명조" w:hint="eastAsia"/>
          <w:spacing w:val="-23"/>
        </w:rPr>
        <w:t xml:space="preserve"> </w:t>
      </w:r>
      <w:proofErr w:type="spellStart"/>
      <w:proofErr w:type="gramStart"/>
      <w:r w:rsidRPr="003F1964">
        <w:rPr>
          <w:rFonts w:ascii="휴먼명조" w:eastAsia="휴먼명조" w:hint="eastAsia"/>
          <w:spacing w:val="-23"/>
        </w:rPr>
        <w:t>M.Chirwa</w:t>
      </w:r>
      <w:proofErr w:type="spellEnd"/>
      <w:proofErr w:type="gramEnd"/>
      <w:r w:rsidRPr="003F1964">
        <w:rPr>
          <w:rFonts w:ascii="휴먼명조" w:eastAsia="휴먼명조" w:hint="eastAsia"/>
          <w:spacing w:val="-23"/>
        </w:rPr>
        <w:t xml:space="preserve">, </w:t>
      </w:r>
      <w:proofErr w:type="spellStart"/>
      <w:r w:rsidRPr="003F1964">
        <w:rPr>
          <w:rFonts w:ascii="휴먼명조" w:eastAsia="휴먼명조" w:hint="eastAsia"/>
          <w:spacing w:val="-23"/>
        </w:rPr>
        <w:t>Chipo</w:t>
      </w:r>
      <w:proofErr w:type="spellEnd"/>
      <w:r w:rsidRPr="003F1964">
        <w:rPr>
          <w:rFonts w:ascii="휴먼명조" w:eastAsia="휴먼명조" w:hint="eastAsia"/>
          <w:spacing w:val="-23"/>
        </w:rPr>
        <w:t xml:space="preserve"> </w:t>
      </w:r>
      <w:proofErr w:type="spellStart"/>
      <w:r w:rsidRPr="003F1964">
        <w:rPr>
          <w:rFonts w:ascii="휴먼명조" w:eastAsia="휴먼명조" w:hint="eastAsia"/>
          <w:spacing w:val="-23"/>
        </w:rPr>
        <w:t>I.Rushwaya</w:t>
      </w:r>
      <w:proofErr w:type="spellEnd"/>
      <w:r w:rsidRPr="003F1964">
        <w:rPr>
          <w:rFonts w:ascii="휴먼명조" w:eastAsia="휴먼명조" w:hint="eastAsia"/>
          <w:spacing w:val="-23"/>
        </w:rPr>
        <w:t xml:space="preserve">, “보호자의 보호: 아프리카 노인 권리에 관한 아프리카 헌장 의정서에 대한 비판적 평가”, 인권법 리뷰, 19권, 1호(2019년), 53-82쪽; Silvia Federici, “오늘날 아프리카의 여성, 마녀사냥 및 </w:t>
      </w:r>
      <w:proofErr w:type="spellStart"/>
      <w:r w:rsidRPr="003F1964">
        <w:rPr>
          <w:rFonts w:ascii="휴먼명조" w:eastAsia="휴먼명조" w:hint="eastAsia"/>
          <w:spacing w:val="-23"/>
        </w:rPr>
        <w:t>인클로저</w:t>
      </w:r>
      <w:proofErr w:type="spellEnd"/>
      <w:r w:rsidRPr="003F1964">
        <w:rPr>
          <w:rFonts w:ascii="휴먼명조" w:eastAsia="휴먼명조" w:hint="eastAsia"/>
          <w:spacing w:val="-23"/>
        </w:rPr>
        <w:t>”, 미국 정치학 저널, 2013년, 10쪽.</w:t>
      </w:r>
    </w:p>
  </w:footnote>
  <w:footnote w:id="49">
    <w:p w:rsidR="0033588E" w:rsidRPr="00124225" w:rsidRDefault="0033588E" w:rsidP="00124225">
      <w:pPr>
        <w:pStyle w:val="a8"/>
        <w:rPr>
          <w:rFonts w:ascii="휴먼명조" w:eastAsia="휴먼명조"/>
        </w:rPr>
      </w:pPr>
      <w:r w:rsidRPr="00124225">
        <w:rPr>
          <w:rStyle w:val="a7"/>
          <w:rFonts w:ascii="휴먼명조" w:eastAsia="휴먼명조" w:hint="eastAsia"/>
        </w:rPr>
        <w:footnoteRef/>
      </w:r>
      <w:r w:rsidRPr="00124225">
        <w:rPr>
          <w:rFonts w:ascii="휴먼명조" w:eastAsia="휴먼명조" w:hint="eastAsia"/>
        </w:rPr>
        <w:t xml:space="preserve"> A/HRC/40/54, 제26항.</w:t>
      </w:r>
    </w:p>
  </w:footnote>
  <w:footnote w:id="50">
    <w:p w:rsidR="0033588E" w:rsidRPr="00124225" w:rsidRDefault="0033588E" w:rsidP="00124225">
      <w:pPr>
        <w:pStyle w:val="a8"/>
        <w:rPr>
          <w:rFonts w:ascii="휴먼명조" w:eastAsia="휴먼명조"/>
        </w:rPr>
      </w:pPr>
      <w:r w:rsidRPr="00124225">
        <w:rPr>
          <w:rStyle w:val="a7"/>
          <w:rFonts w:ascii="휴먼명조" w:eastAsia="휴먼명조" w:hint="eastAsia"/>
        </w:rPr>
        <w:footnoteRef/>
      </w:r>
      <w:r w:rsidRPr="00124225">
        <w:rPr>
          <w:rFonts w:ascii="휴먼명조" w:eastAsia="휴먼명조" w:hint="eastAsia"/>
        </w:rPr>
        <w:t xml:space="preserve"> A/HRC/40/54, 제14항.</w:t>
      </w:r>
    </w:p>
  </w:footnote>
  <w:footnote w:id="51">
    <w:p w:rsidR="0033588E" w:rsidRPr="00124225" w:rsidRDefault="0033588E" w:rsidP="00124225">
      <w:pPr>
        <w:pStyle w:val="a8"/>
        <w:rPr>
          <w:rFonts w:ascii="휴먼명조" w:eastAsia="휴먼명조"/>
        </w:rPr>
      </w:pPr>
      <w:r w:rsidRPr="00124225">
        <w:rPr>
          <w:rStyle w:val="a7"/>
          <w:rFonts w:ascii="휴먼명조" w:eastAsia="휴먼명조" w:hint="eastAsia"/>
        </w:rPr>
        <w:footnoteRef/>
      </w:r>
      <w:r w:rsidRPr="00124225">
        <w:rPr>
          <w:rFonts w:ascii="휴먼명조" w:eastAsia="휴먼명조" w:hint="eastAsia"/>
        </w:rPr>
        <w:t xml:space="preserve"> 상게서.</w:t>
      </w:r>
    </w:p>
  </w:footnote>
  <w:footnote w:id="52">
    <w:p w:rsidR="0033588E" w:rsidRDefault="0033588E" w:rsidP="00124225">
      <w:pPr>
        <w:pStyle w:val="a8"/>
      </w:pPr>
      <w:r w:rsidRPr="00124225">
        <w:rPr>
          <w:rStyle w:val="a7"/>
          <w:rFonts w:ascii="휴먼명조" w:eastAsia="휴먼명조" w:hint="eastAsia"/>
        </w:rPr>
        <w:footnoteRef/>
      </w:r>
      <w:r w:rsidRPr="00124225">
        <w:rPr>
          <w:rFonts w:ascii="휴먼명조" w:eastAsia="휴먼명조" w:hint="eastAsia"/>
        </w:rPr>
        <w:t xml:space="preserve"> 고문방지협회 제출.</w:t>
      </w:r>
    </w:p>
  </w:footnote>
  <w:footnote w:id="53">
    <w:p w:rsidR="0033588E" w:rsidRPr="00124225" w:rsidRDefault="0033588E" w:rsidP="00124225">
      <w:pPr>
        <w:pStyle w:val="a8"/>
        <w:rPr>
          <w:rFonts w:ascii="휴먼명조" w:eastAsia="휴먼명조"/>
        </w:rPr>
      </w:pPr>
      <w:r w:rsidRPr="00124225">
        <w:rPr>
          <w:rStyle w:val="a7"/>
          <w:rFonts w:ascii="휴먼명조" w:eastAsia="휴먼명조" w:hint="eastAsia"/>
        </w:rPr>
        <w:footnoteRef/>
      </w:r>
      <w:r w:rsidRPr="00124225">
        <w:rPr>
          <w:rFonts w:ascii="휴먼명조" w:eastAsia="휴먼명조" w:hint="eastAsia"/>
        </w:rPr>
        <w:t xml:space="preserve"> A/HRC/45/14; Penal Reform International, 고문방지협회, “구금된 노인: 예방적 모니터링을 위한 프레임워크”, 2021년 6월, 10쪽; Penal Reform International 제출. </w:t>
      </w:r>
    </w:p>
  </w:footnote>
  <w:footnote w:id="54">
    <w:p w:rsidR="0033588E" w:rsidRPr="00124225" w:rsidRDefault="0033588E" w:rsidP="00124225">
      <w:pPr>
        <w:pStyle w:val="a8"/>
        <w:rPr>
          <w:rFonts w:ascii="휴먼명조" w:eastAsia="휴먼명조"/>
        </w:rPr>
      </w:pPr>
      <w:r w:rsidRPr="00124225">
        <w:rPr>
          <w:rStyle w:val="a7"/>
          <w:rFonts w:ascii="휴먼명조" w:eastAsia="휴먼명조" w:hint="eastAsia"/>
        </w:rPr>
        <w:footnoteRef/>
      </w:r>
      <w:r w:rsidRPr="00124225">
        <w:rPr>
          <w:rFonts w:ascii="휴먼명조" w:eastAsia="휴먼명조" w:hint="eastAsia"/>
        </w:rPr>
        <w:t xml:space="preserve"> A/HRC/45/14, 제19항. 구금 포럼, 구금의 ‘</w:t>
      </w:r>
      <w:proofErr w:type="spellStart"/>
      <w:r w:rsidRPr="00124225">
        <w:rPr>
          <w:rFonts w:ascii="휴먼명조" w:eastAsia="휴먼명조" w:hint="eastAsia"/>
        </w:rPr>
        <w:t>취약성’에</w:t>
      </w:r>
      <w:proofErr w:type="spellEnd"/>
      <w:r w:rsidRPr="00124225">
        <w:rPr>
          <w:rFonts w:ascii="휴먼명조" w:eastAsia="휴먼명조" w:hint="eastAsia"/>
        </w:rPr>
        <w:t xml:space="preserve"> 대한 재고, 해악의 위기, 취약 계층에 대한 구금포럼 실무그룹 보고서, 2015년 7월, 30쪽.</w:t>
      </w:r>
    </w:p>
  </w:footnote>
  <w:footnote w:id="55">
    <w:p w:rsidR="0033588E" w:rsidRPr="00124225" w:rsidRDefault="0033588E" w:rsidP="00124225">
      <w:pPr>
        <w:pStyle w:val="a8"/>
        <w:rPr>
          <w:rFonts w:ascii="휴먼명조" w:eastAsia="휴먼명조"/>
        </w:rPr>
      </w:pPr>
      <w:r w:rsidRPr="00124225">
        <w:rPr>
          <w:rStyle w:val="a7"/>
          <w:rFonts w:ascii="휴먼명조" w:eastAsia="휴먼명조" w:hint="eastAsia"/>
        </w:rPr>
        <w:footnoteRef/>
      </w:r>
      <w:r w:rsidRPr="00124225">
        <w:rPr>
          <w:rFonts w:ascii="휴먼명조" w:eastAsia="휴먼명조" w:hint="eastAsia"/>
        </w:rPr>
        <w:t xml:space="preserve"> https://www.ohchr.org/en/press-releases/2020/03/unacceptable-un-expert-urges-better-protection</w:t>
      </w:r>
      <w:r w:rsidRPr="00124225">
        <w:rPr>
          <w:rFonts w:ascii="휴먼명조" w:eastAsia="휴먼명조" w:hAnsi="휴먼명조" w:cs="휴먼명조"/>
        </w:rPr>
        <w:t>ꠓ</w:t>
      </w:r>
      <w:r w:rsidRPr="00124225">
        <w:rPr>
          <w:rFonts w:ascii="휴먼명조" w:eastAsia="휴먼명조" w:hint="eastAsia"/>
        </w:rPr>
        <w:t>older-persons-facing-highest?LangID=E&amp;NewsID=2574 참조.</w:t>
      </w:r>
    </w:p>
  </w:footnote>
  <w:footnote w:id="56">
    <w:p w:rsidR="0033588E" w:rsidRPr="00124225" w:rsidRDefault="0033588E" w:rsidP="00124225">
      <w:pPr>
        <w:pStyle w:val="a8"/>
        <w:rPr>
          <w:rFonts w:ascii="휴먼명조" w:eastAsia="휴먼명조"/>
        </w:rPr>
      </w:pPr>
      <w:r w:rsidRPr="00124225">
        <w:rPr>
          <w:rStyle w:val="a7"/>
          <w:rFonts w:ascii="휴먼명조" w:eastAsia="휴먼명조" w:hint="eastAsia"/>
        </w:rPr>
        <w:footnoteRef/>
      </w:r>
      <w:r w:rsidRPr="00124225">
        <w:rPr>
          <w:rFonts w:ascii="휴먼명조" w:eastAsia="휴먼명조" w:hint="eastAsia"/>
        </w:rPr>
        <w:t xml:space="preserve"> A/75/205, 제69항.</w:t>
      </w:r>
    </w:p>
  </w:footnote>
  <w:footnote w:id="57">
    <w:p w:rsidR="0033588E" w:rsidRDefault="0033588E" w:rsidP="00124225">
      <w:pPr>
        <w:pStyle w:val="a8"/>
      </w:pPr>
      <w:r w:rsidRPr="00124225">
        <w:rPr>
          <w:rStyle w:val="a7"/>
          <w:rFonts w:ascii="휴먼명조" w:eastAsia="휴먼명조" w:hint="eastAsia"/>
        </w:rPr>
        <w:footnoteRef/>
      </w:r>
      <w:r w:rsidRPr="00124225">
        <w:rPr>
          <w:rFonts w:ascii="휴먼명조" w:eastAsia="휴먼명조" w:hint="eastAsia"/>
        </w:rPr>
        <w:t xml:space="preserve"> 상게서, 제41항.</w:t>
      </w:r>
    </w:p>
  </w:footnote>
  <w:footnote w:id="58">
    <w:p w:rsidR="0033588E" w:rsidRPr="00FC3944" w:rsidRDefault="0033588E" w:rsidP="00AF609E">
      <w:pPr>
        <w:pStyle w:val="a8"/>
        <w:rPr>
          <w:rFonts w:ascii="휴먼명조" w:eastAsia="휴먼명조"/>
        </w:rPr>
      </w:pPr>
      <w:r w:rsidRPr="00FC3944">
        <w:rPr>
          <w:rStyle w:val="a7"/>
          <w:rFonts w:ascii="휴먼명조" w:eastAsia="휴먼명조" w:hint="eastAsia"/>
        </w:rPr>
        <w:footnoteRef/>
      </w:r>
      <w:r w:rsidRPr="00FC3944">
        <w:rPr>
          <w:rFonts w:ascii="휴먼명조" w:eastAsia="휴먼명조" w:hint="eastAsia"/>
        </w:rPr>
        <w:t xml:space="preserve"> 부룬디, 독일, 이탈리아, 리투아니아, 멕시코, 우루과이 제출.</w:t>
      </w:r>
    </w:p>
  </w:footnote>
  <w:footnote w:id="59">
    <w:p w:rsidR="0033588E" w:rsidRPr="00FC3944" w:rsidRDefault="0033588E" w:rsidP="00AF609E">
      <w:pPr>
        <w:pStyle w:val="a8"/>
        <w:rPr>
          <w:rFonts w:ascii="휴먼명조" w:eastAsia="휴먼명조"/>
        </w:rPr>
      </w:pPr>
      <w:r w:rsidRPr="00FC3944">
        <w:rPr>
          <w:rStyle w:val="a7"/>
          <w:rFonts w:ascii="휴먼명조" w:eastAsia="휴먼명조" w:hint="eastAsia"/>
        </w:rPr>
        <w:footnoteRef/>
      </w:r>
      <w:r w:rsidRPr="00FC3944">
        <w:rPr>
          <w:rFonts w:ascii="휴먼명조" w:eastAsia="휴먼명조" w:hint="eastAsia"/>
        </w:rPr>
        <w:t xml:space="preserve"> Catherine Appleton 제출.</w:t>
      </w:r>
    </w:p>
  </w:footnote>
  <w:footnote w:id="60">
    <w:p w:rsidR="0033588E" w:rsidRPr="00FC3944" w:rsidRDefault="0033588E" w:rsidP="00AF609E">
      <w:pPr>
        <w:pStyle w:val="a8"/>
        <w:rPr>
          <w:rFonts w:ascii="휴먼명조" w:eastAsia="휴먼명조"/>
        </w:rPr>
      </w:pPr>
      <w:r w:rsidRPr="00FC3944">
        <w:rPr>
          <w:rStyle w:val="a7"/>
          <w:rFonts w:ascii="휴먼명조" w:eastAsia="휴먼명조" w:hint="eastAsia"/>
        </w:rPr>
        <w:footnoteRef/>
      </w:r>
      <w:r w:rsidRPr="00FC3944">
        <w:rPr>
          <w:rFonts w:ascii="휴먼명조" w:eastAsia="휴먼명조" w:hint="eastAsia"/>
        </w:rPr>
        <w:t xml:space="preserve"> Dignity 제출.</w:t>
      </w:r>
    </w:p>
  </w:footnote>
  <w:footnote w:id="61">
    <w:p w:rsidR="0033588E" w:rsidRPr="00FC3944" w:rsidRDefault="0033588E" w:rsidP="00AF609E">
      <w:pPr>
        <w:pStyle w:val="a8"/>
        <w:rPr>
          <w:rFonts w:ascii="휴먼명조" w:eastAsia="휴먼명조"/>
        </w:rPr>
      </w:pPr>
      <w:r w:rsidRPr="00FC3944">
        <w:rPr>
          <w:rStyle w:val="a7"/>
          <w:rFonts w:ascii="휴먼명조" w:eastAsia="휴먼명조" w:hint="eastAsia"/>
        </w:rPr>
        <w:footnoteRef/>
      </w:r>
      <w:r w:rsidRPr="00FC3944">
        <w:rPr>
          <w:rFonts w:ascii="휴먼명조" w:eastAsia="휴먼명조" w:hint="eastAsia"/>
        </w:rPr>
        <w:t xml:space="preserve"> Vicki </w:t>
      </w:r>
      <w:proofErr w:type="spellStart"/>
      <w:r w:rsidRPr="00FC3944">
        <w:rPr>
          <w:rFonts w:ascii="휴먼명조" w:eastAsia="휴먼명조" w:hint="eastAsia"/>
        </w:rPr>
        <w:t>Prais</w:t>
      </w:r>
      <w:proofErr w:type="spellEnd"/>
      <w:r w:rsidRPr="00FC3944">
        <w:rPr>
          <w:rFonts w:ascii="휴먼명조" w:eastAsia="휴먼명조" w:hint="eastAsia"/>
        </w:rPr>
        <w:t xml:space="preserve">, “고령의 </w:t>
      </w:r>
      <w:proofErr w:type="spellStart"/>
      <w:r w:rsidRPr="00FC3944">
        <w:rPr>
          <w:rFonts w:ascii="휴먼명조" w:eastAsia="휴먼명조" w:hint="eastAsia"/>
        </w:rPr>
        <w:t>무기징역수</w:t>
      </w:r>
      <w:proofErr w:type="spellEnd"/>
      <w:r w:rsidRPr="00FC3944">
        <w:rPr>
          <w:rFonts w:ascii="휴먼명조" w:eastAsia="휴먼명조" w:hint="eastAsia"/>
        </w:rPr>
        <w:t>”, Penal Reform International, 2019년, Penal Reform International 제출.</w:t>
      </w:r>
    </w:p>
  </w:footnote>
  <w:footnote w:id="62">
    <w:p w:rsidR="0033588E" w:rsidRPr="00FC3944" w:rsidRDefault="0033588E" w:rsidP="00AF609E">
      <w:pPr>
        <w:pStyle w:val="a8"/>
        <w:rPr>
          <w:rFonts w:ascii="휴먼명조" w:eastAsia="휴먼명조"/>
        </w:rPr>
      </w:pPr>
      <w:r w:rsidRPr="00FC3944">
        <w:rPr>
          <w:rStyle w:val="a7"/>
          <w:rFonts w:ascii="휴먼명조" w:eastAsia="휴먼명조" w:hint="eastAsia"/>
        </w:rPr>
        <w:footnoteRef/>
      </w:r>
      <w:r w:rsidRPr="00FC3944">
        <w:rPr>
          <w:rFonts w:ascii="휴먼명조" w:eastAsia="휴먼명조" w:hint="eastAsia"/>
        </w:rPr>
        <w:t xml:space="preserve"> 고문방지협회 제출.</w:t>
      </w:r>
    </w:p>
  </w:footnote>
  <w:footnote w:id="63">
    <w:p w:rsidR="0033588E" w:rsidRPr="00FC3944" w:rsidRDefault="0033588E" w:rsidP="00FC3944">
      <w:pPr>
        <w:pStyle w:val="a8"/>
        <w:rPr>
          <w:rFonts w:ascii="휴먼명조" w:eastAsia="휴먼명조"/>
        </w:rPr>
      </w:pPr>
      <w:r w:rsidRPr="00FC3944">
        <w:rPr>
          <w:rStyle w:val="a7"/>
          <w:rFonts w:ascii="휴먼명조" w:eastAsia="휴먼명조" w:hint="eastAsia"/>
        </w:rPr>
        <w:footnoteRef/>
      </w:r>
      <w:r w:rsidRPr="00FC3944">
        <w:rPr>
          <w:rFonts w:ascii="휴먼명조" w:eastAsia="휴먼명조" w:hint="eastAsia"/>
        </w:rPr>
        <w:t xml:space="preserve"> 상게서.</w:t>
      </w:r>
    </w:p>
  </w:footnote>
  <w:footnote w:id="64">
    <w:p w:rsidR="0033588E" w:rsidRPr="00FC3944" w:rsidRDefault="0033588E" w:rsidP="00FC3944">
      <w:pPr>
        <w:pStyle w:val="a8"/>
        <w:rPr>
          <w:rFonts w:ascii="휴먼명조" w:eastAsia="휴먼명조"/>
        </w:rPr>
      </w:pPr>
      <w:r w:rsidRPr="00FC3944">
        <w:rPr>
          <w:rStyle w:val="a7"/>
          <w:rFonts w:ascii="휴먼명조" w:eastAsia="휴먼명조" w:hint="eastAsia"/>
        </w:rPr>
        <w:footnoteRef/>
      </w:r>
      <w:r w:rsidRPr="00FC3944">
        <w:rPr>
          <w:rFonts w:ascii="휴먼명조" w:eastAsia="휴먼명조" w:hint="eastAsia"/>
        </w:rPr>
        <w:t xml:space="preserve"> A/HRC/40/54, A/HRC/41/33; Penal Reform International, “소수 민족과 원주민”, </w:t>
      </w:r>
      <w:hyperlink r:id="rId2" w:history="1">
        <w:r w:rsidRPr="00FC3944">
          <w:rPr>
            <w:rStyle w:val="a9"/>
            <w:rFonts w:ascii="휴먼명조" w:eastAsia="휴먼명조" w:hint="eastAsia"/>
          </w:rPr>
          <w:t>https://www.penalreform.org/global-prison-trends-2022/ethnic</w:t>
        </w:r>
        <w:r w:rsidRPr="00FC3944">
          <w:rPr>
            <w:rStyle w:val="a9"/>
            <w:rFonts w:ascii="휴먼명조" w:eastAsia="휴먼명조" w:hAnsi="휴먼명조" w:cs="휴먼명조"/>
          </w:rPr>
          <w:t>ꠓ</w:t>
        </w:r>
        <w:r w:rsidRPr="00FC3944">
          <w:rPr>
            <w:rStyle w:val="a9"/>
            <w:rFonts w:ascii="휴먼명조" w:eastAsia="휴먼명조" w:hint="eastAsia"/>
          </w:rPr>
          <w:t>minorities/</w:t>
        </w:r>
      </w:hyperlink>
      <w:r w:rsidRPr="00FC3944">
        <w:rPr>
          <w:rFonts w:ascii="휴먼명조" w:eastAsia="휴먼명조" w:hint="eastAsia"/>
        </w:rPr>
        <w:t xml:space="preserve">; </w:t>
      </w:r>
      <w:proofErr w:type="spellStart"/>
      <w:r w:rsidRPr="00FC3944">
        <w:rPr>
          <w:rFonts w:ascii="휴먼명조" w:eastAsia="휴먼명조" w:hint="eastAsia"/>
        </w:rPr>
        <w:t>Nathasha</w:t>
      </w:r>
      <w:proofErr w:type="spellEnd"/>
      <w:r w:rsidRPr="00FC3944">
        <w:rPr>
          <w:rFonts w:ascii="휴먼명조" w:eastAsia="휴먼명조" w:hint="eastAsia"/>
        </w:rPr>
        <w:t xml:space="preserve"> </w:t>
      </w:r>
      <w:proofErr w:type="spellStart"/>
      <w:r w:rsidRPr="00FC3944">
        <w:rPr>
          <w:rFonts w:ascii="휴먼명조" w:eastAsia="휴먼명조" w:hint="eastAsia"/>
        </w:rPr>
        <w:t>Ginnivan</w:t>
      </w:r>
      <w:proofErr w:type="spellEnd"/>
      <w:r w:rsidRPr="00FC3944">
        <w:rPr>
          <w:rFonts w:ascii="휴먼명조" w:eastAsia="휴먼명조" w:hint="eastAsia"/>
        </w:rPr>
        <w:t xml:space="preserve"> 외 제출. </w:t>
      </w:r>
    </w:p>
  </w:footnote>
  <w:footnote w:id="65">
    <w:p w:rsidR="0033588E" w:rsidRPr="00FC3944" w:rsidRDefault="0033588E" w:rsidP="00FC3944">
      <w:pPr>
        <w:pStyle w:val="a8"/>
        <w:rPr>
          <w:rFonts w:ascii="휴먼명조" w:eastAsia="휴먼명조"/>
        </w:rPr>
      </w:pPr>
      <w:r w:rsidRPr="00FC3944">
        <w:rPr>
          <w:rStyle w:val="a7"/>
          <w:rFonts w:ascii="휴먼명조" w:eastAsia="휴먼명조" w:hint="eastAsia"/>
        </w:rPr>
        <w:footnoteRef/>
      </w:r>
      <w:r w:rsidRPr="00FC3944">
        <w:rPr>
          <w:rFonts w:ascii="휴먼명조" w:eastAsia="휴먼명조" w:hint="eastAsia"/>
        </w:rPr>
        <w:t xml:space="preserve"> 남부빈곤법률센터 제출. </w:t>
      </w:r>
    </w:p>
  </w:footnote>
  <w:footnote w:id="66">
    <w:p w:rsidR="0033588E" w:rsidRPr="00FC3944" w:rsidRDefault="0033588E" w:rsidP="00FC3944">
      <w:pPr>
        <w:pStyle w:val="a8"/>
        <w:rPr>
          <w:rFonts w:ascii="휴먼명조" w:eastAsia="휴먼명조"/>
        </w:rPr>
      </w:pPr>
      <w:r w:rsidRPr="00FC3944">
        <w:rPr>
          <w:rStyle w:val="a7"/>
          <w:rFonts w:ascii="휴먼명조" w:eastAsia="휴먼명조" w:hint="eastAsia"/>
        </w:rPr>
        <w:footnoteRef/>
      </w:r>
      <w:r w:rsidRPr="00FC3944">
        <w:rPr>
          <w:rFonts w:ascii="휴먼명조" w:eastAsia="휴먼명조" w:hint="eastAsia"/>
        </w:rPr>
        <w:t xml:space="preserve"> 고문방지협회 제출.</w:t>
      </w:r>
    </w:p>
  </w:footnote>
  <w:footnote w:id="67">
    <w:p w:rsidR="0033588E" w:rsidRPr="00FC3944" w:rsidRDefault="0033588E" w:rsidP="00FC3944">
      <w:pPr>
        <w:pStyle w:val="a8"/>
        <w:rPr>
          <w:rFonts w:ascii="휴먼명조" w:eastAsia="휴먼명조"/>
        </w:rPr>
      </w:pPr>
      <w:r w:rsidRPr="00FC3944">
        <w:rPr>
          <w:rStyle w:val="a7"/>
          <w:rFonts w:ascii="휴먼명조" w:eastAsia="휴먼명조" w:hint="eastAsia"/>
        </w:rPr>
        <w:footnoteRef/>
      </w:r>
      <w:r w:rsidRPr="00FC3944">
        <w:rPr>
          <w:rFonts w:ascii="휴먼명조" w:eastAsia="휴먼명조" w:hint="eastAsia"/>
        </w:rPr>
        <w:t xml:space="preserve"> UNODC, 특별한 필요를 가진 피구금자에 대한 핸드북, 126-127쪽. 필리핀 국가인권기구 제출.</w:t>
      </w:r>
    </w:p>
  </w:footnote>
  <w:footnote w:id="68">
    <w:p w:rsidR="0033588E" w:rsidRPr="00FC3944" w:rsidRDefault="0033588E" w:rsidP="00FC3944">
      <w:pPr>
        <w:pStyle w:val="a8"/>
        <w:rPr>
          <w:rFonts w:ascii="휴먼명조" w:eastAsia="휴먼명조"/>
        </w:rPr>
      </w:pPr>
      <w:r w:rsidRPr="00FC3944">
        <w:rPr>
          <w:rStyle w:val="a7"/>
          <w:rFonts w:ascii="휴먼명조" w:eastAsia="휴먼명조" w:hint="eastAsia"/>
        </w:rPr>
        <w:footnoteRef/>
      </w:r>
      <w:r w:rsidRPr="00FC3944">
        <w:rPr>
          <w:rFonts w:ascii="휴먼명조" w:eastAsia="휴먼명조" w:hint="eastAsia"/>
        </w:rPr>
        <w:t xml:space="preserve"> E/2012/51, 제60항; 미주위원회 노인인권 향유 독립전문가가 제출한 자유를 박탈당한 노인의 인권에 대한 미주인권재판소의 자문의견, 제20항.</w:t>
      </w:r>
    </w:p>
  </w:footnote>
  <w:footnote w:id="69">
    <w:p w:rsidR="0033588E" w:rsidRPr="00FC3944" w:rsidRDefault="0033588E" w:rsidP="00FC3944">
      <w:pPr>
        <w:pStyle w:val="a8"/>
        <w:rPr>
          <w:rFonts w:ascii="휴먼명조" w:eastAsia="휴먼명조"/>
        </w:rPr>
      </w:pPr>
      <w:r w:rsidRPr="00FC3944">
        <w:rPr>
          <w:rStyle w:val="a7"/>
          <w:rFonts w:ascii="휴먼명조" w:eastAsia="휴먼명조" w:hint="eastAsia"/>
        </w:rPr>
        <w:footnoteRef/>
      </w:r>
      <w:r w:rsidRPr="00FC3944">
        <w:rPr>
          <w:rFonts w:ascii="휴먼명조" w:eastAsia="휴먼명조" w:hint="eastAsia"/>
        </w:rPr>
        <w:t xml:space="preserve"> 고문방지협회 제출.</w:t>
      </w:r>
    </w:p>
  </w:footnote>
  <w:footnote w:id="70">
    <w:p w:rsidR="0033588E" w:rsidRPr="00FC3944" w:rsidRDefault="0033588E" w:rsidP="00FC3944">
      <w:pPr>
        <w:pStyle w:val="a8"/>
        <w:rPr>
          <w:rFonts w:ascii="휴먼명조" w:eastAsia="휴먼명조"/>
        </w:rPr>
      </w:pPr>
      <w:r w:rsidRPr="00FC3944">
        <w:rPr>
          <w:rStyle w:val="a7"/>
          <w:rFonts w:ascii="휴먼명조" w:eastAsia="휴먼명조" w:hint="eastAsia"/>
        </w:rPr>
        <w:footnoteRef/>
      </w:r>
      <w:r w:rsidRPr="00FC3944">
        <w:rPr>
          <w:rFonts w:ascii="휴먼명조" w:eastAsia="휴먼명조" w:hint="eastAsia"/>
        </w:rPr>
        <w:t xml:space="preserve"> Penal Reform International 제출.</w:t>
      </w:r>
    </w:p>
  </w:footnote>
  <w:footnote w:id="71">
    <w:p w:rsidR="0033588E" w:rsidRPr="00FC3944" w:rsidRDefault="0033588E" w:rsidP="00FC3944">
      <w:pPr>
        <w:pStyle w:val="a8"/>
        <w:rPr>
          <w:rFonts w:ascii="휴먼명조" w:eastAsia="휴먼명조"/>
        </w:rPr>
      </w:pPr>
      <w:r w:rsidRPr="00FC3944">
        <w:rPr>
          <w:rStyle w:val="a7"/>
          <w:rFonts w:ascii="휴먼명조" w:eastAsia="휴먼명조" w:hint="eastAsia"/>
        </w:rPr>
        <w:footnoteRef/>
      </w:r>
      <w:r w:rsidRPr="00FC3944">
        <w:rPr>
          <w:rFonts w:ascii="휴먼명조" w:eastAsia="휴먼명조" w:hint="eastAsia"/>
        </w:rPr>
        <w:t xml:space="preserve"> UN(2020), 정책 발표: 코로나 19가 노인에게 미치는 영향, 제7쪽; </w:t>
      </w:r>
      <w:proofErr w:type="spellStart"/>
      <w:r w:rsidRPr="00FC3944">
        <w:rPr>
          <w:rFonts w:ascii="휴먼명조" w:eastAsia="휴먼명조" w:hint="eastAsia"/>
        </w:rPr>
        <w:t>휴먼라이츠워치</w:t>
      </w:r>
      <w:proofErr w:type="spellEnd"/>
      <w:r w:rsidRPr="00FC3944">
        <w:rPr>
          <w:rFonts w:ascii="휴먼명조" w:eastAsia="휴먼명조" w:hint="eastAsia"/>
        </w:rPr>
        <w:t>, 코로나 19 대응의 인권적 측면, 2020년; ICRC, “소말리아, 구금 장소에서의 코로나 19”, 2020년.</w:t>
      </w:r>
    </w:p>
  </w:footnote>
  <w:footnote w:id="72">
    <w:p w:rsidR="0033588E" w:rsidRPr="00FC3944" w:rsidRDefault="0033588E" w:rsidP="00FC3944">
      <w:pPr>
        <w:pStyle w:val="a8"/>
        <w:rPr>
          <w:rFonts w:ascii="휴먼명조" w:eastAsia="휴먼명조"/>
        </w:rPr>
      </w:pPr>
      <w:r w:rsidRPr="00FC3944">
        <w:rPr>
          <w:rStyle w:val="a7"/>
          <w:rFonts w:ascii="휴먼명조" w:eastAsia="휴먼명조" w:hint="eastAsia"/>
        </w:rPr>
        <w:footnoteRef/>
      </w:r>
      <w:r w:rsidRPr="00FC3944">
        <w:rPr>
          <w:rFonts w:ascii="휴먼명조" w:eastAsia="휴먼명조" w:hint="eastAsia"/>
        </w:rPr>
        <w:t xml:space="preserve"> 필리핀 국가인권기구 및 고문방지협회 제출.</w:t>
      </w:r>
    </w:p>
  </w:footnote>
  <w:footnote w:id="73">
    <w:p w:rsidR="0033588E" w:rsidRPr="00FC3944" w:rsidRDefault="0033588E" w:rsidP="00FC3944">
      <w:pPr>
        <w:pStyle w:val="a8"/>
        <w:rPr>
          <w:rFonts w:ascii="휴먼명조" w:eastAsia="휴먼명조"/>
        </w:rPr>
      </w:pPr>
      <w:r w:rsidRPr="00FC3944">
        <w:rPr>
          <w:rStyle w:val="a7"/>
          <w:rFonts w:ascii="휴먼명조" w:eastAsia="휴먼명조" w:hint="eastAsia"/>
        </w:rPr>
        <w:footnoteRef/>
      </w:r>
      <w:r w:rsidRPr="00FC3944">
        <w:rPr>
          <w:rFonts w:ascii="휴먼명조" w:eastAsia="휴먼명조" w:hint="eastAsia"/>
        </w:rPr>
        <w:t xml:space="preserve"> 필리핀 국가인권기구 제출. </w:t>
      </w:r>
    </w:p>
  </w:footnote>
  <w:footnote w:id="74">
    <w:p w:rsidR="0033588E" w:rsidRPr="00FC3944" w:rsidRDefault="0033588E" w:rsidP="00FC3944">
      <w:pPr>
        <w:pStyle w:val="a8"/>
        <w:rPr>
          <w:rFonts w:ascii="휴먼명조" w:eastAsia="휴먼명조"/>
        </w:rPr>
      </w:pPr>
      <w:r w:rsidRPr="00FC3944">
        <w:rPr>
          <w:rStyle w:val="a7"/>
          <w:rFonts w:ascii="휴먼명조" w:eastAsia="휴먼명조" w:hint="eastAsia"/>
        </w:rPr>
        <w:footnoteRef/>
      </w:r>
      <w:r w:rsidRPr="00FC3944">
        <w:rPr>
          <w:rFonts w:ascii="휴먼명조" w:eastAsia="휴먼명조" w:hint="eastAsia"/>
        </w:rPr>
        <w:t xml:space="preserve"> UNODC, 특별한 필요를 가진 피구금자에 대한 핸드북, 128쪽.</w:t>
      </w:r>
    </w:p>
  </w:footnote>
  <w:footnote w:id="75">
    <w:p w:rsidR="0033588E" w:rsidRPr="00BB28D3" w:rsidRDefault="0033588E" w:rsidP="00FC3944">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고문방지협회 제출.</w:t>
      </w:r>
    </w:p>
  </w:footnote>
  <w:footnote w:id="76">
    <w:p w:rsidR="0033588E" w:rsidRPr="00BB28D3" w:rsidRDefault="0033588E" w:rsidP="00FC3944">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Crime Society Research 제출. </w:t>
      </w:r>
    </w:p>
  </w:footnote>
  <w:footnote w:id="77">
    <w:p w:rsidR="0033588E" w:rsidRPr="00BB28D3" w:rsidRDefault="0033588E" w:rsidP="00CE7DE4">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남부빈곤법률센터 제출.</w:t>
      </w:r>
    </w:p>
  </w:footnote>
  <w:footnote w:id="78">
    <w:p w:rsidR="0033588E" w:rsidRPr="00BB28D3" w:rsidRDefault="0033588E" w:rsidP="00CE7DE4">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상게서.</w:t>
      </w:r>
    </w:p>
  </w:footnote>
  <w:footnote w:id="79">
    <w:p w:rsidR="0033588E" w:rsidRPr="00BB28D3" w:rsidRDefault="0033588E" w:rsidP="00CE7DE4">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이는 OHCHR의 취약한 상황에 놓인 이주민의 인권보호를 위한 실질적 지침을 포함한 원칙과 가이드라인에 따라 국경 및 이주 관리 목적을 위한 자유의 박탈을 포함한다. </w:t>
      </w:r>
    </w:p>
  </w:footnote>
  <w:footnote w:id="80">
    <w:p w:rsidR="0033588E" w:rsidRDefault="0033588E" w:rsidP="00CE7DE4">
      <w:pPr>
        <w:pStyle w:val="a8"/>
      </w:pPr>
      <w:r w:rsidRPr="00BB28D3">
        <w:rPr>
          <w:rStyle w:val="a7"/>
          <w:rFonts w:ascii="휴먼명조" w:eastAsia="휴먼명조" w:hint="eastAsia"/>
        </w:rPr>
        <w:footnoteRef/>
      </w:r>
      <w:r w:rsidRPr="00BB28D3">
        <w:rPr>
          <w:rFonts w:ascii="휴먼명조" w:eastAsia="휴먼명조" w:hint="eastAsia"/>
        </w:rPr>
        <w:t xml:space="preserve"> Dignity 제출.</w:t>
      </w:r>
      <w:r>
        <w:rPr>
          <w:rFonts w:ascii="휴먼명조" w:eastAsia="휴먼명조" w:hint="eastAsia"/>
        </w:rPr>
        <w:t xml:space="preserve"> </w:t>
      </w:r>
    </w:p>
  </w:footnote>
  <w:footnote w:id="81">
    <w:p w:rsidR="0033588E" w:rsidRPr="00BB28D3" w:rsidRDefault="0033588E" w:rsidP="00CE7DE4">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전문가 논의 중 얻은 정보(2022년 3월 2-3일).</w:t>
      </w:r>
    </w:p>
  </w:footnote>
  <w:footnote w:id="82">
    <w:p w:rsidR="0033588E" w:rsidRPr="00BB28D3" w:rsidRDefault="0033588E" w:rsidP="00CE7DE4">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망명 정보 데이터베이스/유럽 난민 및 망명자 위원회, “구금시설의 환경: 스위스”,</w:t>
      </w:r>
    </w:p>
    <w:p w:rsidR="0033588E" w:rsidRPr="00BB28D3" w:rsidRDefault="00EE77F5" w:rsidP="00CE7DE4">
      <w:pPr>
        <w:pStyle w:val="a8"/>
        <w:rPr>
          <w:rFonts w:ascii="휴먼명조" w:eastAsia="휴먼명조"/>
          <w:spacing w:val="-14"/>
        </w:rPr>
      </w:pPr>
      <w:hyperlink r:id="rId3" w:history="1">
        <w:r w:rsidR="0033588E" w:rsidRPr="00BB28D3">
          <w:rPr>
            <w:rStyle w:val="a9"/>
            <w:rFonts w:ascii="휴먼명조" w:eastAsia="휴먼명조" w:hint="eastAsia"/>
            <w:spacing w:val="-14"/>
          </w:rPr>
          <w:t>https://asylumineurope.org/reports/country/switzerland/detention-asylum-seekers/detention-conditions/conditions-detention-facilities/</w:t>
        </w:r>
      </w:hyperlink>
    </w:p>
  </w:footnote>
  <w:footnote w:id="83">
    <w:p w:rsidR="0033588E" w:rsidRPr="00CE7DE4" w:rsidRDefault="0033588E" w:rsidP="00CE7DE4">
      <w:pPr>
        <w:pStyle w:val="a8"/>
      </w:pPr>
      <w:r w:rsidRPr="00BB28D3">
        <w:rPr>
          <w:rStyle w:val="a7"/>
          <w:rFonts w:ascii="휴먼명조" w:eastAsia="휴먼명조" w:hint="eastAsia"/>
        </w:rPr>
        <w:footnoteRef/>
      </w:r>
      <w:r w:rsidRPr="00BB28D3">
        <w:rPr>
          <w:rFonts w:ascii="휴먼명조" w:eastAsia="휴먼명조" w:hint="eastAsia"/>
        </w:rPr>
        <w:t xml:space="preserve"> 전문가 논의 중 얻은 정보(2022년 3월 2-3일).</w:t>
      </w:r>
    </w:p>
  </w:footnote>
  <w:footnote w:id="84">
    <w:p w:rsidR="0033588E" w:rsidRPr="00BB28D3" w:rsidRDefault="0033588E" w:rsidP="00CE7DE4">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ICRC, 노화와 치매, 7쪽.</w:t>
      </w:r>
    </w:p>
  </w:footnote>
  <w:footnote w:id="85">
    <w:p w:rsidR="0033588E" w:rsidRPr="00BB28D3" w:rsidRDefault="0033588E" w:rsidP="00CE7DE4">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Lucy Series 박사 및 Judy Laing 교수 제출.</w:t>
      </w:r>
    </w:p>
  </w:footnote>
  <w:footnote w:id="86">
    <w:p w:rsidR="0033588E" w:rsidRPr="00BB28D3" w:rsidRDefault="0033588E" w:rsidP="00CE7DE4">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w:t>
      </w:r>
      <w:proofErr w:type="spellStart"/>
      <w:r w:rsidRPr="00BB28D3">
        <w:rPr>
          <w:rFonts w:ascii="휴먼명조" w:eastAsia="휴먼명조" w:hint="eastAsia"/>
        </w:rPr>
        <w:t>세계노인정신의학회</w:t>
      </w:r>
      <w:proofErr w:type="spellEnd"/>
      <w:r w:rsidRPr="00BB28D3">
        <w:rPr>
          <w:rFonts w:ascii="휴먼명조" w:eastAsia="휴먼명조" w:hint="eastAsia"/>
        </w:rPr>
        <w:t>, 세계정신의학협회 노인정신의학 부문 제출.</w:t>
      </w:r>
    </w:p>
  </w:footnote>
  <w:footnote w:id="87">
    <w:p w:rsidR="0033588E" w:rsidRPr="00CE7DE4" w:rsidRDefault="0033588E" w:rsidP="00CE7DE4">
      <w:pPr>
        <w:pStyle w:val="a8"/>
      </w:pPr>
      <w:r w:rsidRPr="00BB28D3">
        <w:rPr>
          <w:rStyle w:val="a7"/>
          <w:rFonts w:ascii="휴먼명조" w:eastAsia="휴먼명조" w:hint="eastAsia"/>
        </w:rPr>
        <w:footnoteRef/>
      </w:r>
      <w:r w:rsidRPr="00BB28D3">
        <w:rPr>
          <w:rFonts w:ascii="휴먼명조" w:eastAsia="휴먼명조" w:hint="eastAsia"/>
        </w:rPr>
        <w:t xml:space="preserve"> A/HRC/30/43, 제74항; </w:t>
      </w:r>
      <w:proofErr w:type="spellStart"/>
      <w:r w:rsidRPr="00BB28D3">
        <w:rPr>
          <w:rFonts w:ascii="휴먼명조" w:eastAsia="휴먼명조" w:hint="eastAsia"/>
        </w:rPr>
        <w:t>휴먼라이츠워치</w:t>
      </w:r>
      <w:proofErr w:type="spellEnd"/>
      <w:r w:rsidRPr="00BB28D3">
        <w:rPr>
          <w:rFonts w:ascii="휴먼명조" w:eastAsia="휴먼명조" w:hint="eastAsia"/>
        </w:rPr>
        <w:t xml:space="preserve"> 제출.</w:t>
      </w:r>
    </w:p>
  </w:footnote>
  <w:footnote w:id="88">
    <w:p w:rsidR="0033588E" w:rsidRPr="00BB28D3" w:rsidRDefault="0033588E" w:rsidP="00C76EFD">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w:t>
      </w:r>
      <w:proofErr w:type="spellStart"/>
      <w:r w:rsidRPr="00BB28D3">
        <w:rPr>
          <w:rFonts w:ascii="휴먼명조" w:eastAsia="휴먼명조" w:hint="eastAsia"/>
        </w:rPr>
        <w:t>휴먼라이츠워치</w:t>
      </w:r>
      <w:proofErr w:type="spellEnd"/>
      <w:r w:rsidRPr="00BB28D3">
        <w:rPr>
          <w:rFonts w:ascii="휴먼명조" w:eastAsia="휴먼명조" w:hint="eastAsia"/>
        </w:rPr>
        <w:t xml:space="preserve"> “사라짐: 호주의 노인 돌봄 시설이 치매에 걸린 노인을 화학적으로 억제하는 방법”, 2019년 10월.</w:t>
      </w:r>
    </w:p>
  </w:footnote>
  <w:footnote w:id="89">
    <w:p w:rsidR="0033588E" w:rsidRPr="00BB28D3" w:rsidRDefault="0033588E" w:rsidP="00C76EFD">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w:t>
      </w:r>
      <w:proofErr w:type="spellStart"/>
      <w:r w:rsidRPr="00BB28D3">
        <w:rPr>
          <w:rFonts w:ascii="휴먼명조" w:eastAsia="휴먼명조" w:hint="eastAsia"/>
        </w:rPr>
        <w:t>휴먼라이츠워치</w:t>
      </w:r>
      <w:proofErr w:type="spellEnd"/>
      <w:r w:rsidRPr="00BB28D3">
        <w:rPr>
          <w:rFonts w:ascii="휴먼명조" w:eastAsia="휴먼명조" w:hint="eastAsia"/>
        </w:rPr>
        <w:t xml:space="preserve"> 제출.</w:t>
      </w:r>
    </w:p>
  </w:footnote>
  <w:footnote w:id="90">
    <w:p w:rsidR="0033588E" w:rsidRPr="00BB28D3" w:rsidRDefault="0033588E" w:rsidP="00C76EFD">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Dignity 제출. </w:t>
      </w:r>
    </w:p>
  </w:footnote>
  <w:footnote w:id="91">
    <w:p w:rsidR="0033588E" w:rsidRPr="00BB28D3" w:rsidRDefault="0033588E" w:rsidP="00C76EFD">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유럽 고문방지위원회, 사회적 돌봄 시설에 대한 </w:t>
      </w:r>
      <w:proofErr w:type="spellStart"/>
      <w:r w:rsidRPr="00BB28D3">
        <w:rPr>
          <w:rFonts w:ascii="휴먼명조" w:eastAsia="휴먼명조" w:hint="eastAsia"/>
        </w:rPr>
        <w:t>자료표</w:t>
      </w:r>
      <w:proofErr w:type="spellEnd"/>
      <w:r w:rsidRPr="00BB28D3">
        <w:rPr>
          <w:rFonts w:ascii="휴먼명조" w:eastAsia="휴먼명조" w:hint="eastAsia"/>
        </w:rPr>
        <w:t>, 2020년 12월, 제9항.</w:t>
      </w:r>
    </w:p>
  </w:footnote>
  <w:footnote w:id="92">
    <w:p w:rsidR="0033588E" w:rsidRPr="00BB28D3" w:rsidRDefault="0033588E" w:rsidP="00C76EFD">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A/HRC/22/53; 유럽 평의회, 각료회의, 권고 CM/Rec(2014)2.</w:t>
      </w:r>
    </w:p>
  </w:footnote>
  <w:footnote w:id="93">
    <w:p w:rsidR="0033588E" w:rsidRPr="00C76EFD" w:rsidRDefault="0033588E" w:rsidP="00C76EFD">
      <w:pPr>
        <w:pStyle w:val="a8"/>
      </w:pPr>
      <w:r w:rsidRPr="00BB28D3">
        <w:rPr>
          <w:rStyle w:val="a7"/>
          <w:rFonts w:ascii="휴먼명조" w:eastAsia="휴먼명조" w:hint="eastAsia"/>
        </w:rPr>
        <w:footnoteRef/>
      </w:r>
      <w:r w:rsidRPr="00BB28D3">
        <w:rPr>
          <w:rFonts w:ascii="휴먼명조" w:eastAsia="휴먼명조" w:hint="eastAsia"/>
        </w:rPr>
        <w:t xml:space="preserve"> DESA, 정책 발표, 68호, “코로나 19와 노인: 정보에 기반하고 포용적이며 대상을 정한 대응을 위한 순간”, 유엔, 정책 발표 “코로나 19가 노인에게 미치는 영향”, 2020년, 6-7쪽.</w:t>
      </w:r>
    </w:p>
  </w:footnote>
  <w:footnote w:id="94">
    <w:p w:rsidR="0033588E" w:rsidRPr="00BB28D3" w:rsidRDefault="0033588E" w:rsidP="008046C4">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유럽평의회, “돌봄과 관련한 노인의 존엄성 및 자율성에 대한 권리”, 2018년. </w:t>
      </w:r>
    </w:p>
  </w:footnote>
  <w:footnote w:id="95">
    <w:p w:rsidR="008046C4" w:rsidRPr="00BB28D3" w:rsidRDefault="008046C4" w:rsidP="008046C4">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독일 노인 단체 국가 연합 제출.</w:t>
      </w:r>
    </w:p>
  </w:footnote>
  <w:footnote w:id="96">
    <w:p w:rsidR="008046C4" w:rsidRPr="00BB28D3" w:rsidRDefault="008046C4" w:rsidP="008046C4">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고문방지협회 제출. </w:t>
      </w:r>
    </w:p>
  </w:footnote>
  <w:footnote w:id="97">
    <w:p w:rsidR="008046C4" w:rsidRPr="00BB28D3" w:rsidRDefault="008046C4"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Israel Doron 외, “들리지 않는 목소리, 의료시스템 내 노인의 불만의 양상”, 유럽 고령화 저널, 8권, 1호(2011년).</w:t>
      </w:r>
    </w:p>
  </w:footnote>
  <w:footnote w:id="98">
    <w:p w:rsidR="008046C4" w:rsidRPr="00BB28D3" w:rsidRDefault="008046C4" w:rsidP="008046C4">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Dignity 제출. </w:t>
      </w:r>
    </w:p>
  </w:footnote>
  <w:footnote w:id="99">
    <w:p w:rsidR="008046C4" w:rsidRPr="00BB28D3" w:rsidRDefault="008046C4" w:rsidP="008046C4">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Martin Knapp 외, 탈시설화 사례의 구체화: 코로나 19와 장애인의 경험, 런던정치경제대학교, 2021년, 6쪽. </w:t>
      </w:r>
    </w:p>
  </w:footnote>
  <w:footnote w:id="100">
    <w:p w:rsidR="008046C4" w:rsidRPr="00BB28D3" w:rsidRDefault="008046C4" w:rsidP="008046C4">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ISL 제출.</w:t>
      </w:r>
    </w:p>
  </w:footnote>
  <w:footnote w:id="101">
    <w:p w:rsidR="008046C4" w:rsidRPr="008046C4" w:rsidRDefault="008046C4" w:rsidP="008046C4">
      <w:pPr>
        <w:pStyle w:val="a8"/>
      </w:pPr>
      <w:r w:rsidRPr="00BB28D3">
        <w:rPr>
          <w:rStyle w:val="a7"/>
          <w:rFonts w:ascii="휴먼명조" w:eastAsia="휴먼명조" w:hint="eastAsia"/>
        </w:rPr>
        <w:footnoteRef/>
      </w:r>
      <w:r w:rsidRPr="00BB28D3">
        <w:rPr>
          <w:rFonts w:ascii="휴먼명조" w:eastAsia="휴먼명조" w:hint="eastAsia"/>
        </w:rPr>
        <w:t xml:space="preserve"> 전문가 협의 시 제공받은 자료(2022년 3월 1-2일); </w:t>
      </w:r>
      <w:proofErr w:type="spellStart"/>
      <w:r w:rsidRPr="00BB28D3">
        <w:rPr>
          <w:rFonts w:ascii="휴먼명조" w:eastAsia="휴먼명조" w:hint="eastAsia"/>
        </w:rPr>
        <w:t>휴먼라이츠워치</w:t>
      </w:r>
      <w:proofErr w:type="spellEnd"/>
      <w:r w:rsidRPr="00BB28D3">
        <w:rPr>
          <w:rFonts w:ascii="휴먼명조" w:eastAsia="휴먼명조" w:hint="eastAsia"/>
        </w:rPr>
        <w:t>, 사슬에 묶여 사는 것: 전세계 정신장애인의 족쇄, 2020년.</w:t>
      </w:r>
    </w:p>
  </w:footnote>
  <w:footnote w:id="102">
    <w:p w:rsidR="008046C4" w:rsidRPr="00BB28D3" w:rsidRDefault="008046C4" w:rsidP="00341E60">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w:t>
      </w:r>
      <w:proofErr w:type="spellStart"/>
      <w:r w:rsidRPr="00BB28D3">
        <w:rPr>
          <w:rFonts w:ascii="휴먼명조" w:eastAsia="휴먼명조" w:hint="eastAsia"/>
        </w:rPr>
        <w:t>Telefono</w:t>
      </w:r>
      <w:proofErr w:type="spellEnd"/>
      <w:r w:rsidRPr="00BB28D3">
        <w:rPr>
          <w:rFonts w:ascii="휴먼명조" w:eastAsia="휴먼명조" w:hint="eastAsia"/>
        </w:rPr>
        <w:t xml:space="preserve"> </w:t>
      </w:r>
      <w:proofErr w:type="spellStart"/>
      <w:r w:rsidRPr="00BB28D3">
        <w:rPr>
          <w:rFonts w:ascii="휴먼명조" w:eastAsia="휴먼명조" w:hint="eastAsia"/>
        </w:rPr>
        <w:t>anziani</w:t>
      </w:r>
      <w:proofErr w:type="spellEnd"/>
      <w:r w:rsidRPr="00BB28D3">
        <w:rPr>
          <w:rFonts w:ascii="휴먼명조" w:eastAsia="휴먼명조" w:hint="eastAsia"/>
        </w:rPr>
        <w:t xml:space="preserve"> </w:t>
      </w:r>
      <w:proofErr w:type="spellStart"/>
      <w:r w:rsidRPr="00BB28D3">
        <w:rPr>
          <w:rFonts w:ascii="휴먼명조" w:eastAsia="휴먼명조" w:hint="eastAsia"/>
        </w:rPr>
        <w:t>maltrattati</w:t>
      </w:r>
      <w:proofErr w:type="spellEnd"/>
      <w:r w:rsidRPr="00BB28D3">
        <w:rPr>
          <w:rFonts w:ascii="휴먼명조" w:eastAsia="휴먼명조" w:hint="eastAsia"/>
        </w:rPr>
        <w:t xml:space="preserve"> 제출; 국제이주기구, 고령화 사회에서의 이주 돌봄 노동자의 역할: 영국, 아일랜드, 캐나마 및 미국 사례에 대한 보고서, 2010년, 37쪽. </w:t>
      </w:r>
    </w:p>
  </w:footnote>
  <w:footnote w:id="103">
    <w:p w:rsidR="00341E60" w:rsidRPr="00BB28D3" w:rsidRDefault="00341E60" w:rsidP="00341E60">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w:t>
      </w:r>
      <w:hyperlink r:id="rId4" w:history="1">
        <w:r w:rsidRPr="00BB28D3">
          <w:rPr>
            <w:rStyle w:val="a9"/>
            <w:rFonts w:ascii="휴먼명조" w:eastAsia="휴먼명조" w:hint="eastAsia"/>
          </w:rPr>
          <w:t>https://www.gerontologia.org/portal/information/showInformation.php?idinfo=3622</w:t>
        </w:r>
      </w:hyperlink>
      <w:r w:rsidRPr="00BB28D3">
        <w:rPr>
          <w:rFonts w:ascii="휴먼명조" w:eastAsia="휴먼명조" w:hint="eastAsia"/>
        </w:rPr>
        <w:t xml:space="preserve"> </w:t>
      </w:r>
    </w:p>
  </w:footnote>
  <w:footnote w:id="104">
    <w:p w:rsidR="00341E60" w:rsidRDefault="00341E60" w:rsidP="00341E60">
      <w:pPr>
        <w:pStyle w:val="a8"/>
      </w:pPr>
      <w:r w:rsidRPr="00BB28D3">
        <w:rPr>
          <w:rStyle w:val="a7"/>
          <w:rFonts w:ascii="휴먼명조" w:eastAsia="휴먼명조" w:hint="eastAsia"/>
        </w:rPr>
        <w:footnoteRef/>
      </w:r>
      <w:r w:rsidRPr="00BB28D3">
        <w:rPr>
          <w:rFonts w:ascii="휴먼명조" w:eastAsia="휴먼명조" w:hint="eastAsia"/>
        </w:rPr>
        <w:t xml:space="preserve"> Lucy Series 박사 및 Judy Laing 교수 제출.</w:t>
      </w:r>
    </w:p>
  </w:footnote>
  <w:footnote w:id="105">
    <w:p w:rsidR="00341E60" w:rsidRPr="00BB28D3" w:rsidRDefault="00341E60" w:rsidP="00341E60">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국가별 제출에 기반함.</w:t>
      </w:r>
    </w:p>
  </w:footnote>
  <w:footnote w:id="106">
    <w:p w:rsidR="00341E60" w:rsidRPr="00BB28D3" w:rsidRDefault="00341E60" w:rsidP="00341E60">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Rosie Harding 교수 제출.</w:t>
      </w:r>
    </w:p>
  </w:footnote>
  <w:footnote w:id="107">
    <w:p w:rsidR="00341E60" w:rsidRPr="00BB28D3" w:rsidRDefault="00341E60" w:rsidP="00341E60">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상게서.</w:t>
      </w:r>
    </w:p>
  </w:footnote>
  <w:footnote w:id="108">
    <w:p w:rsidR="00341E60" w:rsidRPr="00BB28D3" w:rsidRDefault="00341E60" w:rsidP="00341E60">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A/HRC/30/43, 74항.</w:t>
      </w:r>
    </w:p>
  </w:footnote>
  <w:footnote w:id="109">
    <w:p w:rsidR="00341E60" w:rsidRDefault="00341E60" w:rsidP="00341E60">
      <w:pPr>
        <w:pStyle w:val="a8"/>
      </w:pPr>
      <w:r w:rsidRPr="00BB28D3">
        <w:rPr>
          <w:rStyle w:val="a7"/>
          <w:rFonts w:ascii="휴먼명조" w:eastAsia="휴먼명조" w:hint="eastAsia"/>
        </w:rPr>
        <w:footnoteRef/>
      </w:r>
      <w:r w:rsidRPr="00BB28D3">
        <w:rPr>
          <w:rFonts w:ascii="휴먼명조" w:eastAsia="휴먼명조" w:hint="eastAsia"/>
        </w:rPr>
        <w:t xml:space="preserve"> Dignity, Penal Reform International 제출.</w:t>
      </w:r>
    </w:p>
  </w:footnote>
  <w:footnote w:id="110">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유럽인권재판소, </w:t>
      </w:r>
      <w:proofErr w:type="spellStart"/>
      <w:r w:rsidRPr="00BB28D3">
        <w:rPr>
          <w:rFonts w:ascii="휴먼명조" w:eastAsia="휴먼명조" w:hint="eastAsia"/>
        </w:rPr>
        <w:t>Stanev</w:t>
      </w:r>
      <w:proofErr w:type="spellEnd"/>
      <w:r w:rsidRPr="00BB28D3">
        <w:rPr>
          <w:rFonts w:ascii="휴먼명조" w:eastAsia="휴먼명조" w:hint="eastAsia"/>
        </w:rPr>
        <w:t xml:space="preserve"> 대 불가리아, 진정 No.36760/06(20120), 제120항.</w:t>
      </w:r>
    </w:p>
  </w:footnote>
  <w:footnote w:id="111">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w:t>
      </w:r>
      <w:proofErr w:type="spellStart"/>
      <w:r w:rsidRPr="00BB28D3">
        <w:rPr>
          <w:rFonts w:ascii="휴먼명조" w:eastAsia="휴먼명조" w:hint="eastAsia"/>
        </w:rPr>
        <w:t>휴먼라이츠워치</w:t>
      </w:r>
      <w:proofErr w:type="spellEnd"/>
      <w:r w:rsidRPr="00BB28D3">
        <w:rPr>
          <w:rFonts w:ascii="휴먼명조" w:eastAsia="휴먼명조" w:hint="eastAsia"/>
        </w:rPr>
        <w:t>, 세계보고서 2022- 2021년의 사건들.</w:t>
      </w:r>
    </w:p>
  </w:footnote>
  <w:footnote w:id="112">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Dignity 제출.</w:t>
      </w:r>
    </w:p>
  </w:footnote>
  <w:footnote w:id="113">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Penal Reform International, 2016 국제 교도소 경향, 20쪽. </w:t>
      </w:r>
    </w:p>
  </w:footnote>
  <w:footnote w:id="114">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Penal Reform International, 사형제 대안에 대한 정보, 2015년. </w:t>
      </w:r>
    </w:p>
  </w:footnote>
  <w:footnote w:id="115">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남부빈곤법률센터 제출.</w:t>
      </w:r>
    </w:p>
  </w:footnote>
  <w:footnote w:id="116">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Dignity, “코로나 19 맥락에서 미결구금 및 교도소에서의 과밀수용의 해소”, 2020년.</w:t>
      </w:r>
    </w:p>
  </w:footnote>
  <w:footnote w:id="117">
    <w:p w:rsidR="00BB28D3" w:rsidRPr="00BB28D3" w:rsidRDefault="00BB28D3" w:rsidP="00BB28D3">
      <w:pPr>
        <w:pStyle w:val="a8"/>
      </w:pPr>
      <w:r w:rsidRPr="00BB28D3">
        <w:rPr>
          <w:rStyle w:val="a7"/>
          <w:rFonts w:ascii="휴먼명조" w:eastAsia="휴먼명조" w:hint="eastAsia"/>
        </w:rPr>
        <w:footnoteRef/>
      </w:r>
      <w:r w:rsidRPr="00BB28D3">
        <w:rPr>
          <w:rFonts w:ascii="휴먼명조" w:eastAsia="휴먼명조" w:hint="eastAsia"/>
        </w:rPr>
        <w:t xml:space="preserve"> DLA Piper, 코로나 19에 대응하는 피구금자 석방의 국제적 분석, 2020년, 27쪽.</w:t>
      </w:r>
    </w:p>
  </w:footnote>
  <w:footnote w:id="118">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Penal Reform International 제출.</w:t>
      </w:r>
    </w:p>
  </w:footnote>
  <w:footnote w:id="119">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유럽인권재판소, </w:t>
      </w:r>
      <w:proofErr w:type="spellStart"/>
      <w:r w:rsidRPr="00BB28D3">
        <w:rPr>
          <w:rFonts w:ascii="휴먼명조" w:eastAsia="휴먼명조" w:hint="eastAsia"/>
        </w:rPr>
        <w:t>Rozhkov</w:t>
      </w:r>
      <w:proofErr w:type="spellEnd"/>
      <w:r w:rsidRPr="00BB28D3">
        <w:rPr>
          <w:rFonts w:ascii="휴먼명조" w:eastAsia="휴먼명조" w:hint="eastAsia"/>
        </w:rPr>
        <w:t xml:space="preserve"> 대 러시아, 진정 No.64140/00, 제104항.</w:t>
      </w:r>
    </w:p>
  </w:footnote>
  <w:footnote w:id="120">
    <w:p w:rsidR="00BB28D3" w:rsidRPr="00BB28D3" w:rsidRDefault="00BB28D3" w:rsidP="00BB28D3">
      <w:pPr>
        <w:pStyle w:val="a8"/>
      </w:pPr>
      <w:r w:rsidRPr="00BB28D3">
        <w:rPr>
          <w:rStyle w:val="a7"/>
          <w:rFonts w:ascii="휴먼명조" w:eastAsia="휴먼명조" w:hint="eastAsia"/>
        </w:rPr>
        <w:footnoteRef/>
      </w:r>
      <w:r w:rsidRPr="00BB28D3">
        <w:rPr>
          <w:rFonts w:ascii="휴먼명조" w:eastAsia="휴먼명조" w:hint="eastAsia"/>
        </w:rPr>
        <w:t xml:space="preserve"> 이 맥락에서는 노인이 선택한 생활 환경 및 공동체로 이해됨.</w:t>
      </w:r>
      <w:r>
        <w:rPr>
          <w:rFonts w:ascii="휴먼명조" w:eastAsia="휴먼명조" w:hint="eastAsia"/>
        </w:rPr>
        <w:t xml:space="preserve"> </w:t>
      </w:r>
    </w:p>
  </w:footnote>
  <w:footnote w:id="121">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A/HRC/30/43, 72항.</w:t>
      </w:r>
    </w:p>
  </w:footnote>
  <w:footnote w:id="122">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A/HRC/26/39, A/76/157, 80항. </w:t>
      </w:r>
    </w:p>
  </w:footnote>
  <w:footnote w:id="123">
    <w:p w:rsidR="00BB28D3" w:rsidRDefault="00BB28D3" w:rsidP="00BB28D3">
      <w:pPr>
        <w:pStyle w:val="a8"/>
      </w:pPr>
      <w:r w:rsidRPr="00BB28D3">
        <w:rPr>
          <w:rStyle w:val="a7"/>
          <w:rFonts w:ascii="휴먼명조" w:eastAsia="휴먼명조" w:hint="eastAsia"/>
        </w:rPr>
        <w:footnoteRef/>
      </w:r>
      <w:r w:rsidRPr="00BB28D3">
        <w:rPr>
          <w:rFonts w:ascii="휴먼명조" w:eastAsia="휴먼명조" w:hint="eastAsia"/>
        </w:rPr>
        <w:t xml:space="preserve"> Richard Carver, Lisa Handley, 고문방지가 작동하는가, ICRC, 제네바, 2016; 고문방지협회 제출.</w:t>
      </w:r>
      <w:r>
        <w:rPr>
          <w:rFonts w:ascii="휴먼명조" w:eastAsia="휴먼명조" w:hint="eastAsia"/>
        </w:rPr>
        <w:t xml:space="preserve"> </w:t>
      </w:r>
    </w:p>
  </w:footnote>
  <w:footnote w:id="124">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인권기구 및 </w:t>
      </w:r>
      <w:proofErr w:type="spellStart"/>
      <w:r w:rsidRPr="00BB28D3">
        <w:rPr>
          <w:rFonts w:ascii="휴먼명조" w:eastAsia="휴먼명조" w:hint="eastAsia"/>
        </w:rPr>
        <w:t>국가예방메커니즘</w:t>
      </w:r>
      <w:proofErr w:type="spellEnd"/>
      <w:r w:rsidRPr="00BB28D3">
        <w:rPr>
          <w:rFonts w:ascii="휴먼명조" w:eastAsia="휴먼명조" w:hint="eastAsia"/>
        </w:rPr>
        <w:t xml:space="preserve"> 제출.</w:t>
      </w:r>
    </w:p>
  </w:footnote>
  <w:footnote w:id="125">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고문방지협회 제출.</w:t>
      </w:r>
    </w:p>
  </w:footnote>
  <w:footnote w:id="126">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OHCHR, 노인을 위한 규범적 기준에 대한 2012 분석적 결과 연구, 2021년, 제121항. </w:t>
      </w:r>
    </w:p>
  </w:footnote>
  <w:footnote w:id="127">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고문방지협약 제12조; 자유권위원회, 일반논평 제36호(2019년), 제21항 및 27항.</w:t>
      </w:r>
    </w:p>
  </w:footnote>
  <w:footnote w:id="128">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총회 결의 제60/147호, 부록; 유럽인권협약 제13조; </w:t>
      </w:r>
      <w:proofErr w:type="gramStart"/>
      <w:r w:rsidRPr="00BB28D3">
        <w:rPr>
          <w:rFonts w:ascii="휴먼명조" w:eastAsia="휴먼명조" w:hint="eastAsia"/>
        </w:rPr>
        <w:t>미주인권재판소,</w:t>
      </w:r>
      <w:proofErr w:type="spellStart"/>
      <w:r w:rsidRPr="00BB28D3">
        <w:rPr>
          <w:rFonts w:ascii="휴먼명조" w:eastAsia="휴먼명조" w:hint="eastAsia"/>
        </w:rPr>
        <w:t>Villagr</w:t>
      </w:r>
      <w:r w:rsidRPr="00BB28D3">
        <w:rPr>
          <w:rFonts w:ascii="휴먼명조" w:eastAsia="휴먼명조" w:hint="eastAsia"/>
        </w:rPr>
        <w:t>á</w:t>
      </w:r>
      <w:r w:rsidRPr="00BB28D3">
        <w:rPr>
          <w:rFonts w:ascii="휴먼명조" w:eastAsia="휴먼명조" w:hint="eastAsia"/>
        </w:rPr>
        <w:t>n</w:t>
      </w:r>
      <w:proofErr w:type="spellEnd"/>
      <w:proofErr w:type="gramEnd"/>
      <w:r w:rsidRPr="00BB28D3">
        <w:rPr>
          <w:rFonts w:ascii="휴먼명조" w:eastAsia="휴먼명조" w:hint="eastAsia"/>
        </w:rPr>
        <w:t xml:space="preserve"> Morales 외 대. 과테말라, 1999년 11월 19일 판결, 제225항.</w:t>
      </w:r>
    </w:p>
  </w:footnote>
  <w:footnote w:id="129">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Israel Doron 외, “들리지 않는 목소리, 의료시스템 내 노인의 불만의 양상”, 유럽 고령화 저널, 8권, 1호(2011년)</w:t>
      </w:r>
    </w:p>
  </w:footnote>
  <w:footnote w:id="130">
    <w:p w:rsidR="00BB28D3" w:rsidRPr="00BB28D3" w:rsidRDefault="00BB28D3" w:rsidP="00BB28D3">
      <w:pPr>
        <w:pStyle w:val="a8"/>
      </w:pPr>
      <w:r w:rsidRPr="00BB28D3">
        <w:rPr>
          <w:rStyle w:val="a7"/>
          <w:rFonts w:ascii="휴먼명조" w:eastAsia="휴먼명조" w:hint="eastAsia"/>
        </w:rPr>
        <w:footnoteRef/>
      </w:r>
      <w:r w:rsidRPr="00BB28D3">
        <w:rPr>
          <w:rFonts w:ascii="휴먼명조" w:eastAsia="휴먼명조" w:hint="eastAsia"/>
        </w:rPr>
        <w:t xml:space="preserve"> 유럽인권재판소, </w:t>
      </w:r>
      <w:proofErr w:type="spellStart"/>
      <w:r w:rsidRPr="00BB28D3">
        <w:rPr>
          <w:rFonts w:ascii="휴먼명조" w:eastAsia="휴먼명조" w:hint="eastAsia"/>
        </w:rPr>
        <w:t>Dodov</w:t>
      </w:r>
      <w:proofErr w:type="spellEnd"/>
      <w:r w:rsidRPr="00BB28D3">
        <w:rPr>
          <w:rFonts w:ascii="휴먼명조" w:eastAsia="휴먼명조" w:hint="eastAsia"/>
        </w:rPr>
        <w:t xml:space="preserve"> 대 불가리아, 진정 No.59548/00, 2008년.</w:t>
      </w:r>
    </w:p>
  </w:footnote>
  <w:footnote w:id="131">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Penal Reform International 제출. </w:t>
      </w:r>
    </w:p>
  </w:footnote>
  <w:footnote w:id="132">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유럽인권재판소, </w:t>
      </w:r>
      <w:proofErr w:type="spellStart"/>
      <w:r w:rsidRPr="00BB28D3">
        <w:rPr>
          <w:rFonts w:ascii="휴먼명조" w:eastAsia="휴먼명조" w:hint="eastAsia"/>
        </w:rPr>
        <w:t>Mouisel</w:t>
      </w:r>
      <w:proofErr w:type="spellEnd"/>
      <w:r w:rsidRPr="00BB28D3">
        <w:rPr>
          <w:rFonts w:ascii="휴먼명조" w:eastAsia="휴먼명조" w:hint="eastAsia"/>
        </w:rPr>
        <w:t xml:space="preserve"> 대 프랑스, 진정No. 67263/01, 2002, 제40항; </w:t>
      </w:r>
      <w:proofErr w:type="spellStart"/>
      <w:r w:rsidRPr="00BB28D3">
        <w:rPr>
          <w:rFonts w:ascii="휴먼명조" w:eastAsia="휴먼명조" w:hint="eastAsia"/>
        </w:rPr>
        <w:t>Farbtuhs</w:t>
      </w:r>
      <w:proofErr w:type="spellEnd"/>
      <w:r w:rsidRPr="00BB28D3">
        <w:rPr>
          <w:rFonts w:ascii="휴먼명조" w:eastAsia="휴먼명조" w:hint="eastAsia"/>
        </w:rPr>
        <w:t xml:space="preserve"> 대 라트비아, 진정No. 4672/02, 2004, 제51항.</w:t>
      </w:r>
    </w:p>
  </w:footnote>
  <w:footnote w:id="133">
    <w:p w:rsidR="00BB28D3" w:rsidRPr="00BB28D3" w:rsidRDefault="00BB28D3" w:rsidP="00BB28D3">
      <w:pPr>
        <w:pStyle w:val="a8"/>
        <w:rPr>
          <w:rFonts w:ascii="휴먼명조" w:eastAsia="휴먼명조"/>
        </w:rPr>
      </w:pPr>
      <w:r w:rsidRPr="00BB28D3">
        <w:rPr>
          <w:rStyle w:val="a7"/>
          <w:rFonts w:ascii="휴먼명조" w:eastAsia="휴먼명조" w:hint="eastAsia"/>
        </w:rPr>
        <w:footnoteRef/>
      </w:r>
      <w:r w:rsidRPr="00BB28D3">
        <w:rPr>
          <w:rFonts w:ascii="휴먼명조" w:eastAsia="휴먼명조" w:hint="eastAsia"/>
        </w:rPr>
        <w:t xml:space="preserve"> 완화 및 말기 치료 파트너십을 위한 야망, “구금 중 잘 죽는 것: 지역적 행동을 위한 국가적 프레임워크”, 2018년 4월, 영국, 사법위원회, “고령화되는 교도소 인구: 2019-2021 제5차 보고서”, 하원, 2022년 7월 22일, “고령화되는 교도소 인구: 위원회의 제5차 보고서에 대한 정부의 대응”, 영국 의회, 2020년 10월 26일. </w:t>
      </w:r>
    </w:p>
  </w:footnote>
  <w:footnote w:id="134">
    <w:p w:rsidR="00BB28D3" w:rsidRDefault="00BB28D3" w:rsidP="00BB28D3">
      <w:pPr>
        <w:pStyle w:val="a8"/>
      </w:pPr>
      <w:r w:rsidRPr="00BB28D3">
        <w:rPr>
          <w:rStyle w:val="a7"/>
          <w:rFonts w:ascii="휴먼명조" w:eastAsia="휴먼명조" w:hint="eastAsia"/>
        </w:rPr>
        <w:footnoteRef/>
      </w:r>
      <w:r w:rsidRPr="00BB28D3">
        <w:rPr>
          <w:rFonts w:ascii="휴먼명조" w:eastAsia="휴먼명조" w:hint="eastAsia"/>
        </w:rPr>
        <w:t xml:space="preserve"> Penal Reform International 제출.</w:t>
      </w:r>
      <w:r>
        <w:rPr>
          <w:rFonts w:ascii="휴먼명조" w:eastAsia="휴먼명조" w:hint="eastAsia"/>
        </w:rPr>
        <w:t xml:space="preserve">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60A6"/>
    <w:rsid w:val="00053582"/>
    <w:rsid w:val="00070120"/>
    <w:rsid w:val="000D3EAB"/>
    <w:rsid w:val="00124225"/>
    <w:rsid w:val="00215467"/>
    <w:rsid w:val="002A4B9C"/>
    <w:rsid w:val="002A7077"/>
    <w:rsid w:val="00306A4A"/>
    <w:rsid w:val="00306DE7"/>
    <w:rsid w:val="0033588E"/>
    <w:rsid w:val="00341E60"/>
    <w:rsid w:val="003F1964"/>
    <w:rsid w:val="00457E47"/>
    <w:rsid w:val="004B36BB"/>
    <w:rsid w:val="004F41C1"/>
    <w:rsid w:val="00674127"/>
    <w:rsid w:val="008046C4"/>
    <w:rsid w:val="00910803"/>
    <w:rsid w:val="009D60A6"/>
    <w:rsid w:val="009E6F5F"/>
    <w:rsid w:val="009F0F58"/>
    <w:rsid w:val="00AF609E"/>
    <w:rsid w:val="00B51BCB"/>
    <w:rsid w:val="00BB28D3"/>
    <w:rsid w:val="00C508D1"/>
    <w:rsid w:val="00C76EFD"/>
    <w:rsid w:val="00CE7DE4"/>
    <w:rsid w:val="00DE0A9D"/>
    <w:rsid w:val="00E043C3"/>
    <w:rsid w:val="00E26319"/>
    <w:rsid w:val="00EA2E5C"/>
    <w:rsid w:val="00EE77F5"/>
    <w:rsid w:val="00EF58EE"/>
    <w:rsid w:val="00FC3944"/>
    <w:rsid w:val="00FF730E"/>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B46019-3C61-497C-B9B7-46F444AF0D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uiPriority w:val="10"/>
    <w:qFormat/>
    <w:rsid w:val="009D60A6"/>
    <w:pPr>
      <w:spacing w:after="0" w:line="432" w:lineRule="auto"/>
      <w:textAlignment w:val="baseline"/>
    </w:pPr>
    <w:rPr>
      <w:rFonts w:ascii="HY중고딕" w:eastAsia="굴림" w:hAnsi="굴림" w:cs="굴림"/>
      <w:b/>
      <w:bCs/>
      <w:color w:val="000000"/>
      <w:w w:val="95"/>
      <w:kern w:val="0"/>
      <w:sz w:val="30"/>
      <w:szCs w:val="30"/>
    </w:rPr>
  </w:style>
  <w:style w:type="character" w:customStyle="1" w:styleId="Char">
    <w:name w:val="제목 Char"/>
    <w:basedOn w:val="a0"/>
    <w:link w:val="a3"/>
    <w:uiPriority w:val="10"/>
    <w:rsid w:val="009D60A6"/>
    <w:rPr>
      <w:rFonts w:ascii="HY중고딕" w:eastAsia="굴림" w:hAnsi="굴림" w:cs="굴림"/>
      <w:b/>
      <w:bCs/>
      <w:color w:val="000000"/>
      <w:w w:val="95"/>
      <w:kern w:val="0"/>
      <w:sz w:val="30"/>
      <w:szCs w:val="30"/>
    </w:rPr>
  </w:style>
  <w:style w:type="paragraph" w:customStyle="1" w:styleId="1">
    <w:name w:val="표준1"/>
    <w:basedOn w:val="a"/>
    <w:rsid w:val="009D60A6"/>
    <w:pPr>
      <w:wordWrap/>
      <w:spacing w:after="0" w:line="240" w:lineRule="auto"/>
      <w:jc w:val="left"/>
      <w:textAlignment w:val="baseline"/>
    </w:pPr>
    <w:rPr>
      <w:rFonts w:ascii="Times New Roman" w:eastAsia="굴림" w:hAnsi="굴림" w:cs="굴림"/>
      <w:color w:val="000000"/>
      <w:kern w:val="0"/>
      <w:sz w:val="24"/>
      <w:szCs w:val="24"/>
    </w:rPr>
  </w:style>
  <w:style w:type="paragraph" w:customStyle="1" w:styleId="a4">
    <w:name w:val="바탕글"/>
    <w:basedOn w:val="a"/>
    <w:rsid w:val="009D60A6"/>
    <w:pPr>
      <w:spacing w:after="0" w:line="384" w:lineRule="auto"/>
      <w:textAlignment w:val="baseline"/>
    </w:pPr>
    <w:rPr>
      <w:rFonts w:ascii="함초롬바탕" w:eastAsia="굴림" w:hAnsi="굴림" w:cs="굴림"/>
      <w:color w:val="000000"/>
      <w:kern w:val="0"/>
      <w:szCs w:val="20"/>
    </w:rPr>
  </w:style>
  <w:style w:type="table" w:styleId="a5">
    <w:name w:val="Table Grid"/>
    <w:basedOn w:val="a1"/>
    <w:uiPriority w:val="39"/>
    <w:rsid w:val="009D60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footnote text"/>
    <w:basedOn w:val="a"/>
    <w:link w:val="Char0"/>
    <w:uiPriority w:val="99"/>
    <w:semiHidden/>
    <w:unhideWhenUsed/>
    <w:rsid w:val="00053582"/>
    <w:pPr>
      <w:snapToGrid w:val="0"/>
      <w:jc w:val="left"/>
    </w:pPr>
  </w:style>
  <w:style w:type="character" w:customStyle="1" w:styleId="Char0">
    <w:name w:val="각주 텍스트 Char"/>
    <w:basedOn w:val="a0"/>
    <w:link w:val="a6"/>
    <w:uiPriority w:val="99"/>
    <w:semiHidden/>
    <w:rsid w:val="00053582"/>
  </w:style>
  <w:style w:type="character" w:styleId="a7">
    <w:name w:val="footnote reference"/>
    <w:basedOn w:val="a0"/>
    <w:uiPriority w:val="99"/>
    <w:semiHidden/>
    <w:unhideWhenUsed/>
    <w:rsid w:val="00053582"/>
    <w:rPr>
      <w:vertAlign w:val="superscript"/>
    </w:rPr>
  </w:style>
  <w:style w:type="paragraph" w:customStyle="1" w:styleId="a8">
    <w:name w:val="각주"/>
    <w:basedOn w:val="a"/>
    <w:rsid w:val="00053582"/>
    <w:pPr>
      <w:spacing w:after="0" w:line="312" w:lineRule="auto"/>
      <w:ind w:left="524" w:hanging="262"/>
      <w:textAlignment w:val="baseline"/>
    </w:pPr>
    <w:rPr>
      <w:rFonts w:ascii="함초롬바탕" w:eastAsia="굴림" w:hAnsi="굴림" w:cs="굴림"/>
      <w:color w:val="000000"/>
      <w:kern w:val="0"/>
      <w:sz w:val="18"/>
      <w:szCs w:val="18"/>
    </w:rPr>
  </w:style>
  <w:style w:type="character" w:styleId="a9">
    <w:name w:val="Hyperlink"/>
    <w:basedOn w:val="a0"/>
    <w:uiPriority w:val="99"/>
    <w:semiHidden/>
    <w:unhideWhenUsed/>
    <w:rsid w:val="0005358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681">
      <w:bodyDiv w:val="1"/>
      <w:marLeft w:val="0"/>
      <w:marRight w:val="0"/>
      <w:marTop w:val="0"/>
      <w:marBottom w:val="0"/>
      <w:divBdr>
        <w:top w:val="none" w:sz="0" w:space="0" w:color="auto"/>
        <w:left w:val="none" w:sz="0" w:space="0" w:color="auto"/>
        <w:bottom w:val="none" w:sz="0" w:space="0" w:color="auto"/>
        <w:right w:val="none" w:sz="0" w:space="0" w:color="auto"/>
      </w:divBdr>
    </w:div>
    <w:div w:id="6639057">
      <w:bodyDiv w:val="1"/>
      <w:marLeft w:val="0"/>
      <w:marRight w:val="0"/>
      <w:marTop w:val="0"/>
      <w:marBottom w:val="0"/>
      <w:divBdr>
        <w:top w:val="none" w:sz="0" w:space="0" w:color="auto"/>
        <w:left w:val="none" w:sz="0" w:space="0" w:color="auto"/>
        <w:bottom w:val="none" w:sz="0" w:space="0" w:color="auto"/>
        <w:right w:val="none" w:sz="0" w:space="0" w:color="auto"/>
      </w:divBdr>
    </w:div>
    <w:div w:id="7560543">
      <w:bodyDiv w:val="1"/>
      <w:marLeft w:val="0"/>
      <w:marRight w:val="0"/>
      <w:marTop w:val="0"/>
      <w:marBottom w:val="0"/>
      <w:divBdr>
        <w:top w:val="none" w:sz="0" w:space="0" w:color="auto"/>
        <w:left w:val="none" w:sz="0" w:space="0" w:color="auto"/>
        <w:bottom w:val="none" w:sz="0" w:space="0" w:color="auto"/>
        <w:right w:val="none" w:sz="0" w:space="0" w:color="auto"/>
      </w:divBdr>
    </w:div>
    <w:div w:id="18242894">
      <w:bodyDiv w:val="1"/>
      <w:marLeft w:val="0"/>
      <w:marRight w:val="0"/>
      <w:marTop w:val="0"/>
      <w:marBottom w:val="0"/>
      <w:divBdr>
        <w:top w:val="none" w:sz="0" w:space="0" w:color="auto"/>
        <w:left w:val="none" w:sz="0" w:space="0" w:color="auto"/>
        <w:bottom w:val="none" w:sz="0" w:space="0" w:color="auto"/>
        <w:right w:val="none" w:sz="0" w:space="0" w:color="auto"/>
      </w:divBdr>
    </w:div>
    <w:div w:id="21517292">
      <w:bodyDiv w:val="1"/>
      <w:marLeft w:val="0"/>
      <w:marRight w:val="0"/>
      <w:marTop w:val="0"/>
      <w:marBottom w:val="0"/>
      <w:divBdr>
        <w:top w:val="none" w:sz="0" w:space="0" w:color="auto"/>
        <w:left w:val="none" w:sz="0" w:space="0" w:color="auto"/>
        <w:bottom w:val="none" w:sz="0" w:space="0" w:color="auto"/>
        <w:right w:val="none" w:sz="0" w:space="0" w:color="auto"/>
      </w:divBdr>
    </w:div>
    <w:div w:id="45614494">
      <w:bodyDiv w:val="1"/>
      <w:marLeft w:val="0"/>
      <w:marRight w:val="0"/>
      <w:marTop w:val="0"/>
      <w:marBottom w:val="0"/>
      <w:divBdr>
        <w:top w:val="none" w:sz="0" w:space="0" w:color="auto"/>
        <w:left w:val="none" w:sz="0" w:space="0" w:color="auto"/>
        <w:bottom w:val="none" w:sz="0" w:space="0" w:color="auto"/>
        <w:right w:val="none" w:sz="0" w:space="0" w:color="auto"/>
      </w:divBdr>
    </w:div>
    <w:div w:id="50272682">
      <w:bodyDiv w:val="1"/>
      <w:marLeft w:val="0"/>
      <w:marRight w:val="0"/>
      <w:marTop w:val="0"/>
      <w:marBottom w:val="0"/>
      <w:divBdr>
        <w:top w:val="none" w:sz="0" w:space="0" w:color="auto"/>
        <w:left w:val="none" w:sz="0" w:space="0" w:color="auto"/>
        <w:bottom w:val="none" w:sz="0" w:space="0" w:color="auto"/>
        <w:right w:val="none" w:sz="0" w:space="0" w:color="auto"/>
      </w:divBdr>
    </w:div>
    <w:div w:id="51932059">
      <w:bodyDiv w:val="1"/>
      <w:marLeft w:val="0"/>
      <w:marRight w:val="0"/>
      <w:marTop w:val="0"/>
      <w:marBottom w:val="0"/>
      <w:divBdr>
        <w:top w:val="none" w:sz="0" w:space="0" w:color="auto"/>
        <w:left w:val="none" w:sz="0" w:space="0" w:color="auto"/>
        <w:bottom w:val="none" w:sz="0" w:space="0" w:color="auto"/>
        <w:right w:val="none" w:sz="0" w:space="0" w:color="auto"/>
      </w:divBdr>
    </w:div>
    <w:div w:id="87239491">
      <w:bodyDiv w:val="1"/>
      <w:marLeft w:val="0"/>
      <w:marRight w:val="0"/>
      <w:marTop w:val="0"/>
      <w:marBottom w:val="0"/>
      <w:divBdr>
        <w:top w:val="none" w:sz="0" w:space="0" w:color="auto"/>
        <w:left w:val="none" w:sz="0" w:space="0" w:color="auto"/>
        <w:bottom w:val="none" w:sz="0" w:space="0" w:color="auto"/>
        <w:right w:val="none" w:sz="0" w:space="0" w:color="auto"/>
      </w:divBdr>
    </w:div>
    <w:div w:id="113213287">
      <w:bodyDiv w:val="1"/>
      <w:marLeft w:val="0"/>
      <w:marRight w:val="0"/>
      <w:marTop w:val="0"/>
      <w:marBottom w:val="0"/>
      <w:divBdr>
        <w:top w:val="none" w:sz="0" w:space="0" w:color="auto"/>
        <w:left w:val="none" w:sz="0" w:space="0" w:color="auto"/>
        <w:bottom w:val="none" w:sz="0" w:space="0" w:color="auto"/>
        <w:right w:val="none" w:sz="0" w:space="0" w:color="auto"/>
      </w:divBdr>
    </w:div>
    <w:div w:id="114443702">
      <w:bodyDiv w:val="1"/>
      <w:marLeft w:val="0"/>
      <w:marRight w:val="0"/>
      <w:marTop w:val="0"/>
      <w:marBottom w:val="0"/>
      <w:divBdr>
        <w:top w:val="none" w:sz="0" w:space="0" w:color="auto"/>
        <w:left w:val="none" w:sz="0" w:space="0" w:color="auto"/>
        <w:bottom w:val="none" w:sz="0" w:space="0" w:color="auto"/>
        <w:right w:val="none" w:sz="0" w:space="0" w:color="auto"/>
      </w:divBdr>
    </w:div>
    <w:div w:id="118111211">
      <w:bodyDiv w:val="1"/>
      <w:marLeft w:val="0"/>
      <w:marRight w:val="0"/>
      <w:marTop w:val="0"/>
      <w:marBottom w:val="0"/>
      <w:divBdr>
        <w:top w:val="none" w:sz="0" w:space="0" w:color="auto"/>
        <w:left w:val="none" w:sz="0" w:space="0" w:color="auto"/>
        <w:bottom w:val="none" w:sz="0" w:space="0" w:color="auto"/>
        <w:right w:val="none" w:sz="0" w:space="0" w:color="auto"/>
      </w:divBdr>
    </w:div>
    <w:div w:id="138887786">
      <w:bodyDiv w:val="1"/>
      <w:marLeft w:val="0"/>
      <w:marRight w:val="0"/>
      <w:marTop w:val="0"/>
      <w:marBottom w:val="0"/>
      <w:divBdr>
        <w:top w:val="none" w:sz="0" w:space="0" w:color="auto"/>
        <w:left w:val="none" w:sz="0" w:space="0" w:color="auto"/>
        <w:bottom w:val="none" w:sz="0" w:space="0" w:color="auto"/>
        <w:right w:val="none" w:sz="0" w:space="0" w:color="auto"/>
      </w:divBdr>
    </w:div>
    <w:div w:id="159078708">
      <w:bodyDiv w:val="1"/>
      <w:marLeft w:val="0"/>
      <w:marRight w:val="0"/>
      <w:marTop w:val="0"/>
      <w:marBottom w:val="0"/>
      <w:divBdr>
        <w:top w:val="none" w:sz="0" w:space="0" w:color="auto"/>
        <w:left w:val="none" w:sz="0" w:space="0" w:color="auto"/>
        <w:bottom w:val="none" w:sz="0" w:space="0" w:color="auto"/>
        <w:right w:val="none" w:sz="0" w:space="0" w:color="auto"/>
      </w:divBdr>
    </w:div>
    <w:div w:id="166986843">
      <w:bodyDiv w:val="1"/>
      <w:marLeft w:val="0"/>
      <w:marRight w:val="0"/>
      <w:marTop w:val="0"/>
      <w:marBottom w:val="0"/>
      <w:divBdr>
        <w:top w:val="none" w:sz="0" w:space="0" w:color="auto"/>
        <w:left w:val="none" w:sz="0" w:space="0" w:color="auto"/>
        <w:bottom w:val="none" w:sz="0" w:space="0" w:color="auto"/>
        <w:right w:val="none" w:sz="0" w:space="0" w:color="auto"/>
      </w:divBdr>
    </w:div>
    <w:div w:id="188572106">
      <w:bodyDiv w:val="1"/>
      <w:marLeft w:val="0"/>
      <w:marRight w:val="0"/>
      <w:marTop w:val="0"/>
      <w:marBottom w:val="0"/>
      <w:divBdr>
        <w:top w:val="none" w:sz="0" w:space="0" w:color="auto"/>
        <w:left w:val="none" w:sz="0" w:space="0" w:color="auto"/>
        <w:bottom w:val="none" w:sz="0" w:space="0" w:color="auto"/>
        <w:right w:val="none" w:sz="0" w:space="0" w:color="auto"/>
      </w:divBdr>
    </w:div>
    <w:div w:id="209146233">
      <w:bodyDiv w:val="1"/>
      <w:marLeft w:val="0"/>
      <w:marRight w:val="0"/>
      <w:marTop w:val="0"/>
      <w:marBottom w:val="0"/>
      <w:divBdr>
        <w:top w:val="none" w:sz="0" w:space="0" w:color="auto"/>
        <w:left w:val="none" w:sz="0" w:space="0" w:color="auto"/>
        <w:bottom w:val="none" w:sz="0" w:space="0" w:color="auto"/>
        <w:right w:val="none" w:sz="0" w:space="0" w:color="auto"/>
      </w:divBdr>
    </w:div>
    <w:div w:id="213928179">
      <w:bodyDiv w:val="1"/>
      <w:marLeft w:val="0"/>
      <w:marRight w:val="0"/>
      <w:marTop w:val="0"/>
      <w:marBottom w:val="0"/>
      <w:divBdr>
        <w:top w:val="none" w:sz="0" w:space="0" w:color="auto"/>
        <w:left w:val="none" w:sz="0" w:space="0" w:color="auto"/>
        <w:bottom w:val="none" w:sz="0" w:space="0" w:color="auto"/>
        <w:right w:val="none" w:sz="0" w:space="0" w:color="auto"/>
      </w:divBdr>
    </w:div>
    <w:div w:id="216667272">
      <w:bodyDiv w:val="1"/>
      <w:marLeft w:val="0"/>
      <w:marRight w:val="0"/>
      <w:marTop w:val="0"/>
      <w:marBottom w:val="0"/>
      <w:divBdr>
        <w:top w:val="none" w:sz="0" w:space="0" w:color="auto"/>
        <w:left w:val="none" w:sz="0" w:space="0" w:color="auto"/>
        <w:bottom w:val="none" w:sz="0" w:space="0" w:color="auto"/>
        <w:right w:val="none" w:sz="0" w:space="0" w:color="auto"/>
      </w:divBdr>
    </w:div>
    <w:div w:id="218984104">
      <w:bodyDiv w:val="1"/>
      <w:marLeft w:val="0"/>
      <w:marRight w:val="0"/>
      <w:marTop w:val="0"/>
      <w:marBottom w:val="0"/>
      <w:divBdr>
        <w:top w:val="none" w:sz="0" w:space="0" w:color="auto"/>
        <w:left w:val="none" w:sz="0" w:space="0" w:color="auto"/>
        <w:bottom w:val="none" w:sz="0" w:space="0" w:color="auto"/>
        <w:right w:val="none" w:sz="0" w:space="0" w:color="auto"/>
      </w:divBdr>
    </w:div>
    <w:div w:id="234779463">
      <w:bodyDiv w:val="1"/>
      <w:marLeft w:val="0"/>
      <w:marRight w:val="0"/>
      <w:marTop w:val="0"/>
      <w:marBottom w:val="0"/>
      <w:divBdr>
        <w:top w:val="none" w:sz="0" w:space="0" w:color="auto"/>
        <w:left w:val="none" w:sz="0" w:space="0" w:color="auto"/>
        <w:bottom w:val="none" w:sz="0" w:space="0" w:color="auto"/>
        <w:right w:val="none" w:sz="0" w:space="0" w:color="auto"/>
      </w:divBdr>
    </w:div>
    <w:div w:id="245265516">
      <w:bodyDiv w:val="1"/>
      <w:marLeft w:val="0"/>
      <w:marRight w:val="0"/>
      <w:marTop w:val="0"/>
      <w:marBottom w:val="0"/>
      <w:divBdr>
        <w:top w:val="none" w:sz="0" w:space="0" w:color="auto"/>
        <w:left w:val="none" w:sz="0" w:space="0" w:color="auto"/>
        <w:bottom w:val="none" w:sz="0" w:space="0" w:color="auto"/>
        <w:right w:val="none" w:sz="0" w:space="0" w:color="auto"/>
      </w:divBdr>
    </w:div>
    <w:div w:id="254676956">
      <w:bodyDiv w:val="1"/>
      <w:marLeft w:val="0"/>
      <w:marRight w:val="0"/>
      <w:marTop w:val="0"/>
      <w:marBottom w:val="0"/>
      <w:divBdr>
        <w:top w:val="none" w:sz="0" w:space="0" w:color="auto"/>
        <w:left w:val="none" w:sz="0" w:space="0" w:color="auto"/>
        <w:bottom w:val="none" w:sz="0" w:space="0" w:color="auto"/>
        <w:right w:val="none" w:sz="0" w:space="0" w:color="auto"/>
      </w:divBdr>
    </w:div>
    <w:div w:id="268321635">
      <w:bodyDiv w:val="1"/>
      <w:marLeft w:val="0"/>
      <w:marRight w:val="0"/>
      <w:marTop w:val="0"/>
      <w:marBottom w:val="0"/>
      <w:divBdr>
        <w:top w:val="none" w:sz="0" w:space="0" w:color="auto"/>
        <w:left w:val="none" w:sz="0" w:space="0" w:color="auto"/>
        <w:bottom w:val="none" w:sz="0" w:space="0" w:color="auto"/>
        <w:right w:val="none" w:sz="0" w:space="0" w:color="auto"/>
      </w:divBdr>
    </w:div>
    <w:div w:id="282657252">
      <w:bodyDiv w:val="1"/>
      <w:marLeft w:val="0"/>
      <w:marRight w:val="0"/>
      <w:marTop w:val="0"/>
      <w:marBottom w:val="0"/>
      <w:divBdr>
        <w:top w:val="none" w:sz="0" w:space="0" w:color="auto"/>
        <w:left w:val="none" w:sz="0" w:space="0" w:color="auto"/>
        <w:bottom w:val="none" w:sz="0" w:space="0" w:color="auto"/>
        <w:right w:val="none" w:sz="0" w:space="0" w:color="auto"/>
      </w:divBdr>
    </w:div>
    <w:div w:id="286664407">
      <w:bodyDiv w:val="1"/>
      <w:marLeft w:val="0"/>
      <w:marRight w:val="0"/>
      <w:marTop w:val="0"/>
      <w:marBottom w:val="0"/>
      <w:divBdr>
        <w:top w:val="none" w:sz="0" w:space="0" w:color="auto"/>
        <w:left w:val="none" w:sz="0" w:space="0" w:color="auto"/>
        <w:bottom w:val="none" w:sz="0" w:space="0" w:color="auto"/>
        <w:right w:val="none" w:sz="0" w:space="0" w:color="auto"/>
      </w:divBdr>
    </w:div>
    <w:div w:id="315109077">
      <w:bodyDiv w:val="1"/>
      <w:marLeft w:val="0"/>
      <w:marRight w:val="0"/>
      <w:marTop w:val="0"/>
      <w:marBottom w:val="0"/>
      <w:divBdr>
        <w:top w:val="none" w:sz="0" w:space="0" w:color="auto"/>
        <w:left w:val="none" w:sz="0" w:space="0" w:color="auto"/>
        <w:bottom w:val="none" w:sz="0" w:space="0" w:color="auto"/>
        <w:right w:val="none" w:sz="0" w:space="0" w:color="auto"/>
      </w:divBdr>
    </w:div>
    <w:div w:id="320087101">
      <w:bodyDiv w:val="1"/>
      <w:marLeft w:val="0"/>
      <w:marRight w:val="0"/>
      <w:marTop w:val="0"/>
      <w:marBottom w:val="0"/>
      <w:divBdr>
        <w:top w:val="none" w:sz="0" w:space="0" w:color="auto"/>
        <w:left w:val="none" w:sz="0" w:space="0" w:color="auto"/>
        <w:bottom w:val="none" w:sz="0" w:space="0" w:color="auto"/>
        <w:right w:val="none" w:sz="0" w:space="0" w:color="auto"/>
      </w:divBdr>
    </w:div>
    <w:div w:id="327826620">
      <w:bodyDiv w:val="1"/>
      <w:marLeft w:val="0"/>
      <w:marRight w:val="0"/>
      <w:marTop w:val="0"/>
      <w:marBottom w:val="0"/>
      <w:divBdr>
        <w:top w:val="none" w:sz="0" w:space="0" w:color="auto"/>
        <w:left w:val="none" w:sz="0" w:space="0" w:color="auto"/>
        <w:bottom w:val="none" w:sz="0" w:space="0" w:color="auto"/>
        <w:right w:val="none" w:sz="0" w:space="0" w:color="auto"/>
      </w:divBdr>
    </w:div>
    <w:div w:id="331492648">
      <w:bodyDiv w:val="1"/>
      <w:marLeft w:val="0"/>
      <w:marRight w:val="0"/>
      <w:marTop w:val="0"/>
      <w:marBottom w:val="0"/>
      <w:divBdr>
        <w:top w:val="none" w:sz="0" w:space="0" w:color="auto"/>
        <w:left w:val="none" w:sz="0" w:space="0" w:color="auto"/>
        <w:bottom w:val="none" w:sz="0" w:space="0" w:color="auto"/>
        <w:right w:val="none" w:sz="0" w:space="0" w:color="auto"/>
      </w:divBdr>
    </w:div>
    <w:div w:id="359866625">
      <w:bodyDiv w:val="1"/>
      <w:marLeft w:val="0"/>
      <w:marRight w:val="0"/>
      <w:marTop w:val="0"/>
      <w:marBottom w:val="0"/>
      <w:divBdr>
        <w:top w:val="none" w:sz="0" w:space="0" w:color="auto"/>
        <w:left w:val="none" w:sz="0" w:space="0" w:color="auto"/>
        <w:bottom w:val="none" w:sz="0" w:space="0" w:color="auto"/>
        <w:right w:val="none" w:sz="0" w:space="0" w:color="auto"/>
      </w:divBdr>
    </w:div>
    <w:div w:id="367069138">
      <w:bodyDiv w:val="1"/>
      <w:marLeft w:val="0"/>
      <w:marRight w:val="0"/>
      <w:marTop w:val="0"/>
      <w:marBottom w:val="0"/>
      <w:divBdr>
        <w:top w:val="none" w:sz="0" w:space="0" w:color="auto"/>
        <w:left w:val="none" w:sz="0" w:space="0" w:color="auto"/>
        <w:bottom w:val="none" w:sz="0" w:space="0" w:color="auto"/>
        <w:right w:val="none" w:sz="0" w:space="0" w:color="auto"/>
      </w:divBdr>
    </w:div>
    <w:div w:id="374433736">
      <w:bodyDiv w:val="1"/>
      <w:marLeft w:val="0"/>
      <w:marRight w:val="0"/>
      <w:marTop w:val="0"/>
      <w:marBottom w:val="0"/>
      <w:divBdr>
        <w:top w:val="none" w:sz="0" w:space="0" w:color="auto"/>
        <w:left w:val="none" w:sz="0" w:space="0" w:color="auto"/>
        <w:bottom w:val="none" w:sz="0" w:space="0" w:color="auto"/>
        <w:right w:val="none" w:sz="0" w:space="0" w:color="auto"/>
      </w:divBdr>
    </w:div>
    <w:div w:id="383875261">
      <w:bodyDiv w:val="1"/>
      <w:marLeft w:val="0"/>
      <w:marRight w:val="0"/>
      <w:marTop w:val="0"/>
      <w:marBottom w:val="0"/>
      <w:divBdr>
        <w:top w:val="none" w:sz="0" w:space="0" w:color="auto"/>
        <w:left w:val="none" w:sz="0" w:space="0" w:color="auto"/>
        <w:bottom w:val="none" w:sz="0" w:space="0" w:color="auto"/>
        <w:right w:val="none" w:sz="0" w:space="0" w:color="auto"/>
      </w:divBdr>
    </w:div>
    <w:div w:id="388650430">
      <w:bodyDiv w:val="1"/>
      <w:marLeft w:val="0"/>
      <w:marRight w:val="0"/>
      <w:marTop w:val="0"/>
      <w:marBottom w:val="0"/>
      <w:divBdr>
        <w:top w:val="none" w:sz="0" w:space="0" w:color="auto"/>
        <w:left w:val="none" w:sz="0" w:space="0" w:color="auto"/>
        <w:bottom w:val="none" w:sz="0" w:space="0" w:color="auto"/>
        <w:right w:val="none" w:sz="0" w:space="0" w:color="auto"/>
      </w:divBdr>
    </w:div>
    <w:div w:id="389839613">
      <w:bodyDiv w:val="1"/>
      <w:marLeft w:val="0"/>
      <w:marRight w:val="0"/>
      <w:marTop w:val="0"/>
      <w:marBottom w:val="0"/>
      <w:divBdr>
        <w:top w:val="none" w:sz="0" w:space="0" w:color="auto"/>
        <w:left w:val="none" w:sz="0" w:space="0" w:color="auto"/>
        <w:bottom w:val="none" w:sz="0" w:space="0" w:color="auto"/>
        <w:right w:val="none" w:sz="0" w:space="0" w:color="auto"/>
      </w:divBdr>
    </w:div>
    <w:div w:id="401414795">
      <w:bodyDiv w:val="1"/>
      <w:marLeft w:val="0"/>
      <w:marRight w:val="0"/>
      <w:marTop w:val="0"/>
      <w:marBottom w:val="0"/>
      <w:divBdr>
        <w:top w:val="none" w:sz="0" w:space="0" w:color="auto"/>
        <w:left w:val="none" w:sz="0" w:space="0" w:color="auto"/>
        <w:bottom w:val="none" w:sz="0" w:space="0" w:color="auto"/>
        <w:right w:val="none" w:sz="0" w:space="0" w:color="auto"/>
      </w:divBdr>
    </w:div>
    <w:div w:id="403338275">
      <w:bodyDiv w:val="1"/>
      <w:marLeft w:val="0"/>
      <w:marRight w:val="0"/>
      <w:marTop w:val="0"/>
      <w:marBottom w:val="0"/>
      <w:divBdr>
        <w:top w:val="none" w:sz="0" w:space="0" w:color="auto"/>
        <w:left w:val="none" w:sz="0" w:space="0" w:color="auto"/>
        <w:bottom w:val="none" w:sz="0" w:space="0" w:color="auto"/>
        <w:right w:val="none" w:sz="0" w:space="0" w:color="auto"/>
      </w:divBdr>
    </w:div>
    <w:div w:id="413556512">
      <w:bodyDiv w:val="1"/>
      <w:marLeft w:val="0"/>
      <w:marRight w:val="0"/>
      <w:marTop w:val="0"/>
      <w:marBottom w:val="0"/>
      <w:divBdr>
        <w:top w:val="none" w:sz="0" w:space="0" w:color="auto"/>
        <w:left w:val="none" w:sz="0" w:space="0" w:color="auto"/>
        <w:bottom w:val="none" w:sz="0" w:space="0" w:color="auto"/>
        <w:right w:val="none" w:sz="0" w:space="0" w:color="auto"/>
      </w:divBdr>
    </w:div>
    <w:div w:id="428741499">
      <w:bodyDiv w:val="1"/>
      <w:marLeft w:val="0"/>
      <w:marRight w:val="0"/>
      <w:marTop w:val="0"/>
      <w:marBottom w:val="0"/>
      <w:divBdr>
        <w:top w:val="none" w:sz="0" w:space="0" w:color="auto"/>
        <w:left w:val="none" w:sz="0" w:space="0" w:color="auto"/>
        <w:bottom w:val="none" w:sz="0" w:space="0" w:color="auto"/>
        <w:right w:val="none" w:sz="0" w:space="0" w:color="auto"/>
      </w:divBdr>
    </w:div>
    <w:div w:id="451021696">
      <w:bodyDiv w:val="1"/>
      <w:marLeft w:val="0"/>
      <w:marRight w:val="0"/>
      <w:marTop w:val="0"/>
      <w:marBottom w:val="0"/>
      <w:divBdr>
        <w:top w:val="none" w:sz="0" w:space="0" w:color="auto"/>
        <w:left w:val="none" w:sz="0" w:space="0" w:color="auto"/>
        <w:bottom w:val="none" w:sz="0" w:space="0" w:color="auto"/>
        <w:right w:val="none" w:sz="0" w:space="0" w:color="auto"/>
      </w:divBdr>
    </w:div>
    <w:div w:id="452753360">
      <w:bodyDiv w:val="1"/>
      <w:marLeft w:val="0"/>
      <w:marRight w:val="0"/>
      <w:marTop w:val="0"/>
      <w:marBottom w:val="0"/>
      <w:divBdr>
        <w:top w:val="none" w:sz="0" w:space="0" w:color="auto"/>
        <w:left w:val="none" w:sz="0" w:space="0" w:color="auto"/>
        <w:bottom w:val="none" w:sz="0" w:space="0" w:color="auto"/>
        <w:right w:val="none" w:sz="0" w:space="0" w:color="auto"/>
      </w:divBdr>
    </w:div>
    <w:div w:id="490870780">
      <w:bodyDiv w:val="1"/>
      <w:marLeft w:val="0"/>
      <w:marRight w:val="0"/>
      <w:marTop w:val="0"/>
      <w:marBottom w:val="0"/>
      <w:divBdr>
        <w:top w:val="none" w:sz="0" w:space="0" w:color="auto"/>
        <w:left w:val="none" w:sz="0" w:space="0" w:color="auto"/>
        <w:bottom w:val="none" w:sz="0" w:space="0" w:color="auto"/>
        <w:right w:val="none" w:sz="0" w:space="0" w:color="auto"/>
      </w:divBdr>
    </w:div>
    <w:div w:id="490872302">
      <w:bodyDiv w:val="1"/>
      <w:marLeft w:val="0"/>
      <w:marRight w:val="0"/>
      <w:marTop w:val="0"/>
      <w:marBottom w:val="0"/>
      <w:divBdr>
        <w:top w:val="none" w:sz="0" w:space="0" w:color="auto"/>
        <w:left w:val="none" w:sz="0" w:space="0" w:color="auto"/>
        <w:bottom w:val="none" w:sz="0" w:space="0" w:color="auto"/>
        <w:right w:val="none" w:sz="0" w:space="0" w:color="auto"/>
      </w:divBdr>
    </w:div>
    <w:div w:id="495344433">
      <w:bodyDiv w:val="1"/>
      <w:marLeft w:val="0"/>
      <w:marRight w:val="0"/>
      <w:marTop w:val="0"/>
      <w:marBottom w:val="0"/>
      <w:divBdr>
        <w:top w:val="none" w:sz="0" w:space="0" w:color="auto"/>
        <w:left w:val="none" w:sz="0" w:space="0" w:color="auto"/>
        <w:bottom w:val="none" w:sz="0" w:space="0" w:color="auto"/>
        <w:right w:val="none" w:sz="0" w:space="0" w:color="auto"/>
      </w:divBdr>
    </w:div>
    <w:div w:id="521481121">
      <w:bodyDiv w:val="1"/>
      <w:marLeft w:val="0"/>
      <w:marRight w:val="0"/>
      <w:marTop w:val="0"/>
      <w:marBottom w:val="0"/>
      <w:divBdr>
        <w:top w:val="none" w:sz="0" w:space="0" w:color="auto"/>
        <w:left w:val="none" w:sz="0" w:space="0" w:color="auto"/>
        <w:bottom w:val="none" w:sz="0" w:space="0" w:color="auto"/>
        <w:right w:val="none" w:sz="0" w:space="0" w:color="auto"/>
      </w:divBdr>
    </w:div>
    <w:div w:id="525678280">
      <w:bodyDiv w:val="1"/>
      <w:marLeft w:val="0"/>
      <w:marRight w:val="0"/>
      <w:marTop w:val="0"/>
      <w:marBottom w:val="0"/>
      <w:divBdr>
        <w:top w:val="none" w:sz="0" w:space="0" w:color="auto"/>
        <w:left w:val="none" w:sz="0" w:space="0" w:color="auto"/>
        <w:bottom w:val="none" w:sz="0" w:space="0" w:color="auto"/>
        <w:right w:val="none" w:sz="0" w:space="0" w:color="auto"/>
      </w:divBdr>
    </w:div>
    <w:div w:id="561332770">
      <w:bodyDiv w:val="1"/>
      <w:marLeft w:val="0"/>
      <w:marRight w:val="0"/>
      <w:marTop w:val="0"/>
      <w:marBottom w:val="0"/>
      <w:divBdr>
        <w:top w:val="none" w:sz="0" w:space="0" w:color="auto"/>
        <w:left w:val="none" w:sz="0" w:space="0" w:color="auto"/>
        <w:bottom w:val="none" w:sz="0" w:space="0" w:color="auto"/>
        <w:right w:val="none" w:sz="0" w:space="0" w:color="auto"/>
      </w:divBdr>
    </w:div>
    <w:div w:id="562449267">
      <w:bodyDiv w:val="1"/>
      <w:marLeft w:val="0"/>
      <w:marRight w:val="0"/>
      <w:marTop w:val="0"/>
      <w:marBottom w:val="0"/>
      <w:divBdr>
        <w:top w:val="none" w:sz="0" w:space="0" w:color="auto"/>
        <w:left w:val="none" w:sz="0" w:space="0" w:color="auto"/>
        <w:bottom w:val="none" w:sz="0" w:space="0" w:color="auto"/>
        <w:right w:val="none" w:sz="0" w:space="0" w:color="auto"/>
      </w:divBdr>
    </w:div>
    <w:div w:id="581992221">
      <w:bodyDiv w:val="1"/>
      <w:marLeft w:val="0"/>
      <w:marRight w:val="0"/>
      <w:marTop w:val="0"/>
      <w:marBottom w:val="0"/>
      <w:divBdr>
        <w:top w:val="none" w:sz="0" w:space="0" w:color="auto"/>
        <w:left w:val="none" w:sz="0" w:space="0" w:color="auto"/>
        <w:bottom w:val="none" w:sz="0" w:space="0" w:color="auto"/>
        <w:right w:val="none" w:sz="0" w:space="0" w:color="auto"/>
      </w:divBdr>
    </w:div>
    <w:div w:id="600989307">
      <w:bodyDiv w:val="1"/>
      <w:marLeft w:val="0"/>
      <w:marRight w:val="0"/>
      <w:marTop w:val="0"/>
      <w:marBottom w:val="0"/>
      <w:divBdr>
        <w:top w:val="none" w:sz="0" w:space="0" w:color="auto"/>
        <w:left w:val="none" w:sz="0" w:space="0" w:color="auto"/>
        <w:bottom w:val="none" w:sz="0" w:space="0" w:color="auto"/>
        <w:right w:val="none" w:sz="0" w:space="0" w:color="auto"/>
      </w:divBdr>
    </w:div>
    <w:div w:id="603418954">
      <w:bodyDiv w:val="1"/>
      <w:marLeft w:val="0"/>
      <w:marRight w:val="0"/>
      <w:marTop w:val="0"/>
      <w:marBottom w:val="0"/>
      <w:divBdr>
        <w:top w:val="none" w:sz="0" w:space="0" w:color="auto"/>
        <w:left w:val="none" w:sz="0" w:space="0" w:color="auto"/>
        <w:bottom w:val="none" w:sz="0" w:space="0" w:color="auto"/>
        <w:right w:val="none" w:sz="0" w:space="0" w:color="auto"/>
      </w:divBdr>
    </w:div>
    <w:div w:id="609044766">
      <w:bodyDiv w:val="1"/>
      <w:marLeft w:val="0"/>
      <w:marRight w:val="0"/>
      <w:marTop w:val="0"/>
      <w:marBottom w:val="0"/>
      <w:divBdr>
        <w:top w:val="none" w:sz="0" w:space="0" w:color="auto"/>
        <w:left w:val="none" w:sz="0" w:space="0" w:color="auto"/>
        <w:bottom w:val="none" w:sz="0" w:space="0" w:color="auto"/>
        <w:right w:val="none" w:sz="0" w:space="0" w:color="auto"/>
      </w:divBdr>
    </w:div>
    <w:div w:id="609627499">
      <w:bodyDiv w:val="1"/>
      <w:marLeft w:val="0"/>
      <w:marRight w:val="0"/>
      <w:marTop w:val="0"/>
      <w:marBottom w:val="0"/>
      <w:divBdr>
        <w:top w:val="none" w:sz="0" w:space="0" w:color="auto"/>
        <w:left w:val="none" w:sz="0" w:space="0" w:color="auto"/>
        <w:bottom w:val="none" w:sz="0" w:space="0" w:color="auto"/>
        <w:right w:val="none" w:sz="0" w:space="0" w:color="auto"/>
      </w:divBdr>
    </w:div>
    <w:div w:id="628970253">
      <w:bodyDiv w:val="1"/>
      <w:marLeft w:val="0"/>
      <w:marRight w:val="0"/>
      <w:marTop w:val="0"/>
      <w:marBottom w:val="0"/>
      <w:divBdr>
        <w:top w:val="none" w:sz="0" w:space="0" w:color="auto"/>
        <w:left w:val="none" w:sz="0" w:space="0" w:color="auto"/>
        <w:bottom w:val="none" w:sz="0" w:space="0" w:color="auto"/>
        <w:right w:val="none" w:sz="0" w:space="0" w:color="auto"/>
      </w:divBdr>
    </w:div>
    <w:div w:id="678775222">
      <w:bodyDiv w:val="1"/>
      <w:marLeft w:val="0"/>
      <w:marRight w:val="0"/>
      <w:marTop w:val="0"/>
      <w:marBottom w:val="0"/>
      <w:divBdr>
        <w:top w:val="none" w:sz="0" w:space="0" w:color="auto"/>
        <w:left w:val="none" w:sz="0" w:space="0" w:color="auto"/>
        <w:bottom w:val="none" w:sz="0" w:space="0" w:color="auto"/>
        <w:right w:val="none" w:sz="0" w:space="0" w:color="auto"/>
      </w:divBdr>
    </w:div>
    <w:div w:id="680670742">
      <w:bodyDiv w:val="1"/>
      <w:marLeft w:val="0"/>
      <w:marRight w:val="0"/>
      <w:marTop w:val="0"/>
      <w:marBottom w:val="0"/>
      <w:divBdr>
        <w:top w:val="none" w:sz="0" w:space="0" w:color="auto"/>
        <w:left w:val="none" w:sz="0" w:space="0" w:color="auto"/>
        <w:bottom w:val="none" w:sz="0" w:space="0" w:color="auto"/>
        <w:right w:val="none" w:sz="0" w:space="0" w:color="auto"/>
      </w:divBdr>
    </w:div>
    <w:div w:id="714424730">
      <w:bodyDiv w:val="1"/>
      <w:marLeft w:val="0"/>
      <w:marRight w:val="0"/>
      <w:marTop w:val="0"/>
      <w:marBottom w:val="0"/>
      <w:divBdr>
        <w:top w:val="none" w:sz="0" w:space="0" w:color="auto"/>
        <w:left w:val="none" w:sz="0" w:space="0" w:color="auto"/>
        <w:bottom w:val="none" w:sz="0" w:space="0" w:color="auto"/>
        <w:right w:val="none" w:sz="0" w:space="0" w:color="auto"/>
      </w:divBdr>
    </w:div>
    <w:div w:id="720594010">
      <w:bodyDiv w:val="1"/>
      <w:marLeft w:val="0"/>
      <w:marRight w:val="0"/>
      <w:marTop w:val="0"/>
      <w:marBottom w:val="0"/>
      <w:divBdr>
        <w:top w:val="none" w:sz="0" w:space="0" w:color="auto"/>
        <w:left w:val="none" w:sz="0" w:space="0" w:color="auto"/>
        <w:bottom w:val="none" w:sz="0" w:space="0" w:color="auto"/>
        <w:right w:val="none" w:sz="0" w:space="0" w:color="auto"/>
      </w:divBdr>
    </w:div>
    <w:div w:id="773668644">
      <w:bodyDiv w:val="1"/>
      <w:marLeft w:val="0"/>
      <w:marRight w:val="0"/>
      <w:marTop w:val="0"/>
      <w:marBottom w:val="0"/>
      <w:divBdr>
        <w:top w:val="none" w:sz="0" w:space="0" w:color="auto"/>
        <w:left w:val="none" w:sz="0" w:space="0" w:color="auto"/>
        <w:bottom w:val="none" w:sz="0" w:space="0" w:color="auto"/>
        <w:right w:val="none" w:sz="0" w:space="0" w:color="auto"/>
      </w:divBdr>
    </w:div>
    <w:div w:id="800077172">
      <w:bodyDiv w:val="1"/>
      <w:marLeft w:val="0"/>
      <w:marRight w:val="0"/>
      <w:marTop w:val="0"/>
      <w:marBottom w:val="0"/>
      <w:divBdr>
        <w:top w:val="none" w:sz="0" w:space="0" w:color="auto"/>
        <w:left w:val="none" w:sz="0" w:space="0" w:color="auto"/>
        <w:bottom w:val="none" w:sz="0" w:space="0" w:color="auto"/>
        <w:right w:val="none" w:sz="0" w:space="0" w:color="auto"/>
      </w:divBdr>
    </w:div>
    <w:div w:id="845167926">
      <w:bodyDiv w:val="1"/>
      <w:marLeft w:val="0"/>
      <w:marRight w:val="0"/>
      <w:marTop w:val="0"/>
      <w:marBottom w:val="0"/>
      <w:divBdr>
        <w:top w:val="none" w:sz="0" w:space="0" w:color="auto"/>
        <w:left w:val="none" w:sz="0" w:space="0" w:color="auto"/>
        <w:bottom w:val="none" w:sz="0" w:space="0" w:color="auto"/>
        <w:right w:val="none" w:sz="0" w:space="0" w:color="auto"/>
      </w:divBdr>
    </w:div>
    <w:div w:id="845749911">
      <w:bodyDiv w:val="1"/>
      <w:marLeft w:val="0"/>
      <w:marRight w:val="0"/>
      <w:marTop w:val="0"/>
      <w:marBottom w:val="0"/>
      <w:divBdr>
        <w:top w:val="none" w:sz="0" w:space="0" w:color="auto"/>
        <w:left w:val="none" w:sz="0" w:space="0" w:color="auto"/>
        <w:bottom w:val="none" w:sz="0" w:space="0" w:color="auto"/>
        <w:right w:val="none" w:sz="0" w:space="0" w:color="auto"/>
      </w:divBdr>
    </w:div>
    <w:div w:id="846939554">
      <w:bodyDiv w:val="1"/>
      <w:marLeft w:val="0"/>
      <w:marRight w:val="0"/>
      <w:marTop w:val="0"/>
      <w:marBottom w:val="0"/>
      <w:divBdr>
        <w:top w:val="none" w:sz="0" w:space="0" w:color="auto"/>
        <w:left w:val="none" w:sz="0" w:space="0" w:color="auto"/>
        <w:bottom w:val="none" w:sz="0" w:space="0" w:color="auto"/>
        <w:right w:val="none" w:sz="0" w:space="0" w:color="auto"/>
      </w:divBdr>
    </w:div>
    <w:div w:id="847405571">
      <w:bodyDiv w:val="1"/>
      <w:marLeft w:val="0"/>
      <w:marRight w:val="0"/>
      <w:marTop w:val="0"/>
      <w:marBottom w:val="0"/>
      <w:divBdr>
        <w:top w:val="none" w:sz="0" w:space="0" w:color="auto"/>
        <w:left w:val="none" w:sz="0" w:space="0" w:color="auto"/>
        <w:bottom w:val="none" w:sz="0" w:space="0" w:color="auto"/>
        <w:right w:val="none" w:sz="0" w:space="0" w:color="auto"/>
      </w:divBdr>
    </w:div>
    <w:div w:id="856970252">
      <w:bodyDiv w:val="1"/>
      <w:marLeft w:val="0"/>
      <w:marRight w:val="0"/>
      <w:marTop w:val="0"/>
      <w:marBottom w:val="0"/>
      <w:divBdr>
        <w:top w:val="none" w:sz="0" w:space="0" w:color="auto"/>
        <w:left w:val="none" w:sz="0" w:space="0" w:color="auto"/>
        <w:bottom w:val="none" w:sz="0" w:space="0" w:color="auto"/>
        <w:right w:val="none" w:sz="0" w:space="0" w:color="auto"/>
      </w:divBdr>
    </w:div>
    <w:div w:id="875386178">
      <w:bodyDiv w:val="1"/>
      <w:marLeft w:val="0"/>
      <w:marRight w:val="0"/>
      <w:marTop w:val="0"/>
      <w:marBottom w:val="0"/>
      <w:divBdr>
        <w:top w:val="none" w:sz="0" w:space="0" w:color="auto"/>
        <w:left w:val="none" w:sz="0" w:space="0" w:color="auto"/>
        <w:bottom w:val="none" w:sz="0" w:space="0" w:color="auto"/>
        <w:right w:val="none" w:sz="0" w:space="0" w:color="auto"/>
      </w:divBdr>
    </w:div>
    <w:div w:id="885602191">
      <w:bodyDiv w:val="1"/>
      <w:marLeft w:val="0"/>
      <w:marRight w:val="0"/>
      <w:marTop w:val="0"/>
      <w:marBottom w:val="0"/>
      <w:divBdr>
        <w:top w:val="none" w:sz="0" w:space="0" w:color="auto"/>
        <w:left w:val="none" w:sz="0" w:space="0" w:color="auto"/>
        <w:bottom w:val="none" w:sz="0" w:space="0" w:color="auto"/>
        <w:right w:val="none" w:sz="0" w:space="0" w:color="auto"/>
      </w:divBdr>
    </w:div>
    <w:div w:id="892693078">
      <w:bodyDiv w:val="1"/>
      <w:marLeft w:val="0"/>
      <w:marRight w:val="0"/>
      <w:marTop w:val="0"/>
      <w:marBottom w:val="0"/>
      <w:divBdr>
        <w:top w:val="none" w:sz="0" w:space="0" w:color="auto"/>
        <w:left w:val="none" w:sz="0" w:space="0" w:color="auto"/>
        <w:bottom w:val="none" w:sz="0" w:space="0" w:color="auto"/>
        <w:right w:val="none" w:sz="0" w:space="0" w:color="auto"/>
      </w:divBdr>
    </w:div>
    <w:div w:id="923954457">
      <w:bodyDiv w:val="1"/>
      <w:marLeft w:val="0"/>
      <w:marRight w:val="0"/>
      <w:marTop w:val="0"/>
      <w:marBottom w:val="0"/>
      <w:divBdr>
        <w:top w:val="none" w:sz="0" w:space="0" w:color="auto"/>
        <w:left w:val="none" w:sz="0" w:space="0" w:color="auto"/>
        <w:bottom w:val="none" w:sz="0" w:space="0" w:color="auto"/>
        <w:right w:val="none" w:sz="0" w:space="0" w:color="auto"/>
      </w:divBdr>
    </w:div>
    <w:div w:id="926764838">
      <w:bodyDiv w:val="1"/>
      <w:marLeft w:val="0"/>
      <w:marRight w:val="0"/>
      <w:marTop w:val="0"/>
      <w:marBottom w:val="0"/>
      <w:divBdr>
        <w:top w:val="none" w:sz="0" w:space="0" w:color="auto"/>
        <w:left w:val="none" w:sz="0" w:space="0" w:color="auto"/>
        <w:bottom w:val="none" w:sz="0" w:space="0" w:color="auto"/>
        <w:right w:val="none" w:sz="0" w:space="0" w:color="auto"/>
      </w:divBdr>
    </w:div>
    <w:div w:id="927620924">
      <w:bodyDiv w:val="1"/>
      <w:marLeft w:val="0"/>
      <w:marRight w:val="0"/>
      <w:marTop w:val="0"/>
      <w:marBottom w:val="0"/>
      <w:divBdr>
        <w:top w:val="none" w:sz="0" w:space="0" w:color="auto"/>
        <w:left w:val="none" w:sz="0" w:space="0" w:color="auto"/>
        <w:bottom w:val="none" w:sz="0" w:space="0" w:color="auto"/>
        <w:right w:val="none" w:sz="0" w:space="0" w:color="auto"/>
      </w:divBdr>
    </w:div>
    <w:div w:id="930553714">
      <w:bodyDiv w:val="1"/>
      <w:marLeft w:val="0"/>
      <w:marRight w:val="0"/>
      <w:marTop w:val="0"/>
      <w:marBottom w:val="0"/>
      <w:divBdr>
        <w:top w:val="none" w:sz="0" w:space="0" w:color="auto"/>
        <w:left w:val="none" w:sz="0" w:space="0" w:color="auto"/>
        <w:bottom w:val="none" w:sz="0" w:space="0" w:color="auto"/>
        <w:right w:val="none" w:sz="0" w:space="0" w:color="auto"/>
      </w:divBdr>
    </w:div>
    <w:div w:id="932861937">
      <w:bodyDiv w:val="1"/>
      <w:marLeft w:val="0"/>
      <w:marRight w:val="0"/>
      <w:marTop w:val="0"/>
      <w:marBottom w:val="0"/>
      <w:divBdr>
        <w:top w:val="none" w:sz="0" w:space="0" w:color="auto"/>
        <w:left w:val="none" w:sz="0" w:space="0" w:color="auto"/>
        <w:bottom w:val="none" w:sz="0" w:space="0" w:color="auto"/>
        <w:right w:val="none" w:sz="0" w:space="0" w:color="auto"/>
      </w:divBdr>
    </w:div>
    <w:div w:id="951475074">
      <w:bodyDiv w:val="1"/>
      <w:marLeft w:val="0"/>
      <w:marRight w:val="0"/>
      <w:marTop w:val="0"/>
      <w:marBottom w:val="0"/>
      <w:divBdr>
        <w:top w:val="none" w:sz="0" w:space="0" w:color="auto"/>
        <w:left w:val="none" w:sz="0" w:space="0" w:color="auto"/>
        <w:bottom w:val="none" w:sz="0" w:space="0" w:color="auto"/>
        <w:right w:val="none" w:sz="0" w:space="0" w:color="auto"/>
      </w:divBdr>
    </w:div>
    <w:div w:id="1005281649">
      <w:bodyDiv w:val="1"/>
      <w:marLeft w:val="0"/>
      <w:marRight w:val="0"/>
      <w:marTop w:val="0"/>
      <w:marBottom w:val="0"/>
      <w:divBdr>
        <w:top w:val="none" w:sz="0" w:space="0" w:color="auto"/>
        <w:left w:val="none" w:sz="0" w:space="0" w:color="auto"/>
        <w:bottom w:val="none" w:sz="0" w:space="0" w:color="auto"/>
        <w:right w:val="none" w:sz="0" w:space="0" w:color="auto"/>
      </w:divBdr>
    </w:div>
    <w:div w:id="1006130924">
      <w:bodyDiv w:val="1"/>
      <w:marLeft w:val="0"/>
      <w:marRight w:val="0"/>
      <w:marTop w:val="0"/>
      <w:marBottom w:val="0"/>
      <w:divBdr>
        <w:top w:val="none" w:sz="0" w:space="0" w:color="auto"/>
        <w:left w:val="none" w:sz="0" w:space="0" w:color="auto"/>
        <w:bottom w:val="none" w:sz="0" w:space="0" w:color="auto"/>
        <w:right w:val="none" w:sz="0" w:space="0" w:color="auto"/>
      </w:divBdr>
    </w:div>
    <w:div w:id="1006323578">
      <w:bodyDiv w:val="1"/>
      <w:marLeft w:val="0"/>
      <w:marRight w:val="0"/>
      <w:marTop w:val="0"/>
      <w:marBottom w:val="0"/>
      <w:divBdr>
        <w:top w:val="none" w:sz="0" w:space="0" w:color="auto"/>
        <w:left w:val="none" w:sz="0" w:space="0" w:color="auto"/>
        <w:bottom w:val="none" w:sz="0" w:space="0" w:color="auto"/>
        <w:right w:val="none" w:sz="0" w:space="0" w:color="auto"/>
      </w:divBdr>
    </w:div>
    <w:div w:id="1020204815">
      <w:bodyDiv w:val="1"/>
      <w:marLeft w:val="0"/>
      <w:marRight w:val="0"/>
      <w:marTop w:val="0"/>
      <w:marBottom w:val="0"/>
      <w:divBdr>
        <w:top w:val="none" w:sz="0" w:space="0" w:color="auto"/>
        <w:left w:val="none" w:sz="0" w:space="0" w:color="auto"/>
        <w:bottom w:val="none" w:sz="0" w:space="0" w:color="auto"/>
        <w:right w:val="none" w:sz="0" w:space="0" w:color="auto"/>
      </w:divBdr>
    </w:div>
    <w:div w:id="1070809856">
      <w:bodyDiv w:val="1"/>
      <w:marLeft w:val="0"/>
      <w:marRight w:val="0"/>
      <w:marTop w:val="0"/>
      <w:marBottom w:val="0"/>
      <w:divBdr>
        <w:top w:val="none" w:sz="0" w:space="0" w:color="auto"/>
        <w:left w:val="none" w:sz="0" w:space="0" w:color="auto"/>
        <w:bottom w:val="none" w:sz="0" w:space="0" w:color="auto"/>
        <w:right w:val="none" w:sz="0" w:space="0" w:color="auto"/>
      </w:divBdr>
    </w:div>
    <w:div w:id="1073236210">
      <w:bodyDiv w:val="1"/>
      <w:marLeft w:val="0"/>
      <w:marRight w:val="0"/>
      <w:marTop w:val="0"/>
      <w:marBottom w:val="0"/>
      <w:divBdr>
        <w:top w:val="none" w:sz="0" w:space="0" w:color="auto"/>
        <w:left w:val="none" w:sz="0" w:space="0" w:color="auto"/>
        <w:bottom w:val="none" w:sz="0" w:space="0" w:color="auto"/>
        <w:right w:val="none" w:sz="0" w:space="0" w:color="auto"/>
      </w:divBdr>
    </w:div>
    <w:div w:id="1088231325">
      <w:bodyDiv w:val="1"/>
      <w:marLeft w:val="0"/>
      <w:marRight w:val="0"/>
      <w:marTop w:val="0"/>
      <w:marBottom w:val="0"/>
      <w:divBdr>
        <w:top w:val="none" w:sz="0" w:space="0" w:color="auto"/>
        <w:left w:val="none" w:sz="0" w:space="0" w:color="auto"/>
        <w:bottom w:val="none" w:sz="0" w:space="0" w:color="auto"/>
        <w:right w:val="none" w:sz="0" w:space="0" w:color="auto"/>
      </w:divBdr>
    </w:div>
    <w:div w:id="1091003380">
      <w:bodyDiv w:val="1"/>
      <w:marLeft w:val="0"/>
      <w:marRight w:val="0"/>
      <w:marTop w:val="0"/>
      <w:marBottom w:val="0"/>
      <w:divBdr>
        <w:top w:val="none" w:sz="0" w:space="0" w:color="auto"/>
        <w:left w:val="none" w:sz="0" w:space="0" w:color="auto"/>
        <w:bottom w:val="none" w:sz="0" w:space="0" w:color="auto"/>
        <w:right w:val="none" w:sz="0" w:space="0" w:color="auto"/>
      </w:divBdr>
    </w:div>
    <w:div w:id="1103842168">
      <w:bodyDiv w:val="1"/>
      <w:marLeft w:val="0"/>
      <w:marRight w:val="0"/>
      <w:marTop w:val="0"/>
      <w:marBottom w:val="0"/>
      <w:divBdr>
        <w:top w:val="none" w:sz="0" w:space="0" w:color="auto"/>
        <w:left w:val="none" w:sz="0" w:space="0" w:color="auto"/>
        <w:bottom w:val="none" w:sz="0" w:space="0" w:color="auto"/>
        <w:right w:val="none" w:sz="0" w:space="0" w:color="auto"/>
      </w:divBdr>
    </w:div>
    <w:div w:id="1124734001">
      <w:bodyDiv w:val="1"/>
      <w:marLeft w:val="0"/>
      <w:marRight w:val="0"/>
      <w:marTop w:val="0"/>
      <w:marBottom w:val="0"/>
      <w:divBdr>
        <w:top w:val="none" w:sz="0" w:space="0" w:color="auto"/>
        <w:left w:val="none" w:sz="0" w:space="0" w:color="auto"/>
        <w:bottom w:val="none" w:sz="0" w:space="0" w:color="auto"/>
        <w:right w:val="none" w:sz="0" w:space="0" w:color="auto"/>
      </w:divBdr>
    </w:div>
    <w:div w:id="1182209702">
      <w:bodyDiv w:val="1"/>
      <w:marLeft w:val="0"/>
      <w:marRight w:val="0"/>
      <w:marTop w:val="0"/>
      <w:marBottom w:val="0"/>
      <w:divBdr>
        <w:top w:val="none" w:sz="0" w:space="0" w:color="auto"/>
        <w:left w:val="none" w:sz="0" w:space="0" w:color="auto"/>
        <w:bottom w:val="none" w:sz="0" w:space="0" w:color="auto"/>
        <w:right w:val="none" w:sz="0" w:space="0" w:color="auto"/>
      </w:divBdr>
    </w:div>
    <w:div w:id="1186136210">
      <w:bodyDiv w:val="1"/>
      <w:marLeft w:val="0"/>
      <w:marRight w:val="0"/>
      <w:marTop w:val="0"/>
      <w:marBottom w:val="0"/>
      <w:divBdr>
        <w:top w:val="none" w:sz="0" w:space="0" w:color="auto"/>
        <w:left w:val="none" w:sz="0" w:space="0" w:color="auto"/>
        <w:bottom w:val="none" w:sz="0" w:space="0" w:color="auto"/>
        <w:right w:val="none" w:sz="0" w:space="0" w:color="auto"/>
      </w:divBdr>
    </w:div>
    <w:div w:id="1198202240">
      <w:bodyDiv w:val="1"/>
      <w:marLeft w:val="0"/>
      <w:marRight w:val="0"/>
      <w:marTop w:val="0"/>
      <w:marBottom w:val="0"/>
      <w:divBdr>
        <w:top w:val="none" w:sz="0" w:space="0" w:color="auto"/>
        <w:left w:val="none" w:sz="0" w:space="0" w:color="auto"/>
        <w:bottom w:val="none" w:sz="0" w:space="0" w:color="auto"/>
        <w:right w:val="none" w:sz="0" w:space="0" w:color="auto"/>
      </w:divBdr>
    </w:div>
    <w:div w:id="1234243208">
      <w:bodyDiv w:val="1"/>
      <w:marLeft w:val="0"/>
      <w:marRight w:val="0"/>
      <w:marTop w:val="0"/>
      <w:marBottom w:val="0"/>
      <w:divBdr>
        <w:top w:val="none" w:sz="0" w:space="0" w:color="auto"/>
        <w:left w:val="none" w:sz="0" w:space="0" w:color="auto"/>
        <w:bottom w:val="none" w:sz="0" w:space="0" w:color="auto"/>
        <w:right w:val="none" w:sz="0" w:space="0" w:color="auto"/>
      </w:divBdr>
    </w:div>
    <w:div w:id="1241520666">
      <w:bodyDiv w:val="1"/>
      <w:marLeft w:val="0"/>
      <w:marRight w:val="0"/>
      <w:marTop w:val="0"/>
      <w:marBottom w:val="0"/>
      <w:divBdr>
        <w:top w:val="none" w:sz="0" w:space="0" w:color="auto"/>
        <w:left w:val="none" w:sz="0" w:space="0" w:color="auto"/>
        <w:bottom w:val="none" w:sz="0" w:space="0" w:color="auto"/>
        <w:right w:val="none" w:sz="0" w:space="0" w:color="auto"/>
      </w:divBdr>
    </w:div>
    <w:div w:id="1258249681">
      <w:bodyDiv w:val="1"/>
      <w:marLeft w:val="0"/>
      <w:marRight w:val="0"/>
      <w:marTop w:val="0"/>
      <w:marBottom w:val="0"/>
      <w:divBdr>
        <w:top w:val="none" w:sz="0" w:space="0" w:color="auto"/>
        <w:left w:val="none" w:sz="0" w:space="0" w:color="auto"/>
        <w:bottom w:val="none" w:sz="0" w:space="0" w:color="auto"/>
        <w:right w:val="none" w:sz="0" w:space="0" w:color="auto"/>
      </w:divBdr>
    </w:div>
    <w:div w:id="1275290373">
      <w:bodyDiv w:val="1"/>
      <w:marLeft w:val="0"/>
      <w:marRight w:val="0"/>
      <w:marTop w:val="0"/>
      <w:marBottom w:val="0"/>
      <w:divBdr>
        <w:top w:val="none" w:sz="0" w:space="0" w:color="auto"/>
        <w:left w:val="none" w:sz="0" w:space="0" w:color="auto"/>
        <w:bottom w:val="none" w:sz="0" w:space="0" w:color="auto"/>
        <w:right w:val="none" w:sz="0" w:space="0" w:color="auto"/>
      </w:divBdr>
    </w:div>
    <w:div w:id="1277517520">
      <w:bodyDiv w:val="1"/>
      <w:marLeft w:val="0"/>
      <w:marRight w:val="0"/>
      <w:marTop w:val="0"/>
      <w:marBottom w:val="0"/>
      <w:divBdr>
        <w:top w:val="none" w:sz="0" w:space="0" w:color="auto"/>
        <w:left w:val="none" w:sz="0" w:space="0" w:color="auto"/>
        <w:bottom w:val="none" w:sz="0" w:space="0" w:color="auto"/>
        <w:right w:val="none" w:sz="0" w:space="0" w:color="auto"/>
      </w:divBdr>
    </w:div>
    <w:div w:id="1309241154">
      <w:bodyDiv w:val="1"/>
      <w:marLeft w:val="0"/>
      <w:marRight w:val="0"/>
      <w:marTop w:val="0"/>
      <w:marBottom w:val="0"/>
      <w:divBdr>
        <w:top w:val="none" w:sz="0" w:space="0" w:color="auto"/>
        <w:left w:val="none" w:sz="0" w:space="0" w:color="auto"/>
        <w:bottom w:val="none" w:sz="0" w:space="0" w:color="auto"/>
        <w:right w:val="none" w:sz="0" w:space="0" w:color="auto"/>
      </w:divBdr>
    </w:div>
    <w:div w:id="1319921277">
      <w:bodyDiv w:val="1"/>
      <w:marLeft w:val="0"/>
      <w:marRight w:val="0"/>
      <w:marTop w:val="0"/>
      <w:marBottom w:val="0"/>
      <w:divBdr>
        <w:top w:val="none" w:sz="0" w:space="0" w:color="auto"/>
        <w:left w:val="none" w:sz="0" w:space="0" w:color="auto"/>
        <w:bottom w:val="none" w:sz="0" w:space="0" w:color="auto"/>
        <w:right w:val="none" w:sz="0" w:space="0" w:color="auto"/>
      </w:divBdr>
    </w:div>
    <w:div w:id="1336112755">
      <w:bodyDiv w:val="1"/>
      <w:marLeft w:val="0"/>
      <w:marRight w:val="0"/>
      <w:marTop w:val="0"/>
      <w:marBottom w:val="0"/>
      <w:divBdr>
        <w:top w:val="none" w:sz="0" w:space="0" w:color="auto"/>
        <w:left w:val="none" w:sz="0" w:space="0" w:color="auto"/>
        <w:bottom w:val="none" w:sz="0" w:space="0" w:color="auto"/>
        <w:right w:val="none" w:sz="0" w:space="0" w:color="auto"/>
      </w:divBdr>
    </w:div>
    <w:div w:id="1343244514">
      <w:bodyDiv w:val="1"/>
      <w:marLeft w:val="0"/>
      <w:marRight w:val="0"/>
      <w:marTop w:val="0"/>
      <w:marBottom w:val="0"/>
      <w:divBdr>
        <w:top w:val="none" w:sz="0" w:space="0" w:color="auto"/>
        <w:left w:val="none" w:sz="0" w:space="0" w:color="auto"/>
        <w:bottom w:val="none" w:sz="0" w:space="0" w:color="auto"/>
        <w:right w:val="none" w:sz="0" w:space="0" w:color="auto"/>
      </w:divBdr>
    </w:div>
    <w:div w:id="1347099527">
      <w:bodyDiv w:val="1"/>
      <w:marLeft w:val="0"/>
      <w:marRight w:val="0"/>
      <w:marTop w:val="0"/>
      <w:marBottom w:val="0"/>
      <w:divBdr>
        <w:top w:val="none" w:sz="0" w:space="0" w:color="auto"/>
        <w:left w:val="none" w:sz="0" w:space="0" w:color="auto"/>
        <w:bottom w:val="none" w:sz="0" w:space="0" w:color="auto"/>
        <w:right w:val="none" w:sz="0" w:space="0" w:color="auto"/>
      </w:divBdr>
    </w:div>
    <w:div w:id="1400862976">
      <w:bodyDiv w:val="1"/>
      <w:marLeft w:val="0"/>
      <w:marRight w:val="0"/>
      <w:marTop w:val="0"/>
      <w:marBottom w:val="0"/>
      <w:divBdr>
        <w:top w:val="none" w:sz="0" w:space="0" w:color="auto"/>
        <w:left w:val="none" w:sz="0" w:space="0" w:color="auto"/>
        <w:bottom w:val="none" w:sz="0" w:space="0" w:color="auto"/>
        <w:right w:val="none" w:sz="0" w:space="0" w:color="auto"/>
      </w:divBdr>
    </w:div>
    <w:div w:id="1419063637">
      <w:bodyDiv w:val="1"/>
      <w:marLeft w:val="0"/>
      <w:marRight w:val="0"/>
      <w:marTop w:val="0"/>
      <w:marBottom w:val="0"/>
      <w:divBdr>
        <w:top w:val="none" w:sz="0" w:space="0" w:color="auto"/>
        <w:left w:val="none" w:sz="0" w:space="0" w:color="auto"/>
        <w:bottom w:val="none" w:sz="0" w:space="0" w:color="auto"/>
        <w:right w:val="none" w:sz="0" w:space="0" w:color="auto"/>
      </w:divBdr>
    </w:div>
    <w:div w:id="1438914793">
      <w:bodyDiv w:val="1"/>
      <w:marLeft w:val="0"/>
      <w:marRight w:val="0"/>
      <w:marTop w:val="0"/>
      <w:marBottom w:val="0"/>
      <w:divBdr>
        <w:top w:val="none" w:sz="0" w:space="0" w:color="auto"/>
        <w:left w:val="none" w:sz="0" w:space="0" w:color="auto"/>
        <w:bottom w:val="none" w:sz="0" w:space="0" w:color="auto"/>
        <w:right w:val="none" w:sz="0" w:space="0" w:color="auto"/>
      </w:divBdr>
    </w:div>
    <w:div w:id="1510370988">
      <w:bodyDiv w:val="1"/>
      <w:marLeft w:val="0"/>
      <w:marRight w:val="0"/>
      <w:marTop w:val="0"/>
      <w:marBottom w:val="0"/>
      <w:divBdr>
        <w:top w:val="none" w:sz="0" w:space="0" w:color="auto"/>
        <w:left w:val="none" w:sz="0" w:space="0" w:color="auto"/>
        <w:bottom w:val="none" w:sz="0" w:space="0" w:color="auto"/>
        <w:right w:val="none" w:sz="0" w:space="0" w:color="auto"/>
      </w:divBdr>
    </w:div>
    <w:div w:id="1511261255">
      <w:bodyDiv w:val="1"/>
      <w:marLeft w:val="0"/>
      <w:marRight w:val="0"/>
      <w:marTop w:val="0"/>
      <w:marBottom w:val="0"/>
      <w:divBdr>
        <w:top w:val="none" w:sz="0" w:space="0" w:color="auto"/>
        <w:left w:val="none" w:sz="0" w:space="0" w:color="auto"/>
        <w:bottom w:val="none" w:sz="0" w:space="0" w:color="auto"/>
        <w:right w:val="none" w:sz="0" w:space="0" w:color="auto"/>
      </w:divBdr>
    </w:div>
    <w:div w:id="1512719440">
      <w:bodyDiv w:val="1"/>
      <w:marLeft w:val="0"/>
      <w:marRight w:val="0"/>
      <w:marTop w:val="0"/>
      <w:marBottom w:val="0"/>
      <w:divBdr>
        <w:top w:val="none" w:sz="0" w:space="0" w:color="auto"/>
        <w:left w:val="none" w:sz="0" w:space="0" w:color="auto"/>
        <w:bottom w:val="none" w:sz="0" w:space="0" w:color="auto"/>
        <w:right w:val="none" w:sz="0" w:space="0" w:color="auto"/>
      </w:divBdr>
    </w:div>
    <w:div w:id="1541017723">
      <w:bodyDiv w:val="1"/>
      <w:marLeft w:val="0"/>
      <w:marRight w:val="0"/>
      <w:marTop w:val="0"/>
      <w:marBottom w:val="0"/>
      <w:divBdr>
        <w:top w:val="none" w:sz="0" w:space="0" w:color="auto"/>
        <w:left w:val="none" w:sz="0" w:space="0" w:color="auto"/>
        <w:bottom w:val="none" w:sz="0" w:space="0" w:color="auto"/>
        <w:right w:val="none" w:sz="0" w:space="0" w:color="auto"/>
      </w:divBdr>
    </w:div>
    <w:div w:id="1564832150">
      <w:bodyDiv w:val="1"/>
      <w:marLeft w:val="0"/>
      <w:marRight w:val="0"/>
      <w:marTop w:val="0"/>
      <w:marBottom w:val="0"/>
      <w:divBdr>
        <w:top w:val="none" w:sz="0" w:space="0" w:color="auto"/>
        <w:left w:val="none" w:sz="0" w:space="0" w:color="auto"/>
        <w:bottom w:val="none" w:sz="0" w:space="0" w:color="auto"/>
        <w:right w:val="none" w:sz="0" w:space="0" w:color="auto"/>
      </w:divBdr>
    </w:div>
    <w:div w:id="1600214393">
      <w:bodyDiv w:val="1"/>
      <w:marLeft w:val="0"/>
      <w:marRight w:val="0"/>
      <w:marTop w:val="0"/>
      <w:marBottom w:val="0"/>
      <w:divBdr>
        <w:top w:val="none" w:sz="0" w:space="0" w:color="auto"/>
        <w:left w:val="none" w:sz="0" w:space="0" w:color="auto"/>
        <w:bottom w:val="none" w:sz="0" w:space="0" w:color="auto"/>
        <w:right w:val="none" w:sz="0" w:space="0" w:color="auto"/>
      </w:divBdr>
    </w:div>
    <w:div w:id="1604414408">
      <w:bodyDiv w:val="1"/>
      <w:marLeft w:val="0"/>
      <w:marRight w:val="0"/>
      <w:marTop w:val="0"/>
      <w:marBottom w:val="0"/>
      <w:divBdr>
        <w:top w:val="none" w:sz="0" w:space="0" w:color="auto"/>
        <w:left w:val="none" w:sz="0" w:space="0" w:color="auto"/>
        <w:bottom w:val="none" w:sz="0" w:space="0" w:color="auto"/>
        <w:right w:val="none" w:sz="0" w:space="0" w:color="auto"/>
      </w:divBdr>
    </w:div>
    <w:div w:id="1656371330">
      <w:bodyDiv w:val="1"/>
      <w:marLeft w:val="0"/>
      <w:marRight w:val="0"/>
      <w:marTop w:val="0"/>
      <w:marBottom w:val="0"/>
      <w:divBdr>
        <w:top w:val="none" w:sz="0" w:space="0" w:color="auto"/>
        <w:left w:val="none" w:sz="0" w:space="0" w:color="auto"/>
        <w:bottom w:val="none" w:sz="0" w:space="0" w:color="auto"/>
        <w:right w:val="none" w:sz="0" w:space="0" w:color="auto"/>
      </w:divBdr>
    </w:div>
    <w:div w:id="1662390159">
      <w:bodyDiv w:val="1"/>
      <w:marLeft w:val="0"/>
      <w:marRight w:val="0"/>
      <w:marTop w:val="0"/>
      <w:marBottom w:val="0"/>
      <w:divBdr>
        <w:top w:val="none" w:sz="0" w:space="0" w:color="auto"/>
        <w:left w:val="none" w:sz="0" w:space="0" w:color="auto"/>
        <w:bottom w:val="none" w:sz="0" w:space="0" w:color="auto"/>
        <w:right w:val="none" w:sz="0" w:space="0" w:color="auto"/>
      </w:divBdr>
    </w:div>
    <w:div w:id="1664621453">
      <w:bodyDiv w:val="1"/>
      <w:marLeft w:val="0"/>
      <w:marRight w:val="0"/>
      <w:marTop w:val="0"/>
      <w:marBottom w:val="0"/>
      <w:divBdr>
        <w:top w:val="none" w:sz="0" w:space="0" w:color="auto"/>
        <w:left w:val="none" w:sz="0" w:space="0" w:color="auto"/>
        <w:bottom w:val="none" w:sz="0" w:space="0" w:color="auto"/>
        <w:right w:val="none" w:sz="0" w:space="0" w:color="auto"/>
      </w:divBdr>
    </w:div>
    <w:div w:id="1681735076">
      <w:bodyDiv w:val="1"/>
      <w:marLeft w:val="0"/>
      <w:marRight w:val="0"/>
      <w:marTop w:val="0"/>
      <w:marBottom w:val="0"/>
      <w:divBdr>
        <w:top w:val="none" w:sz="0" w:space="0" w:color="auto"/>
        <w:left w:val="none" w:sz="0" w:space="0" w:color="auto"/>
        <w:bottom w:val="none" w:sz="0" w:space="0" w:color="auto"/>
        <w:right w:val="none" w:sz="0" w:space="0" w:color="auto"/>
      </w:divBdr>
    </w:div>
    <w:div w:id="1688361739">
      <w:bodyDiv w:val="1"/>
      <w:marLeft w:val="0"/>
      <w:marRight w:val="0"/>
      <w:marTop w:val="0"/>
      <w:marBottom w:val="0"/>
      <w:divBdr>
        <w:top w:val="none" w:sz="0" w:space="0" w:color="auto"/>
        <w:left w:val="none" w:sz="0" w:space="0" w:color="auto"/>
        <w:bottom w:val="none" w:sz="0" w:space="0" w:color="auto"/>
        <w:right w:val="none" w:sz="0" w:space="0" w:color="auto"/>
      </w:divBdr>
    </w:div>
    <w:div w:id="1727756351">
      <w:bodyDiv w:val="1"/>
      <w:marLeft w:val="0"/>
      <w:marRight w:val="0"/>
      <w:marTop w:val="0"/>
      <w:marBottom w:val="0"/>
      <w:divBdr>
        <w:top w:val="none" w:sz="0" w:space="0" w:color="auto"/>
        <w:left w:val="none" w:sz="0" w:space="0" w:color="auto"/>
        <w:bottom w:val="none" w:sz="0" w:space="0" w:color="auto"/>
        <w:right w:val="none" w:sz="0" w:space="0" w:color="auto"/>
      </w:divBdr>
    </w:div>
    <w:div w:id="1730156212">
      <w:bodyDiv w:val="1"/>
      <w:marLeft w:val="0"/>
      <w:marRight w:val="0"/>
      <w:marTop w:val="0"/>
      <w:marBottom w:val="0"/>
      <w:divBdr>
        <w:top w:val="none" w:sz="0" w:space="0" w:color="auto"/>
        <w:left w:val="none" w:sz="0" w:space="0" w:color="auto"/>
        <w:bottom w:val="none" w:sz="0" w:space="0" w:color="auto"/>
        <w:right w:val="none" w:sz="0" w:space="0" w:color="auto"/>
      </w:divBdr>
    </w:div>
    <w:div w:id="1741248461">
      <w:bodyDiv w:val="1"/>
      <w:marLeft w:val="0"/>
      <w:marRight w:val="0"/>
      <w:marTop w:val="0"/>
      <w:marBottom w:val="0"/>
      <w:divBdr>
        <w:top w:val="none" w:sz="0" w:space="0" w:color="auto"/>
        <w:left w:val="none" w:sz="0" w:space="0" w:color="auto"/>
        <w:bottom w:val="none" w:sz="0" w:space="0" w:color="auto"/>
        <w:right w:val="none" w:sz="0" w:space="0" w:color="auto"/>
      </w:divBdr>
    </w:div>
    <w:div w:id="1758020956">
      <w:bodyDiv w:val="1"/>
      <w:marLeft w:val="0"/>
      <w:marRight w:val="0"/>
      <w:marTop w:val="0"/>
      <w:marBottom w:val="0"/>
      <w:divBdr>
        <w:top w:val="none" w:sz="0" w:space="0" w:color="auto"/>
        <w:left w:val="none" w:sz="0" w:space="0" w:color="auto"/>
        <w:bottom w:val="none" w:sz="0" w:space="0" w:color="auto"/>
        <w:right w:val="none" w:sz="0" w:space="0" w:color="auto"/>
      </w:divBdr>
    </w:div>
    <w:div w:id="1790926343">
      <w:bodyDiv w:val="1"/>
      <w:marLeft w:val="0"/>
      <w:marRight w:val="0"/>
      <w:marTop w:val="0"/>
      <w:marBottom w:val="0"/>
      <w:divBdr>
        <w:top w:val="none" w:sz="0" w:space="0" w:color="auto"/>
        <w:left w:val="none" w:sz="0" w:space="0" w:color="auto"/>
        <w:bottom w:val="none" w:sz="0" w:space="0" w:color="auto"/>
        <w:right w:val="none" w:sz="0" w:space="0" w:color="auto"/>
      </w:divBdr>
    </w:div>
    <w:div w:id="1791586690">
      <w:bodyDiv w:val="1"/>
      <w:marLeft w:val="0"/>
      <w:marRight w:val="0"/>
      <w:marTop w:val="0"/>
      <w:marBottom w:val="0"/>
      <w:divBdr>
        <w:top w:val="none" w:sz="0" w:space="0" w:color="auto"/>
        <w:left w:val="none" w:sz="0" w:space="0" w:color="auto"/>
        <w:bottom w:val="none" w:sz="0" w:space="0" w:color="auto"/>
        <w:right w:val="none" w:sz="0" w:space="0" w:color="auto"/>
      </w:divBdr>
    </w:div>
    <w:div w:id="1798987352">
      <w:bodyDiv w:val="1"/>
      <w:marLeft w:val="0"/>
      <w:marRight w:val="0"/>
      <w:marTop w:val="0"/>
      <w:marBottom w:val="0"/>
      <w:divBdr>
        <w:top w:val="none" w:sz="0" w:space="0" w:color="auto"/>
        <w:left w:val="none" w:sz="0" w:space="0" w:color="auto"/>
        <w:bottom w:val="none" w:sz="0" w:space="0" w:color="auto"/>
        <w:right w:val="none" w:sz="0" w:space="0" w:color="auto"/>
      </w:divBdr>
    </w:div>
    <w:div w:id="1805274669">
      <w:bodyDiv w:val="1"/>
      <w:marLeft w:val="0"/>
      <w:marRight w:val="0"/>
      <w:marTop w:val="0"/>
      <w:marBottom w:val="0"/>
      <w:divBdr>
        <w:top w:val="none" w:sz="0" w:space="0" w:color="auto"/>
        <w:left w:val="none" w:sz="0" w:space="0" w:color="auto"/>
        <w:bottom w:val="none" w:sz="0" w:space="0" w:color="auto"/>
        <w:right w:val="none" w:sz="0" w:space="0" w:color="auto"/>
      </w:divBdr>
    </w:div>
    <w:div w:id="1817601100">
      <w:bodyDiv w:val="1"/>
      <w:marLeft w:val="0"/>
      <w:marRight w:val="0"/>
      <w:marTop w:val="0"/>
      <w:marBottom w:val="0"/>
      <w:divBdr>
        <w:top w:val="none" w:sz="0" w:space="0" w:color="auto"/>
        <w:left w:val="none" w:sz="0" w:space="0" w:color="auto"/>
        <w:bottom w:val="none" w:sz="0" w:space="0" w:color="auto"/>
        <w:right w:val="none" w:sz="0" w:space="0" w:color="auto"/>
      </w:divBdr>
    </w:div>
    <w:div w:id="1845171707">
      <w:bodyDiv w:val="1"/>
      <w:marLeft w:val="0"/>
      <w:marRight w:val="0"/>
      <w:marTop w:val="0"/>
      <w:marBottom w:val="0"/>
      <w:divBdr>
        <w:top w:val="none" w:sz="0" w:space="0" w:color="auto"/>
        <w:left w:val="none" w:sz="0" w:space="0" w:color="auto"/>
        <w:bottom w:val="none" w:sz="0" w:space="0" w:color="auto"/>
        <w:right w:val="none" w:sz="0" w:space="0" w:color="auto"/>
      </w:divBdr>
    </w:div>
    <w:div w:id="1848010202">
      <w:bodyDiv w:val="1"/>
      <w:marLeft w:val="0"/>
      <w:marRight w:val="0"/>
      <w:marTop w:val="0"/>
      <w:marBottom w:val="0"/>
      <w:divBdr>
        <w:top w:val="none" w:sz="0" w:space="0" w:color="auto"/>
        <w:left w:val="none" w:sz="0" w:space="0" w:color="auto"/>
        <w:bottom w:val="none" w:sz="0" w:space="0" w:color="auto"/>
        <w:right w:val="none" w:sz="0" w:space="0" w:color="auto"/>
      </w:divBdr>
    </w:div>
    <w:div w:id="1857689156">
      <w:bodyDiv w:val="1"/>
      <w:marLeft w:val="0"/>
      <w:marRight w:val="0"/>
      <w:marTop w:val="0"/>
      <w:marBottom w:val="0"/>
      <w:divBdr>
        <w:top w:val="none" w:sz="0" w:space="0" w:color="auto"/>
        <w:left w:val="none" w:sz="0" w:space="0" w:color="auto"/>
        <w:bottom w:val="none" w:sz="0" w:space="0" w:color="auto"/>
        <w:right w:val="none" w:sz="0" w:space="0" w:color="auto"/>
      </w:divBdr>
    </w:div>
    <w:div w:id="1888058788">
      <w:bodyDiv w:val="1"/>
      <w:marLeft w:val="0"/>
      <w:marRight w:val="0"/>
      <w:marTop w:val="0"/>
      <w:marBottom w:val="0"/>
      <w:divBdr>
        <w:top w:val="none" w:sz="0" w:space="0" w:color="auto"/>
        <w:left w:val="none" w:sz="0" w:space="0" w:color="auto"/>
        <w:bottom w:val="none" w:sz="0" w:space="0" w:color="auto"/>
        <w:right w:val="none" w:sz="0" w:space="0" w:color="auto"/>
      </w:divBdr>
    </w:div>
    <w:div w:id="1888100753">
      <w:bodyDiv w:val="1"/>
      <w:marLeft w:val="0"/>
      <w:marRight w:val="0"/>
      <w:marTop w:val="0"/>
      <w:marBottom w:val="0"/>
      <w:divBdr>
        <w:top w:val="none" w:sz="0" w:space="0" w:color="auto"/>
        <w:left w:val="none" w:sz="0" w:space="0" w:color="auto"/>
        <w:bottom w:val="none" w:sz="0" w:space="0" w:color="auto"/>
        <w:right w:val="none" w:sz="0" w:space="0" w:color="auto"/>
      </w:divBdr>
    </w:div>
    <w:div w:id="1903983105">
      <w:bodyDiv w:val="1"/>
      <w:marLeft w:val="0"/>
      <w:marRight w:val="0"/>
      <w:marTop w:val="0"/>
      <w:marBottom w:val="0"/>
      <w:divBdr>
        <w:top w:val="none" w:sz="0" w:space="0" w:color="auto"/>
        <w:left w:val="none" w:sz="0" w:space="0" w:color="auto"/>
        <w:bottom w:val="none" w:sz="0" w:space="0" w:color="auto"/>
        <w:right w:val="none" w:sz="0" w:space="0" w:color="auto"/>
      </w:divBdr>
    </w:div>
    <w:div w:id="1916935947">
      <w:bodyDiv w:val="1"/>
      <w:marLeft w:val="0"/>
      <w:marRight w:val="0"/>
      <w:marTop w:val="0"/>
      <w:marBottom w:val="0"/>
      <w:divBdr>
        <w:top w:val="none" w:sz="0" w:space="0" w:color="auto"/>
        <w:left w:val="none" w:sz="0" w:space="0" w:color="auto"/>
        <w:bottom w:val="none" w:sz="0" w:space="0" w:color="auto"/>
        <w:right w:val="none" w:sz="0" w:space="0" w:color="auto"/>
      </w:divBdr>
    </w:div>
    <w:div w:id="1921714890">
      <w:bodyDiv w:val="1"/>
      <w:marLeft w:val="0"/>
      <w:marRight w:val="0"/>
      <w:marTop w:val="0"/>
      <w:marBottom w:val="0"/>
      <w:divBdr>
        <w:top w:val="none" w:sz="0" w:space="0" w:color="auto"/>
        <w:left w:val="none" w:sz="0" w:space="0" w:color="auto"/>
        <w:bottom w:val="none" w:sz="0" w:space="0" w:color="auto"/>
        <w:right w:val="none" w:sz="0" w:space="0" w:color="auto"/>
      </w:divBdr>
    </w:div>
    <w:div w:id="1959212483">
      <w:bodyDiv w:val="1"/>
      <w:marLeft w:val="0"/>
      <w:marRight w:val="0"/>
      <w:marTop w:val="0"/>
      <w:marBottom w:val="0"/>
      <w:divBdr>
        <w:top w:val="none" w:sz="0" w:space="0" w:color="auto"/>
        <w:left w:val="none" w:sz="0" w:space="0" w:color="auto"/>
        <w:bottom w:val="none" w:sz="0" w:space="0" w:color="auto"/>
        <w:right w:val="none" w:sz="0" w:space="0" w:color="auto"/>
      </w:divBdr>
    </w:div>
    <w:div w:id="1965622505">
      <w:bodyDiv w:val="1"/>
      <w:marLeft w:val="0"/>
      <w:marRight w:val="0"/>
      <w:marTop w:val="0"/>
      <w:marBottom w:val="0"/>
      <w:divBdr>
        <w:top w:val="none" w:sz="0" w:space="0" w:color="auto"/>
        <w:left w:val="none" w:sz="0" w:space="0" w:color="auto"/>
        <w:bottom w:val="none" w:sz="0" w:space="0" w:color="auto"/>
        <w:right w:val="none" w:sz="0" w:space="0" w:color="auto"/>
      </w:divBdr>
    </w:div>
    <w:div w:id="1968316682">
      <w:bodyDiv w:val="1"/>
      <w:marLeft w:val="0"/>
      <w:marRight w:val="0"/>
      <w:marTop w:val="0"/>
      <w:marBottom w:val="0"/>
      <w:divBdr>
        <w:top w:val="none" w:sz="0" w:space="0" w:color="auto"/>
        <w:left w:val="none" w:sz="0" w:space="0" w:color="auto"/>
        <w:bottom w:val="none" w:sz="0" w:space="0" w:color="auto"/>
        <w:right w:val="none" w:sz="0" w:space="0" w:color="auto"/>
      </w:divBdr>
    </w:div>
    <w:div w:id="1973436139">
      <w:bodyDiv w:val="1"/>
      <w:marLeft w:val="0"/>
      <w:marRight w:val="0"/>
      <w:marTop w:val="0"/>
      <w:marBottom w:val="0"/>
      <w:divBdr>
        <w:top w:val="none" w:sz="0" w:space="0" w:color="auto"/>
        <w:left w:val="none" w:sz="0" w:space="0" w:color="auto"/>
        <w:bottom w:val="none" w:sz="0" w:space="0" w:color="auto"/>
        <w:right w:val="none" w:sz="0" w:space="0" w:color="auto"/>
      </w:divBdr>
    </w:div>
    <w:div w:id="1975064796">
      <w:bodyDiv w:val="1"/>
      <w:marLeft w:val="0"/>
      <w:marRight w:val="0"/>
      <w:marTop w:val="0"/>
      <w:marBottom w:val="0"/>
      <w:divBdr>
        <w:top w:val="none" w:sz="0" w:space="0" w:color="auto"/>
        <w:left w:val="none" w:sz="0" w:space="0" w:color="auto"/>
        <w:bottom w:val="none" w:sz="0" w:space="0" w:color="auto"/>
        <w:right w:val="none" w:sz="0" w:space="0" w:color="auto"/>
      </w:divBdr>
    </w:div>
    <w:div w:id="1986471930">
      <w:bodyDiv w:val="1"/>
      <w:marLeft w:val="0"/>
      <w:marRight w:val="0"/>
      <w:marTop w:val="0"/>
      <w:marBottom w:val="0"/>
      <w:divBdr>
        <w:top w:val="none" w:sz="0" w:space="0" w:color="auto"/>
        <w:left w:val="none" w:sz="0" w:space="0" w:color="auto"/>
        <w:bottom w:val="none" w:sz="0" w:space="0" w:color="auto"/>
        <w:right w:val="none" w:sz="0" w:space="0" w:color="auto"/>
      </w:divBdr>
    </w:div>
    <w:div w:id="1990010424">
      <w:bodyDiv w:val="1"/>
      <w:marLeft w:val="0"/>
      <w:marRight w:val="0"/>
      <w:marTop w:val="0"/>
      <w:marBottom w:val="0"/>
      <w:divBdr>
        <w:top w:val="none" w:sz="0" w:space="0" w:color="auto"/>
        <w:left w:val="none" w:sz="0" w:space="0" w:color="auto"/>
        <w:bottom w:val="none" w:sz="0" w:space="0" w:color="auto"/>
        <w:right w:val="none" w:sz="0" w:space="0" w:color="auto"/>
      </w:divBdr>
    </w:div>
    <w:div w:id="1994478737">
      <w:bodyDiv w:val="1"/>
      <w:marLeft w:val="0"/>
      <w:marRight w:val="0"/>
      <w:marTop w:val="0"/>
      <w:marBottom w:val="0"/>
      <w:divBdr>
        <w:top w:val="none" w:sz="0" w:space="0" w:color="auto"/>
        <w:left w:val="none" w:sz="0" w:space="0" w:color="auto"/>
        <w:bottom w:val="none" w:sz="0" w:space="0" w:color="auto"/>
        <w:right w:val="none" w:sz="0" w:space="0" w:color="auto"/>
      </w:divBdr>
    </w:div>
    <w:div w:id="2031031429">
      <w:bodyDiv w:val="1"/>
      <w:marLeft w:val="0"/>
      <w:marRight w:val="0"/>
      <w:marTop w:val="0"/>
      <w:marBottom w:val="0"/>
      <w:divBdr>
        <w:top w:val="none" w:sz="0" w:space="0" w:color="auto"/>
        <w:left w:val="none" w:sz="0" w:space="0" w:color="auto"/>
        <w:bottom w:val="none" w:sz="0" w:space="0" w:color="auto"/>
        <w:right w:val="none" w:sz="0" w:space="0" w:color="auto"/>
      </w:divBdr>
    </w:div>
    <w:div w:id="2045404739">
      <w:bodyDiv w:val="1"/>
      <w:marLeft w:val="0"/>
      <w:marRight w:val="0"/>
      <w:marTop w:val="0"/>
      <w:marBottom w:val="0"/>
      <w:divBdr>
        <w:top w:val="none" w:sz="0" w:space="0" w:color="auto"/>
        <w:left w:val="none" w:sz="0" w:space="0" w:color="auto"/>
        <w:bottom w:val="none" w:sz="0" w:space="0" w:color="auto"/>
        <w:right w:val="none" w:sz="0" w:space="0" w:color="auto"/>
      </w:divBdr>
    </w:div>
    <w:div w:id="2047287740">
      <w:bodyDiv w:val="1"/>
      <w:marLeft w:val="0"/>
      <w:marRight w:val="0"/>
      <w:marTop w:val="0"/>
      <w:marBottom w:val="0"/>
      <w:divBdr>
        <w:top w:val="none" w:sz="0" w:space="0" w:color="auto"/>
        <w:left w:val="none" w:sz="0" w:space="0" w:color="auto"/>
        <w:bottom w:val="none" w:sz="0" w:space="0" w:color="auto"/>
        <w:right w:val="none" w:sz="0" w:space="0" w:color="auto"/>
      </w:divBdr>
    </w:div>
    <w:div w:id="2062122136">
      <w:bodyDiv w:val="1"/>
      <w:marLeft w:val="0"/>
      <w:marRight w:val="0"/>
      <w:marTop w:val="0"/>
      <w:marBottom w:val="0"/>
      <w:divBdr>
        <w:top w:val="none" w:sz="0" w:space="0" w:color="auto"/>
        <w:left w:val="none" w:sz="0" w:space="0" w:color="auto"/>
        <w:bottom w:val="none" w:sz="0" w:space="0" w:color="auto"/>
        <w:right w:val="none" w:sz="0" w:space="0" w:color="auto"/>
      </w:divBdr>
    </w:div>
    <w:div w:id="2062707431">
      <w:bodyDiv w:val="1"/>
      <w:marLeft w:val="0"/>
      <w:marRight w:val="0"/>
      <w:marTop w:val="0"/>
      <w:marBottom w:val="0"/>
      <w:divBdr>
        <w:top w:val="none" w:sz="0" w:space="0" w:color="auto"/>
        <w:left w:val="none" w:sz="0" w:space="0" w:color="auto"/>
        <w:bottom w:val="none" w:sz="0" w:space="0" w:color="auto"/>
        <w:right w:val="none" w:sz="0" w:space="0" w:color="auto"/>
      </w:divBdr>
    </w:div>
    <w:div w:id="2075156082">
      <w:bodyDiv w:val="1"/>
      <w:marLeft w:val="0"/>
      <w:marRight w:val="0"/>
      <w:marTop w:val="0"/>
      <w:marBottom w:val="0"/>
      <w:divBdr>
        <w:top w:val="none" w:sz="0" w:space="0" w:color="auto"/>
        <w:left w:val="none" w:sz="0" w:space="0" w:color="auto"/>
        <w:bottom w:val="none" w:sz="0" w:space="0" w:color="auto"/>
        <w:right w:val="none" w:sz="0" w:space="0" w:color="auto"/>
      </w:divBdr>
    </w:div>
    <w:div w:id="2119595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asylumineurope.org/reports/country/switzerland/detention-asylum-seekers/detention-conditions/conditions-detention-facilities/" TargetMode="External"/><Relationship Id="rId2" Type="http://schemas.openxmlformats.org/officeDocument/2006/relationships/hyperlink" Target="https://www.penalreform.org/global-prison-trends-2022/ethnic&#43027;minorities/" TargetMode="External"/><Relationship Id="rId1" Type="http://schemas.openxmlformats.org/officeDocument/2006/relationships/hyperlink" Target="https://www.ohchr.org/en/calls-for-input/2022/report-older-persons-deprived-their-liberty" TargetMode="External"/><Relationship Id="rId4" Type="http://schemas.openxmlformats.org/officeDocument/2006/relationships/hyperlink" Target="https://www.gerontologia.org/portal/information/showInformation.php?idinfo=3622"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45F448-786B-40FB-BDAC-85782DB9F2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136</TotalTime>
  <Pages>36</Pages>
  <Words>3939</Words>
  <Characters>22457</Characters>
  <Application>Microsoft Office Word</Application>
  <DocSecurity>0</DocSecurity>
  <Lines>187</Lines>
  <Paragraphs>52</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26344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21</cp:revision>
  <dcterms:created xsi:type="dcterms:W3CDTF">2023-11-21T05:09:00Z</dcterms:created>
  <dcterms:modified xsi:type="dcterms:W3CDTF">2024-02-15T07:32:00Z</dcterms:modified>
</cp:coreProperties>
</file>