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635B991" w14:textId="77777777" w:rsidTr="00562621">
        <w:trPr>
          <w:trHeight w:val="851"/>
        </w:trPr>
        <w:tc>
          <w:tcPr>
            <w:tcW w:w="1259" w:type="dxa"/>
            <w:tcBorders>
              <w:top w:val="nil"/>
              <w:left w:val="nil"/>
              <w:bottom w:val="single" w:sz="4" w:space="0" w:color="auto"/>
              <w:right w:val="nil"/>
            </w:tcBorders>
          </w:tcPr>
          <w:p w14:paraId="4D8EFDCA"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1AB00BC" w14:textId="1A765DC3" w:rsidR="00446DE4" w:rsidRPr="00963CBA" w:rsidRDefault="00446DE4" w:rsidP="00562621">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1847D150" w14:textId="1BE16903" w:rsidR="00446DE4" w:rsidRPr="00DE3EC0" w:rsidRDefault="00AA1750" w:rsidP="00AA1750">
            <w:pPr>
              <w:jc w:val="right"/>
            </w:pPr>
            <w:r w:rsidRPr="00AA1750">
              <w:rPr>
                <w:sz w:val="40"/>
              </w:rPr>
              <w:t>A</w:t>
            </w:r>
            <w:r>
              <w:t>/</w:t>
            </w:r>
            <w:r w:rsidR="00230601">
              <w:t>78/</w:t>
            </w:r>
            <w:r w:rsidR="00AE116B">
              <w:t>538</w:t>
            </w:r>
          </w:p>
        </w:tc>
      </w:tr>
      <w:tr w:rsidR="003107FA" w14:paraId="5E3B449D" w14:textId="77777777" w:rsidTr="00562621">
        <w:trPr>
          <w:trHeight w:val="2835"/>
        </w:trPr>
        <w:tc>
          <w:tcPr>
            <w:tcW w:w="1259" w:type="dxa"/>
            <w:tcBorders>
              <w:top w:val="single" w:sz="4" w:space="0" w:color="auto"/>
              <w:left w:val="nil"/>
              <w:bottom w:val="single" w:sz="12" w:space="0" w:color="auto"/>
              <w:right w:val="nil"/>
            </w:tcBorders>
          </w:tcPr>
          <w:p w14:paraId="261CAF71" w14:textId="51E7B91B" w:rsidR="003107FA" w:rsidRDefault="003107FA" w:rsidP="00562621">
            <w:pPr>
              <w:spacing w:before="120"/>
              <w:jc w:val="center"/>
            </w:pPr>
          </w:p>
        </w:tc>
        <w:tc>
          <w:tcPr>
            <w:tcW w:w="5450" w:type="dxa"/>
            <w:gridSpan w:val="2"/>
            <w:tcBorders>
              <w:top w:val="single" w:sz="4" w:space="0" w:color="auto"/>
              <w:left w:val="nil"/>
              <w:bottom w:val="single" w:sz="12" w:space="0" w:color="auto"/>
              <w:right w:val="nil"/>
            </w:tcBorders>
          </w:tcPr>
          <w:p w14:paraId="35834BA2" w14:textId="43E3EFE1" w:rsidR="003107FA" w:rsidRPr="00B3317B" w:rsidRDefault="00AE116B" w:rsidP="00562621">
            <w:pPr>
              <w:spacing w:before="120" w:line="420" w:lineRule="exact"/>
              <w:rPr>
                <w:b/>
                <w:sz w:val="40"/>
                <w:szCs w:val="40"/>
              </w:rPr>
            </w:pPr>
            <w:r>
              <w:rPr>
                <w:b/>
                <w:sz w:val="40"/>
                <w:szCs w:val="40"/>
              </w:rPr>
              <w:t>Advance Unedited Version</w:t>
            </w:r>
          </w:p>
        </w:tc>
        <w:tc>
          <w:tcPr>
            <w:tcW w:w="2930" w:type="dxa"/>
            <w:tcBorders>
              <w:top w:val="single" w:sz="4" w:space="0" w:color="auto"/>
              <w:left w:val="nil"/>
              <w:bottom w:val="single" w:sz="12" w:space="0" w:color="auto"/>
              <w:right w:val="nil"/>
            </w:tcBorders>
          </w:tcPr>
          <w:p w14:paraId="5AA50E55" w14:textId="77777777" w:rsidR="003107FA" w:rsidRDefault="00AA1750" w:rsidP="00AA1750">
            <w:pPr>
              <w:spacing w:before="240" w:line="240" w:lineRule="exact"/>
            </w:pPr>
            <w:r>
              <w:t>Distr.: General</w:t>
            </w:r>
          </w:p>
          <w:p w14:paraId="1B5D2315" w14:textId="43C10F2C" w:rsidR="00AA1750" w:rsidRDefault="00AA1750" w:rsidP="00AA1750">
            <w:pPr>
              <w:spacing w:line="240" w:lineRule="exact"/>
            </w:pPr>
            <w:r>
              <w:t>1</w:t>
            </w:r>
            <w:r w:rsidR="007E5EEA">
              <w:t>8</w:t>
            </w:r>
            <w:r>
              <w:t xml:space="preserve"> October 2023</w:t>
            </w:r>
          </w:p>
          <w:p w14:paraId="2673284F" w14:textId="77777777" w:rsidR="00AA1750" w:rsidRDefault="00AA1750" w:rsidP="00AA1750">
            <w:pPr>
              <w:spacing w:line="240" w:lineRule="exact"/>
            </w:pPr>
          </w:p>
          <w:p w14:paraId="08F94791" w14:textId="2ADE2CB4" w:rsidR="00AA1750" w:rsidRDefault="00AA1750" w:rsidP="00AA1750">
            <w:pPr>
              <w:spacing w:line="240" w:lineRule="exact"/>
            </w:pPr>
            <w:r>
              <w:t>Original: English</w:t>
            </w:r>
          </w:p>
        </w:tc>
      </w:tr>
    </w:tbl>
    <w:p w14:paraId="3730C73A" w14:textId="77777777" w:rsidR="00230601" w:rsidRPr="001F1D72" w:rsidRDefault="00230601" w:rsidP="00230601">
      <w:pPr>
        <w:kinsoku w:val="0"/>
        <w:overflowPunct w:val="0"/>
        <w:autoSpaceDE w:val="0"/>
        <w:autoSpaceDN w:val="0"/>
        <w:adjustRightInd w:val="0"/>
        <w:snapToGrid w:val="0"/>
        <w:spacing w:before="120"/>
        <w:rPr>
          <w:rFonts w:eastAsia="Calibri"/>
          <w:b/>
          <w:bCs/>
          <w:sz w:val="24"/>
          <w:szCs w:val="24"/>
        </w:rPr>
      </w:pPr>
      <w:r w:rsidRPr="001F1D72">
        <w:rPr>
          <w:rFonts w:eastAsia="Calibri"/>
          <w:b/>
          <w:bCs/>
          <w:sz w:val="24"/>
          <w:szCs w:val="24"/>
        </w:rPr>
        <w:t>Seventy-</w:t>
      </w:r>
      <w:r>
        <w:rPr>
          <w:rFonts w:eastAsia="Calibri"/>
          <w:b/>
          <w:bCs/>
          <w:sz w:val="24"/>
          <w:szCs w:val="24"/>
        </w:rPr>
        <w:t>eight</w:t>
      </w:r>
      <w:r w:rsidRPr="001F1D72">
        <w:rPr>
          <w:rFonts w:eastAsia="Calibri"/>
          <w:b/>
          <w:bCs/>
          <w:sz w:val="24"/>
          <w:szCs w:val="24"/>
        </w:rPr>
        <w:t xml:space="preserve"> session</w:t>
      </w:r>
    </w:p>
    <w:p w14:paraId="6557CC04" w14:textId="69B7CBBD" w:rsidR="00230601" w:rsidRPr="006F3586" w:rsidRDefault="00230601" w:rsidP="00230601">
      <w:r w:rsidRPr="006F3586">
        <w:t>Item 7</w:t>
      </w:r>
      <w:r w:rsidR="008B0A8F">
        <w:t>1</w:t>
      </w:r>
      <w:r w:rsidRPr="006F3586">
        <w:t xml:space="preserve"> (b) of the provisional agenda</w:t>
      </w:r>
      <w:r w:rsidR="00C150E9" w:rsidRPr="00C150E9">
        <w:rPr>
          <w:rStyle w:val="FootnoteReference"/>
          <w:sz w:val="20"/>
          <w:vertAlign w:val="baseline"/>
        </w:rPr>
        <w:footnoteReference w:customMarkFollows="1" w:id="2"/>
        <w:t>*</w:t>
      </w:r>
    </w:p>
    <w:p w14:paraId="21EC9D04" w14:textId="77777777" w:rsidR="008B0A8F" w:rsidRDefault="008B0A8F" w:rsidP="008B0A8F">
      <w:pPr>
        <w:rPr>
          <w:b/>
          <w:bCs/>
        </w:rPr>
      </w:pPr>
      <w:r w:rsidRPr="004C7ECE">
        <w:rPr>
          <w:b/>
          <w:bCs/>
        </w:rPr>
        <w:t>Elimination of racism, racial discrimination, xenophobia and</w:t>
      </w:r>
      <w:r w:rsidRPr="004C7ECE">
        <w:rPr>
          <w:b/>
          <w:bCs/>
        </w:rPr>
        <w:br/>
        <w:t>related intolerance: comprehensive implementation of and</w:t>
      </w:r>
      <w:r>
        <w:rPr>
          <w:b/>
          <w:bCs/>
        </w:rPr>
        <w:br/>
      </w:r>
      <w:r w:rsidRPr="004C7ECE">
        <w:rPr>
          <w:b/>
          <w:bCs/>
        </w:rPr>
        <w:t>follow-up to the Durban Declaration and Programme of Action</w:t>
      </w:r>
    </w:p>
    <w:p w14:paraId="78BE553C" w14:textId="7F8C7F47" w:rsidR="00230601" w:rsidRDefault="00230601" w:rsidP="00230601">
      <w:pPr>
        <w:pStyle w:val="HChG"/>
      </w:pPr>
      <w:r>
        <w:tab/>
      </w:r>
      <w:r>
        <w:tab/>
      </w:r>
      <w:r w:rsidR="0081393B">
        <w:t>C</w:t>
      </w:r>
      <w:r>
        <w:t>ontemporary forms of racism, racial discrimination, xenophobia and related intolerance</w:t>
      </w:r>
    </w:p>
    <w:p w14:paraId="545EC5F7" w14:textId="3163D467" w:rsidR="00230601" w:rsidRDefault="00230601" w:rsidP="00230601">
      <w:pPr>
        <w:pStyle w:val="H1G"/>
        <w:rPr>
          <w:lang w:val="en-TT"/>
        </w:rPr>
      </w:pPr>
      <w:r>
        <w:rPr>
          <w:lang w:val="en-TT"/>
        </w:rPr>
        <w:tab/>
      </w:r>
      <w:r>
        <w:rPr>
          <w:lang w:val="en-TT"/>
        </w:rPr>
        <w:tab/>
      </w:r>
      <w:r w:rsidRPr="00230601">
        <w:rPr>
          <w:lang w:val="en-TT"/>
        </w:rPr>
        <w:t>Note by the Secretary-General</w:t>
      </w:r>
      <w:r w:rsidR="00C150E9" w:rsidRPr="00C150E9">
        <w:rPr>
          <w:rStyle w:val="FootnoteReference"/>
          <w:sz w:val="20"/>
          <w:vertAlign w:val="baseline"/>
          <w:lang w:val="en-TT"/>
        </w:rPr>
        <w:footnoteReference w:customMarkFollows="1" w:id="3"/>
        <w:t>**</w:t>
      </w:r>
    </w:p>
    <w:p w14:paraId="40E6EE08" w14:textId="76467FBF" w:rsidR="00230601" w:rsidRDefault="00230601">
      <w:pPr>
        <w:suppressAutoHyphens w:val="0"/>
        <w:spacing w:line="240" w:lineRule="auto"/>
        <w:rPr>
          <w:lang w:val="en-TT"/>
        </w:rPr>
      </w:pPr>
      <w:r>
        <w:rPr>
          <w:lang w:val="en-TT"/>
        </w:rPr>
        <w:br w:type="page"/>
      </w:r>
    </w:p>
    <w:p w14:paraId="099FB03C" w14:textId="34CACF2C" w:rsidR="00230601" w:rsidRDefault="00230601" w:rsidP="00230601">
      <w:pPr>
        <w:pStyle w:val="HChG"/>
      </w:pPr>
      <w:r>
        <w:lastRenderedPageBreak/>
        <w:tab/>
      </w:r>
      <w:r>
        <w:tab/>
        <w:t>Report of the Special Rapporteur on contemporary forms of racism, racial discrimination, xenophobia and related intolerance</w:t>
      </w:r>
    </w:p>
    <w:p w14:paraId="76BCB8F5" w14:textId="77777777" w:rsidR="00452618" w:rsidRDefault="00452618" w:rsidP="00452618">
      <w:pPr>
        <w:spacing w:after="120"/>
        <w:rPr>
          <w:sz w:val="28"/>
        </w:rPr>
      </w:pPr>
      <w:r>
        <w:rPr>
          <w:sz w:val="28"/>
        </w:rPr>
        <w:t>Contents</w:t>
      </w:r>
    </w:p>
    <w:p w14:paraId="411074AF" w14:textId="77777777" w:rsidR="00452618" w:rsidRDefault="00452618" w:rsidP="00452618">
      <w:pPr>
        <w:tabs>
          <w:tab w:val="right" w:pos="9638"/>
        </w:tabs>
        <w:spacing w:after="120"/>
        <w:ind w:left="283"/>
        <w:rPr>
          <w:sz w:val="18"/>
        </w:rPr>
      </w:pPr>
      <w:r>
        <w:rPr>
          <w:i/>
          <w:sz w:val="18"/>
        </w:rPr>
        <w:tab/>
        <w:t>Page</w:t>
      </w:r>
    </w:p>
    <w:p w14:paraId="2F5923C9" w14:textId="77777777" w:rsidR="00452618" w:rsidRDefault="00452618" w:rsidP="00452618">
      <w:pPr>
        <w:numPr>
          <w:ilvl w:val="0"/>
          <w:numId w:val="9"/>
        </w:numPr>
        <w:tabs>
          <w:tab w:val="right" w:pos="850"/>
          <w:tab w:val="left" w:pos="1134"/>
          <w:tab w:val="left" w:pos="1559"/>
          <w:tab w:val="left" w:pos="1984"/>
          <w:tab w:val="left" w:leader="dot" w:pos="8929"/>
          <w:tab w:val="right" w:pos="9638"/>
        </w:tabs>
        <w:spacing w:after="120"/>
      </w:pPr>
      <w:r w:rsidRPr="009008CC">
        <w:t>Introduction</w:t>
      </w:r>
      <w:r w:rsidRPr="009008CC">
        <w:tab/>
      </w:r>
      <w:r w:rsidRPr="009008CC">
        <w:tab/>
      </w:r>
      <w:r>
        <w:t>3</w:t>
      </w:r>
    </w:p>
    <w:p w14:paraId="09BE9111" w14:textId="5FC0F11B" w:rsidR="00452618" w:rsidRPr="002D0FA5" w:rsidRDefault="002128B5" w:rsidP="00452618">
      <w:pPr>
        <w:numPr>
          <w:ilvl w:val="0"/>
          <w:numId w:val="9"/>
        </w:numPr>
        <w:tabs>
          <w:tab w:val="right" w:pos="850"/>
          <w:tab w:val="left" w:pos="1134"/>
          <w:tab w:val="left" w:pos="1559"/>
          <w:tab w:val="left" w:pos="1984"/>
          <w:tab w:val="left" w:leader="dot" w:pos="8929"/>
          <w:tab w:val="right" w:pos="9638"/>
        </w:tabs>
        <w:spacing w:after="120"/>
      </w:pPr>
      <w:r w:rsidRPr="002128B5">
        <w:rPr>
          <w:bCs/>
        </w:rPr>
        <w:t>Summary of activities</w:t>
      </w:r>
      <w:r w:rsidR="00452618" w:rsidRPr="00541EDA">
        <w:rPr>
          <w:bCs/>
        </w:rPr>
        <w:tab/>
      </w:r>
      <w:r w:rsidR="00452618">
        <w:rPr>
          <w:bCs/>
        </w:rPr>
        <w:tab/>
        <w:t>3</w:t>
      </w:r>
    </w:p>
    <w:p w14:paraId="6ECFF1BE" w14:textId="6AB9F8CB" w:rsidR="00452618" w:rsidRDefault="002128B5" w:rsidP="00452618">
      <w:pPr>
        <w:numPr>
          <w:ilvl w:val="0"/>
          <w:numId w:val="9"/>
        </w:numPr>
        <w:tabs>
          <w:tab w:val="right" w:pos="850"/>
          <w:tab w:val="left" w:pos="1134"/>
          <w:tab w:val="left" w:pos="1559"/>
          <w:tab w:val="left" w:pos="1984"/>
          <w:tab w:val="left" w:leader="dot" w:pos="8929"/>
          <w:tab w:val="right" w:pos="9638"/>
        </w:tabs>
        <w:spacing w:after="120"/>
        <w:rPr>
          <w:bCs/>
        </w:rPr>
      </w:pPr>
      <w:r w:rsidRPr="002128B5">
        <w:t>Online racist hate speech -a global phenomenon</w:t>
      </w:r>
      <w:r w:rsidR="00452618" w:rsidRPr="002D0FA5">
        <w:rPr>
          <w:bCs/>
        </w:rPr>
        <w:tab/>
      </w:r>
      <w:r w:rsidR="00452618" w:rsidRPr="002D0FA5">
        <w:rPr>
          <w:bCs/>
        </w:rPr>
        <w:tab/>
      </w:r>
      <w:r>
        <w:rPr>
          <w:bCs/>
        </w:rPr>
        <w:t>4</w:t>
      </w:r>
    </w:p>
    <w:p w14:paraId="3A7A0B8C" w14:textId="59CAB041" w:rsidR="00452618" w:rsidRDefault="002128B5" w:rsidP="00452618">
      <w:pPr>
        <w:numPr>
          <w:ilvl w:val="0"/>
          <w:numId w:val="9"/>
        </w:numPr>
        <w:tabs>
          <w:tab w:val="right" w:pos="850"/>
          <w:tab w:val="left" w:pos="1134"/>
          <w:tab w:val="left" w:pos="1559"/>
          <w:tab w:val="left" w:pos="1984"/>
          <w:tab w:val="left" w:leader="dot" w:pos="8929"/>
          <w:tab w:val="right" w:pos="9638"/>
        </w:tabs>
        <w:spacing w:after="120"/>
      </w:pPr>
      <w:r w:rsidRPr="002128B5">
        <w:rPr>
          <w:bCs/>
        </w:rPr>
        <w:t>Online racist hate speech and relevant international human rights standards</w:t>
      </w:r>
      <w:r w:rsidR="00452618" w:rsidRPr="002D0FA5">
        <w:tab/>
      </w:r>
      <w:r w:rsidR="00452618" w:rsidRPr="002D0FA5">
        <w:tab/>
      </w:r>
      <w:r>
        <w:t>9</w:t>
      </w:r>
    </w:p>
    <w:p w14:paraId="7719C7B5" w14:textId="660E8859" w:rsidR="00452618" w:rsidRDefault="002128B5" w:rsidP="00452618">
      <w:pPr>
        <w:numPr>
          <w:ilvl w:val="0"/>
          <w:numId w:val="9"/>
        </w:numPr>
        <w:tabs>
          <w:tab w:val="right" w:pos="850"/>
          <w:tab w:val="left" w:pos="1134"/>
          <w:tab w:val="left" w:pos="1559"/>
          <w:tab w:val="left" w:pos="1984"/>
          <w:tab w:val="left" w:leader="dot" w:pos="8929"/>
          <w:tab w:val="right" w:pos="9638"/>
        </w:tabs>
        <w:spacing w:after="120"/>
        <w:rPr>
          <w:bCs/>
        </w:rPr>
      </w:pPr>
      <w:r w:rsidRPr="002128B5">
        <w:t>Challenges in addressing online racist hate speech</w:t>
      </w:r>
      <w:r w:rsidR="00452618" w:rsidRPr="002D0FA5">
        <w:rPr>
          <w:bCs/>
        </w:rPr>
        <w:tab/>
      </w:r>
      <w:r w:rsidR="00452618" w:rsidRPr="002D0FA5">
        <w:rPr>
          <w:bCs/>
        </w:rPr>
        <w:tab/>
        <w:t>1</w:t>
      </w:r>
      <w:r>
        <w:rPr>
          <w:bCs/>
        </w:rPr>
        <w:t>3</w:t>
      </w:r>
    </w:p>
    <w:p w14:paraId="5691A31C" w14:textId="3C6455BB" w:rsidR="0091494A" w:rsidRPr="0091494A" w:rsidRDefault="0091494A" w:rsidP="00452618">
      <w:pPr>
        <w:numPr>
          <w:ilvl w:val="0"/>
          <w:numId w:val="9"/>
        </w:numPr>
        <w:tabs>
          <w:tab w:val="right" w:pos="850"/>
          <w:tab w:val="left" w:pos="1134"/>
          <w:tab w:val="left" w:pos="1559"/>
          <w:tab w:val="left" w:pos="1984"/>
          <w:tab w:val="left" w:leader="dot" w:pos="8929"/>
          <w:tab w:val="right" w:pos="9638"/>
        </w:tabs>
        <w:spacing w:after="120"/>
      </w:pPr>
      <w:r w:rsidRPr="0091494A">
        <w:t>Conclusions and recommendations</w:t>
      </w:r>
      <w:r w:rsidRPr="0091494A">
        <w:tab/>
      </w:r>
      <w:r w:rsidRPr="0091494A">
        <w:tab/>
        <w:t>17</w:t>
      </w:r>
    </w:p>
    <w:p w14:paraId="32DC2077" w14:textId="3E3A2111" w:rsidR="00452618" w:rsidRDefault="00452618">
      <w:pPr>
        <w:suppressAutoHyphens w:val="0"/>
        <w:spacing w:line="240" w:lineRule="auto"/>
      </w:pPr>
      <w:r>
        <w:br w:type="page"/>
      </w:r>
    </w:p>
    <w:p w14:paraId="3C1DCEB0" w14:textId="3598A114" w:rsidR="00452618" w:rsidRPr="00452618" w:rsidRDefault="00B606B5" w:rsidP="00B606B5">
      <w:pPr>
        <w:pStyle w:val="HChG"/>
      </w:pPr>
      <w:r>
        <w:lastRenderedPageBreak/>
        <w:tab/>
        <w:t>I.</w:t>
      </w:r>
      <w:r>
        <w:tab/>
      </w:r>
      <w:r w:rsidR="00452618" w:rsidRPr="00452618">
        <w:t xml:space="preserve">Introduction </w:t>
      </w:r>
    </w:p>
    <w:p w14:paraId="5E8F1877" w14:textId="2FCA9A8F" w:rsidR="00452618" w:rsidRPr="00452618" w:rsidRDefault="00B606B5" w:rsidP="00452618">
      <w:pPr>
        <w:pStyle w:val="SingleTxtG"/>
      </w:pPr>
      <w:r>
        <w:t>1.</w:t>
      </w:r>
      <w:r>
        <w:tab/>
      </w:r>
      <w:r w:rsidR="00452618" w:rsidRPr="00452618">
        <w:t xml:space="preserve">The present report is submitted pursuant to Human Rights Council resolution 52/36, in which the Council requested the Special Rapporteur to submit to an annual report to the General Assembly. The Special Rapporteur’s report addresses the issue of online racist hate speech.  </w:t>
      </w:r>
    </w:p>
    <w:p w14:paraId="32AA87F7" w14:textId="5EB982D9" w:rsidR="00452618" w:rsidRPr="00452618" w:rsidRDefault="00B606B5" w:rsidP="00452618">
      <w:pPr>
        <w:pStyle w:val="SingleTxtG"/>
      </w:pPr>
      <w:r>
        <w:t>2.</w:t>
      </w:r>
      <w:r>
        <w:tab/>
      </w:r>
      <w:r w:rsidR="00452618" w:rsidRPr="00452618">
        <w:t xml:space="preserve">To inform the report, the Special Rapporteur Ms Ashwini K.P published a call for submissions from States and other stakeholders including civil society organizations, academic institutions, United Nations entities and national human rights institutions. The Special Rapporteur is grateful to all those who submitted the inputs requested. She has drawn upon the extensive inputs that she received in the preparation of the report and remains open to an ongoing dialogue with all relevant stakeholders on this important issue. The focus of this report is on global trends and relevant international human rights law standards and the corresponding duties of States and other actors with regards to preventing and addressing online racist hate speech. </w:t>
      </w:r>
    </w:p>
    <w:p w14:paraId="532ED670" w14:textId="020F391D" w:rsidR="00452618" w:rsidRPr="00452618" w:rsidRDefault="00FA0E7F" w:rsidP="00452618">
      <w:pPr>
        <w:pStyle w:val="SingleTxtG"/>
      </w:pPr>
      <w:r>
        <w:t>3.</w:t>
      </w:r>
      <w:r>
        <w:tab/>
      </w:r>
      <w:r w:rsidR="00452618" w:rsidRPr="00452618">
        <w:t xml:space="preserve">The Special Rapporteur’s report on online racist hate speech is aligned with her strategic focus on analysis of the nexus between digital technologies and contemporary forms of racism, racial discrimination, xenophobia, and related intolerance. The Special Rapporteur takes note of information provided in some of the submissions about forms of online racism, algorithm bias and other issues relating to human rights in the digital space falling outside the direct scope of </w:t>
      </w:r>
      <w:r w:rsidR="00DA1739">
        <w:t>the report</w:t>
      </w:r>
      <w:r w:rsidR="00452618" w:rsidRPr="00452618">
        <w:t xml:space="preserve">. Whilst recognising the interconnectedness of different issues relating to digital technology and equality and non-discrimination, not all issues included in the submissions received will be able to be addressed within this report due to limitations of scope and space. The Special Rapporteur may draw upon such information to inform future work on digital technologies and contemporary forms of racism, racial discrimination, xenophobia and related intolerance. </w:t>
      </w:r>
    </w:p>
    <w:p w14:paraId="46E55A02" w14:textId="14DA22F3" w:rsidR="00452618" w:rsidRPr="00452618" w:rsidRDefault="00FA0E7F" w:rsidP="00452618">
      <w:pPr>
        <w:pStyle w:val="SingleTxtG"/>
      </w:pPr>
      <w:r>
        <w:t>4.</w:t>
      </w:r>
      <w:r>
        <w:tab/>
      </w:r>
      <w:r w:rsidR="00452618" w:rsidRPr="00452618">
        <w:t xml:space="preserve">In the present report, the Special Rapporteur summarizes the activities that she has undertaken since the commencement of her tenure on 1 November 2022. She subsequently outlines an analysis of the different manifestations and consequences of online racist hate speech. The Special Rapporteur subsequently provides an overview of the international legal framework as it relates to online racist hate speech and articulates the corresponding responsibilities of States and companies. She then analyses some of the challenges faced in preventing and addressing online racist hate speech. Finally, the Special Rapporteur presents her conclusions and recommendations on how States and other stakeholders. </w:t>
      </w:r>
    </w:p>
    <w:p w14:paraId="67BAD7F7" w14:textId="640B26C7" w:rsidR="00452618" w:rsidRPr="00452618" w:rsidRDefault="008A4E1B" w:rsidP="008A4E1B">
      <w:pPr>
        <w:pStyle w:val="HChG"/>
      </w:pPr>
      <w:r>
        <w:tab/>
      </w:r>
      <w:r w:rsidR="00452618" w:rsidRPr="00452618">
        <w:t>II.</w:t>
      </w:r>
      <w:r>
        <w:tab/>
      </w:r>
      <w:r>
        <w:tab/>
      </w:r>
      <w:r w:rsidR="00452618" w:rsidRPr="00452618">
        <w:t>Summary of activities</w:t>
      </w:r>
    </w:p>
    <w:p w14:paraId="05FC0563" w14:textId="09B41567" w:rsidR="00452618" w:rsidRPr="00452618" w:rsidRDefault="009153C9" w:rsidP="00452618">
      <w:pPr>
        <w:pStyle w:val="SingleTxtG"/>
      </w:pPr>
      <w:r>
        <w:t>5.</w:t>
      </w:r>
      <w:r>
        <w:tab/>
      </w:r>
      <w:r w:rsidR="00452618" w:rsidRPr="00452618">
        <w:t xml:space="preserve">The Special Rapporteur on contemporary forms of racism, racial discrimination, xenophobia and related intolerance was appointed by the Human Rights Council in October 2022, during its fifty-first session. She is the sixth Special Rapporteur appointed under the mandate. She took up her functions on 1 November 2022. </w:t>
      </w:r>
    </w:p>
    <w:p w14:paraId="133DC0FD" w14:textId="2583439A" w:rsidR="009153C9" w:rsidRPr="00452618" w:rsidRDefault="009153C9" w:rsidP="009153C9">
      <w:pPr>
        <w:pStyle w:val="SingleTxtG"/>
      </w:pPr>
      <w:r>
        <w:t>6.</w:t>
      </w:r>
      <w:r>
        <w:tab/>
      </w:r>
      <w:r w:rsidR="00452618" w:rsidRPr="00452618">
        <w:t>Since the beginning of her tenure, the Special Rapporteur has attended several international events and conferences. In December 2022, she attended the inaugural meeting of the Permanent Forum on People of African Descent in Geneva, where she gave a presentation on the racialized causes and consequences of the climate crisis. In the same month, she spoke at the eleventh Forum on Business and Human Rights and met with the Committee on the Elimination of Racial Discrimination during its 108th session</w:t>
      </w:r>
      <w:r w:rsidR="0041412D">
        <w:t xml:space="preserve">. </w:t>
      </w:r>
      <w:r w:rsidR="00452618" w:rsidRPr="00452618">
        <w:t>In March 2023, the Special Rapporteur attended the eleventh national conference on non-discrimination, in Malaysia, which was focused on the impact of the Internet on racism and racial discrimination. In August 2023, the Special Rapporteur took part in the 9</w:t>
      </w:r>
      <w:r w:rsidR="00452618" w:rsidRPr="00452618">
        <w:rPr>
          <w:vertAlign w:val="superscript"/>
        </w:rPr>
        <w:t>th</w:t>
      </w:r>
      <w:r w:rsidR="00452618" w:rsidRPr="00452618">
        <w:t xml:space="preserve"> annual meeting of the Group of Independent Eminent Experts on the Implementation of the Durban Declaration and Programme of Action.</w:t>
      </w:r>
    </w:p>
    <w:p w14:paraId="07253CD0" w14:textId="5E1A1324" w:rsidR="00452618" w:rsidRPr="00452618" w:rsidRDefault="009153C9" w:rsidP="00452618">
      <w:pPr>
        <w:pStyle w:val="SingleTxtG"/>
      </w:pPr>
      <w:r>
        <w:t>7.</w:t>
      </w:r>
      <w:r>
        <w:tab/>
      </w:r>
      <w:r w:rsidR="00452618" w:rsidRPr="00452618">
        <w:t xml:space="preserve">The Special Rapporteur presented to the Human Rights Council for the first time in July 2023. She presented a report on trends in the glorification of Nazism, pursuant to General </w:t>
      </w:r>
      <w:r w:rsidR="00452618" w:rsidRPr="00452618">
        <w:lastRenderedPageBreak/>
        <w:t>Assembly resolution 77/204. The Special Rapporteur also presented her first thematic report to the Human Rights Council, outlining her strategic vision and initial priorities.</w:t>
      </w:r>
      <w:r w:rsidR="00452618" w:rsidRPr="00452618">
        <w:rPr>
          <w:vertAlign w:val="superscript"/>
        </w:rPr>
        <w:footnoteReference w:id="4"/>
      </w:r>
    </w:p>
    <w:p w14:paraId="3A9AB920" w14:textId="3A58BB85" w:rsidR="00452618" w:rsidRPr="00452618" w:rsidRDefault="008A4E1B" w:rsidP="008A4E1B">
      <w:pPr>
        <w:pStyle w:val="HChG"/>
      </w:pPr>
      <w:r>
        <w:tab/>
      </w:r>
      <w:r w:rsidR="00452618" w:rsidRPr="00452618">
        <w:t>III.</w:t>
      </w:r>
      <w:r>
        <w:tab/>
      </w:r>
      <w:r>
        <w:tab/>
      </w:r>
      <w:bookmarkStart w:id="0" w:name="_Hlk148440062"/>
      <w:r w:rsidR="00452618" w:rsidRPr="00452618">
        <w:t xml:space="preserve">Online racist hate speech -a global phenomenon </w:t>
      </w:r>
      <w:bookmarkEnd w:id="0"/>
    </w:p>
    <w:p w14:paraId="5CBCD7FD" w14:textId="6F7A5737" w:rsidR="00452618" w:rsidRPr="00452618" w:rsidRDefault="009153C9" w:rsidP="0041032A">
      <w:pPr>
        <w:pStyle w:val="SingleTxtG"/>
      </w:pPr>
      <w:r>
        <w:t>8.</w:t>
      </w:r>
      <w:r>
        <w:tab/>
      </w:r>
      <w:r w:rsidR="00452618" w:rsidRPr="00452618">
        <w:t>The advent of multiple digital platforms with global reach, including social media platforms and communication applications, has caused a seismic shift in the way that people live their everyday lives, interact with others, and share information.</w:t>
      </w:r>
      <w:r w:rsidR="00452618" w:rsidRPr="00452618">
        <w:rPr>
          <w:vertAlign w:val="superscript"/>
        </w:rPr>
        <w:footnoteReference w:id="5"/>
      </w:r>
      <w:r w:rsidR="00452618" w:rsidRPr="00452618">
        <w:t xml:space="preserve"> Information received by the Special Rapporteur suggests that over half the world’s population uses social media.</w:t>
      </w:r>
      <w:r w:rsidR="00452618" w:rsidRPr="00452618">
        <w:rPr>
          <w:vertAlign w:val="superscript"/>
        </w:rPr>
        <w:footnoteReference w:id="6"/>
      </w:r>
      <w:r w:rsidR="00452618" w:rsidRPr="00452618">
        <w:t xml:space="preserve"> Whilst many positive benefits of these digital platforms for individuals and groups affected by racism, racial discrimination, xenophobia and related intolerance can be identified</w:t>
      </w:r>
      <w:r w:rsidR="00452618" w:rsidRPr="00452618">
        <w:rPr>
          <w:vertAlign w:val="superscript"/>
        </w:rPr>
        <w:footnoteReference w:id="7"/>
      </w:r>
      <w:r w:rsidR="00452618" w:rsidRPr="00452618">
        <w:t xml:space="preserve">, </w:t>
      </w:r>
      <w:bookmarkStart w:id="1" w:name="_Hlk146990354"/>
      <w:r w:rsidR="00452618" w:rsidRPr="00452618">
        <w:t>they also have the capacity to compound existing societal inequities many of which exist along racial and ethnic grounds.</w:t>
      </w:r>
      <w:r w:rsidR="00452618" w:rsidRPr="00452618">
        <w:rPr>
          <w:vertAlign w:val="superscript"/>
        </w:rPr>
        <w:footnoteReference w:id="8"/>
      </w:r>
      <w:r w:rsidR="00452618" w:rsidRPr="00452618">
        <w:t xml:space="preserve"> </w:t>
      </w:r>
    </w:p>
    <w:bookmarkEnd w:id="1"/>
    <w:p w14:paraId="53B6FD2B" w14:textId="37C53E1E" w:rsidR="00452618" w:rsidRPr="00452618" w:rsidRDefault="009153C9" w:rsidP="0041032A">
      <w:pPr>
        <w:pStyle w:val="SingleTxtG"/>
      </w:pPr>
      <w:r>
        <w:t>9.</w:t>
      </w:r>
      <w:r>
        <w:tab/>
      </w:r>
      <w:r w:rsidR="00452618" w:rsidRPr="00452618">
        <w:t>Social media sites and communication applications give an unprecedented platform for the dissemination of different forms of communication and materials, such as text, images, animations, music and videos, often referred to as content. Much of the material shared online is innocuous. However, some such materials constitute racist hate speech, with real, in the most serious cases</w:t>
      </w:r>
      <w:r w:rsidR="0095294A">
        <w:t>,</w:t>
      </w:r>
      <w:r w:rsidR="00452618" w:rsidRPr="00452618">
        <w:t xml:space="preserve"> life and death, consequences for targeted individuals and groups. </w:t>
      </w:r>
    </w:p>
    <w:p w14:paraId="2E1B48EB" w14:textId="32880037" w:rsidR="00452618" w:rsidRPr="00452618" w:rsidRDefault="009153C9" w:rsidP="0041032A">
      <w:pPr>
        <w:pStyle w:val="SingleTxtG"/>
      </w:pPr>
      <w:r>
        <w:t>10.</w:t>
      </w:r>
      <w:r>
        <w:tab/>
      </w:r>
      <w:r w:rsidR="00452618" w:rsidRPr="00452618">
        <w:t xml:space="preserve">The Special Rapporteur will present a working definition of online racist hate speech, describe manifestations of online racist hate speech, reference the nexus between hate speech and disinformation and misinformation, and analyse some of the actors involved in the dissemination of online racist hate speech. Subsequently, the Special Rapporteur will express her concern about the rapid and wide-reaching spread of online racist hate speech and describe the negative consequences of the phenomenon. </w:t>
      </w:r>
    </w:p>
    <w:p w14:paraId="67C9213B" w14:textId="31C7D5A2" w:rsidR="00452618" w:rsidRPr="00452618" w:rsidRDefault="008A4E1B" w:rsidP="008A4E1B">
      <w:pPr>
        <w:pStyle w:val="H4G"/>
      </w:pPr>
      <w:r>
        <w:tab/>
      </w:r>
      <w:r>
        <w:tab/>
      </w:r>
      <w:r w:rsidR="00452618" w:rsidRPr="00452618">
        <w:t>Defining online racist hate speech</w:t>
      </w:r>
    </w:p>
    <w:p w14:paraId="2A0CC7AD" w14:textId="7AE8CE04" w:rsidR="00452618" w:rsidRPr="00452618" w:rsidRDefault="009153C9" w:rsidP="0041032A">
      <w:pPr>
        <w:pStyle w:val="SingleTxtG"/>
      </w:pPr>
      <w:r>
        <w:t>11.</w:t>
      </w:r>
      <w:r>
        <w:tab/>
      </w:r>
      <w:r w:rsidR="00452618" w:rsidRPr="00452618">
        <w:t>Whilst noting the lack of a precise and internationally agreed definition of online hate speech within human rights law treaties, the Special Rapporteur draws on elements in the UN Strategy and Action Plan on hate speech and other international standards to suggest a working definition of online racist hate speech for the purpose of this report.</w:t>
      </w:r>
    </w:p>
    <w:p w14:paraId="4754F943" w14:textId="331AB052" w:rsidR="00452618" w:rsidRPr="00452618" w:rsidRDefault="009153C9" w:rsidP="0041032A">
      <w:pPr>
        <w:pStyle w:val="SingleTxtG"/>
      </w:pPr>
      <w:r>
        <w:t>12.</w:t>
      </w:r>
      <w:r>
        <w:tab/>
      </w:r>
      <w:r w:rsidR="00452618" w:rsidRPr="00452618">
        <w:t>The Special Rapporteur finds the way in which hate speech is understood within the UN Strategy and Action Plan helpful. The Strategy and Action Plan understands hate speech as “any kind of communication in speech, writing or behaviour that attacks or uses pejorative or discriminatory language with a reference to a person or a group on the basis of who they are, in other words based on their religion, ethnicity, race, colour, descent, gender or other identify factor”.</w:t>
      </w:r>
      <w:r w:rsidR="00452618" w:rsidRPr="00452618">
        <w:rPr>
          <w:vertAlign w:val="superscript"/>
        </w:rPr>
        <w:footnoteReference w:id="9"/>
      </w:r>
      <w:r w:rsidR="00452618" w:rsidRPr="00452618">
        <w:t xml:space="preserve"> The Special Rapporteur also refers to the Committee on the Elimination of Racial Discrimination’s General recommendation No.35 on Combating racist hate speech. The General recommendation clarifies that hate speech can include all the specific speech forms referred to article 4 of the Convention on the Elimination of All Forms of Racial Discrimination</w:t>
      </w:r>
      <w:r w:rsidR="00452618" w:rsidRPr="00452618">
        <w:rPr>
          <w:vertAlign w:val="superscript"/>
        </w:rPr>
        <w:footnoteReference w:id="10"/>
      </w:r>
      <w:r w:rsidR="00452618" w:rsidRPr="00452618">
        <w:t xml:space="preserve"> and can be directed towards all groups protected under article 1 of the Convention.</w:t>
      </w:r>
      <w:r w:rsidR="00452618" w:rsidRPr="00452618">
        <w:rPr>
          <w:vertAlign w:val="superscript"/>
        </w:rPr>
        <w:footnoteReference w:id="11"/>
      </w:r>
      <w:r w:rsidR="00452618" w:rsidRPr="00452618">
        <w:t xml:space="preserve"> To define the most serious forms of racist hate speech the Special Rapporteur refers to article 20 of the International Covenant on Civil and Political Rights, which prohibits any advocacy of national, racial or religious hatred that constitutes incitement to </w:t>
      </w:r>
      <w:r w:rsidR="00452618" w:rsidRPr="00452618">
        <w:lastRenderedPageBreak/>
        <w:t xml:space="preserve">discrimination, hostility or violence. The Special Rapporteur interprets these elements as applying within an online context. </w:t>
      </w:r>
    </w:p>
    <w:p w14:paraId="21EB48C6" w14:textId="3AFE680D" w:rsidR="00452618" w:rsidRPr="00452618" w:rsidRDefault="008A4E1B" w:rsidP="008A4E1B">
      <w:pPr>
        <w:pStyle w:val="H4G"/>
      </w:pPr>
      <w:r>
        <w:tab/>
      </w:r>
      <w:r>
        <w:tab/>
      </w:r>
      <w:r w:rsidR="00452618" w:rsidRPr="00452618">
        <w:t xml:space="preserve">Manifestations of online racist hate speech </w:t>
      </w:r>
    </w:p>
    <w:p w14:paraId="5A5387B4" w14:textId="507F9535" w:rsidR="00452618" w:rsidRPr="00452618" w:rsidRDefault="009153C9" w:rsidP="0041032A">
      <w:pPr>
        <w:pStyle w:val="SingleTxtG"/>
      </w:pPr>
      <w:r>
        <w:t>13.</w:t>
      </w:r>
      <w:r>
        <w:tab/>
      </w:r>
      <w:r w:rsidR="00452618" w:rsidRPr="00452618">
        <w:t>Online racist hate speech can manifest in various forms, including online racism and hatred based on race, colour, descent, national origin, ethnic origin and/or religion in cases where persons belonging to certain ethnic groups profess or practice a religion different from the majority.</w:t>
      </w:r>
      <w:r w:rsidR="00452618" w:rsidRPr="00452618">
        <w:rPr>
          <w:vertAlign w:val="superscript"/>
        </w:rPr>
        <w:footnoteReference w:id="12"/>
      </w:r>
      <w:r w:rsidR="00452618" w:rsidRPr="00452618">
        <w:t xml:space="preserve"> Within the submissions to inform this report, the Special Rapporteur received reports about the targeting of multiple groups falling under her mandate, such as people, including women, of African descent; indigenous peoples; migrants, including refugees and asylum seekers; Asian</w:t>
      </w:r>
      <w:r w:rsidR="00552D31">
        <w:t xml:space="preserve"> individuals</w:t>
      </w:r>
      <w:r w:rsidR="00452618" w:rsidRPr="00452618">
        <w:t xml:space="preserve">; Jewish communities; Muslim communities; those from oppressed castes; indigenous peoples; Roma persons; and Palestinian persons. Online hate speech is often based on the “othering” of those perceived to be different and may target individuals and groups on multiple grounds. Submissions received by the Special Rapporteur to inform this report </w:t>
      </w:r>
      <w:bookmarkStart w:id="2" w:name="_Hlk146970112"/>
      <w:r w:rsidR="00452618" w:rsidRPr="00452618">
        <w:t>indicated that online racist hate speech is often deeply interconnected with other forms of online hate speech, including based on gender, LGBTI status and/or disability</w:t>
      </w:r>
      <w:bookmarkEnd w:id="2"/>
      <w:r w:rsidR="00452618" w:rsidRPr="00452618">
        <w:t>.</w:t>
      </w:r>
      <w:r w:rsidR="00452618" w:rsidRPr="00452618">
        <w:rPr>
          <w:vertAlign w:val="superscript"/>
        </w:rPr>
        <w:footnoteReference w:id="13"/>
      </w:r>
      <w:r w:rsidR="00452618" w:rsidRPr="00452618">
        <w:t xml:space="preserve"> </w:t>
      </w:r>
    </w:p>
    <w:p w14:paraId="5189F1EF" w14:textId="0EA88E10" w:rsidR="00452618" w:rsidRPr="00452618" w:rsidRDefault="009153C9" w:rsidP="0041032A">
      <w:pPr>
        <w:pStyle w:val="SingleTxtG"/>
      </w:pPr>
      <w:r>
        <w:t>14.</w:t>
      </w:r>
      <w:r>
        <w:tab/>
      </w:r>
      <w:r w:rsidR="00452618" w:rsidRPr="00452618">
        <w:t>Online racist hate speech occurs in the context of online communication and the sharing of materials on digital platforms. It can include the sharing of racist imagery, including through “memes”, manipulated images, and/or videos, which promote stereotypes and spread hatred towards members of groups most vulnerable to racial discrimination. Online racist hate speech can also involve racially discriminatory comments by users of digital platforms, the dissemination of racist conspiracy theories targeting specific racial or ethnic groups, including through online news sites.</w:t>
      </w:r>
      <w:r w:rsidR="00452618" w:rsidRPr="00452618">
        <w:rPr>
          <w:vertAlign w:val="superscript"/>
        </w:rPr>
        <w:footnoteReference w:id="14"/>
      </w:r>
      <w:r w:rsidR="00452618" w:rsidRPr="00452618">
        <w:t xml:space="preserve"> It can include attacks or the use of pejorative or discriminatory language relating to extremism; accelerationist ideologies; white supremist ideas; and the glorification of terrorist activities targeting members of racial or ethnic groups.</w:t>
      </w:r>
      <w:r w:rsidR="00452618" w:rsidRPr="00452618">
        <w:rPr>
          <w:vertAlign w:val="superscript"/>
        </w:rPr>
        <w:footnoteReference w:id="15"/>
      </w:r>
      <w:r w:rsidR="00452618" w:rsidRPr="00452618">
        <w:t xml:space="preserve"> Online racist hate speech often dehumanises people belonging to racial and ethnic groups and scapegoats them for real or perceived societal problems.</w:t>
      </w:r>
      <w:r w:rsidR="00452618" w:rsidRPr="00452618">
        <w:rPr>
          <w:vertAlign w:val="superscript"/>
        </w:rPr>
        <w:footnoteReference w:id="16"/>
      </w:r>
      <w:r w:rsidR="00452618" w:rsidRPr="00452618">
        <w:t xml:space="preserve"> The originators and disseminators of online racist hate speech are sometimes anonymous and the targeting of individuals from racial and ethnic groups can involve bots, fake profiles and online mob attacks, whereby multiple users attack the same target.</w:t>
      </w:r>
      <w:r w:rsidR="00452618" w:rsidRPr="00452618">
        <w:rPr>
          <w:vertAlign w:val="superscript"/>
        </w:rPr>
        <w:footnoteReference w:id="17"/>
      </w:r>
      <w:r w:rsidR="00452618" w:rsidRPr="00452618">
        <w:t xml:space="preserve"> </w:t>
      </w:r>
    </w:p>
    <w:p w14:paraId="34134D18" w14:textId="68D3E058" w:rsidR="00452618" w:rsidRPr="00452618" w:rsidRDefault="009153C9" w:rsidP="0041032A">
      <w:pPr>
        <w:pStyle w:val="SingleTxtG"/>
      </w:pPr>
      <w:r>
        <w:t>15.</w:t>
      </w:r>
      <w:r>
        <w:tab/>
      </w:r>
      <w:r w:rsidR="00452618" w:rsidRPr="00452618">
        <w:t xml:space="preserve">These different manifestations of racist hate speech can occur in a range of online spaces, including social media platforms, chat forums and group chats on communication applications. The Special Rapporteur also received </w:t>
      </w:r>
      <w:r w:rsidR="00E70EC3">
        <w:t>information</w:t>
      </w:r>
      <w:r w:rsidR="00452618" w:rsidRPr="00452618">
        <w:t xml:space="preserve"> about the existence of racist hate speech in online gaming environments.</w:t>
      </w:r>
      <w:r w:rsidR="00452618" w:rsidRPr="00452618">
        <w:rPr>
          <w:vertAlign w:val="superscript"/>
        </w:rPr>
        <w:footnoteReference w:id="18"/>
      </w:r>
      <w:r w:rsidR="00452618" w:rsidRPr="00452618">
        <w:t xml:space="preserve"> </w:t>
      </w:r>
    </w:p>
    <w:p w14:paraId="63816171" w14:textId="77777777" w:rsidR="00452618" w:rsidRPr="00452618" w:rsidRDefault="00452618" w:rsidP="0041032A">
      <w:pPr>
        <w:pStyle w:val="SingleTxtG"/>
      </w:pPr>
      <w:r w:rsidRPr="00452618">
        <w:t xml:space="preserve">Certain manifestations of online racist hate speech are serious enough to be considered incitement to discrimination, hatred or violence, prohibited under international human rights law. The Special Rapporteur elaborates in section IV on the criteria, established by international law, to determine when hate speech should be considered incitement. </w:t>
      </w:r>
    </w:p>
    <w:p w14:paraId="75841014" w14:textId="29CF5B74" w:rsidR="00452618" w:rsidRPr="00452618" w:rsidRDefault="008A4E1B" w:rsidP="008A4E1B">
      <w:pPr>
        <w:pStyle w:val="H4G"/>
      </w:pPr>
      <w:r>
        <w:tab/>
      </w:r>
      <w:r>
        <w:tab/>
      </w:r>
      <w:r w:rsidR="00452618" w:rsidRPr="00452618">
        <w:t>The nexus between online racist hate speech and disinformation and misinformation</w:t>
      </w:r>
    </w:p>
    <w:p w14:paraId="6669BBE9" w14:textId="5DBAFB91" w:rsidR="00452618" w:rsidRPr="00452618" w:rsidRDefault="009153C9" w:rsidP="0041032A">
      <w:pPr>
        <w:pStyle w:val="SingleTxtG"/>
      </w:pPr>
      <w:r>
        <w:t>16.</w:t>
      </w:r>
      <w:r>
        <w:tab/>
      </w:r>
      <w:r w:rsidR="00452618" w:rsidRPr="00452618">
        <w:t>Online racist hate speech can be linked to the dissemination of misinformation and disinformation.</w:t>
      </w:r>
      <w:r w:rsidR="00452618" w:rsidRPr="00452618">
        <w:rPr>
          <w:vertAlign w:val="superscript"/>
        </w:rPr>
        <w:footnoteReference w:id="19"/>
      </w:r>
      <w:r w:rsidR="00452618" w:rsidRPr="00452618">
        <w:t xml:space="preserve"> The Special Rapporteur recognises the lack of definitions for misinformation and disinformation within international human rights law framework, as well as some of the inherent challenges in defining these concepts, as discussed by the Special Rapporteur on freedom of opinion and expression in her 2021 report to the Human Rights </w:t>
      </w:r>
      <w:r w:rsidR="00452618" w:rsidRPr="00452618">
        <w:lastRenderedPageBreak/>
        <w:t>Council on disinformation.</w:t>
      </w:r>
      <w:r w:rsidR="00452618" w:rsidRPr="00452618">
        <w:rPr>
          <w:vertAlign w:val="superscript"/>
        </w:rPr>
        <w:footnoteReference w:id="20"/>
      </w:r>
      <w:r w:rsidR="00452618" w:rsidRPr="00452618">
        <w:t xml:space="preserve"> For the purpose of this report, the Special Rapporteur aligns herself with the definition presented by the Special Rapporteur on freedom of opinion and expression which states that “disinformation is understood as false information that is disseminated internationally to cause serious social harm and misinformation as the dissemination of false information unknowingly”.</w:t>
      </w:r>
      <w:r w:rsidR="00452618" w:rsidRPr="00452618">
        <w:rPr>
          <w:vertAlign w:val="superscript"/>
        </w:rPr>
        <w:footnoteReference w:id="21"/>
      </w:r>
      <w:r w:rsidR="00452618" w:rsidRPr="00452618">
        <w:t xml:space="preserve"> </w:t>
      </w:r>
    </w:p>
    <w:p w14:paraId="015AC22C" w14:textId="0967F3B1" w:rsidR="00452618" w:rsidRPr="00452618" w:rsidRDefault="009153C9" w:rsidP="0041032A">
      <w:pPr>
        <w:pStyle w:val="SingleTxtG"/>
      </w:pPr>
      <w:r>
        <w:t>17.</w:t>
      </w:r>
      <w:r>
        <w:tab/>
      </w:r>
      <w:r w:rsidR="00452618" w:rsidRPr="00452618">
        <w:t>The Special Rapporteur asserts that disinformation and misinformation are distinct from online racist hate speech. The focus of the Special Rapporteur’s report is online racist hate speech. However, she believes that it is important to recognise that there is a nexus between online racist hate speech on one hand and disinformation and misinformation on the other, particularly in an online context. As is elaborated on below, the way that communications and materials are shared in the online context provides for its rapid and wide-reaching dissemination and can therefore be fertile ground for disinformation and misinformation.</w:t>
      </w:r>
      <w:r w:rsidR="00452618" w:rsidRPr="00452618">
        <w:rPr>
          <w:vertAlign w:val="superscript"/>
        </w:rPr>
        <w:footnoteReference w:id="22"/>
      </w:r>
    </w:p>
    <w:p w14:paraId="11D7D460" w14:textId="474A5997" w:rsidR="00452618" w:rsidRPr="00452618" w:rsidRDefault="008A4E1B" w:rsidP="008A4E1B">
      <w:pPr>
        <w:pStyle w:val="H4G"/>
      </w:pPr>
      <w:r>
        <w:tab/>
      </w:r>
      <w:r>
        <w:tab/>
      </w:r>
      <w:r w:rsidR="00452618" w:rsidRPr="00452618">
        <w:t xml:space="preserve">The rapid spread and vast reach of online racist hate speech </w:t>
      </w:r>
    </w:p>
    <w:p w14:paraId="1FFB17CE" w14:textId="1F4B1BF3" w:rsidR="00452618" w:rsidRPr="00452618" w:rsidRDefault="009153C9" w:rsidP="0041032A">
      <w:pPr>
        <w:pStyle w:val="SingleTxtG"/>
      </w:pPr>
      <w:r>
        <w:t>18.</w:t>
      </w:r>
      <w:r>
        <w:tab/>
      </w:r>
      <w:r w:rsidR="00452618" w:rsidRPr="00452618">
        <w:t>The ability of anyone with access to the internet to quickly communicate and spread materials, with few controls over their credulity, veracity and potential to cause harm, gives a new tool to spread racism, racial hatred, and ideas of racial superiority. Such communications and materials, including online racist hate speech, can be spread quickly due to the ability of those sharing to sometimes be anonymous, the broad reach of online platforms due to their integration into the everyday lives of people around the world and the ease and commonplace nature of the sharing of such communication and materials on digital and social media platforms.</w:t>
      </w:r>
      <w:r w:rsidR="00452618" w:rsidRPr="00452618">
        <w:rPr>
          <w:vertAlign w:val="superscript"/>
        </w:rPr>
        <w:footnoteReference w:id="23"/>
      </w:r>
      <w:r w:rsidR="00452618" w:rsidRPr="00452618">
        <w:t xml:space="preserve"> Communication and materials shared online, such as images, memes and short videos, are also often highly superficial making it difficult for the users of digital platforms to contextualise and fact-check what is presented.</w:t>
      </w:r>
      <w:r w:rsidR="00452618" w:rsidRPr="00452618">
        <w:rPr>
          <w:vertAlign w:val="superscript"/>
        </w:rPr>
        <w:footnoteReference w:id="24"/>
      </w:r>
    </w:p>
    <w:p w14:paraId="7ECD1043" w14:textId="48FF19E3" w:rsidR="00452618" w:rsidRPr="00452618" w:rsidRDefault="009153C9" w:rsidP="0041032A">
      <w:pPr>
        <w:pStyle w:val="SingleTxtG"/>
      </w:pPr>
      <w:r>
        <w:t>19.</w:t>
      </w:r>
      <w:r>
        <w:tab/>
      </w:r>
      <w:r w:rsidR="00452618" w:rsidRPr="00452618">
        <w:t xml:space="preserve">Another crucial factor in the rapid spread and powerful reach of online racist hate speech are the contents shaping algorithms that are used by online platforms to determine how materials are disseminated to users. </w:t>
      </w:r>
      <w:r w:rsidR="00D36D11">
        <w:t>Online platforms often collect</w:t>
      </w:r>
      <w:r w:rsidR="00452618" w:rsidRPr="00452618">
        <w:t xml:space="preserve"> large amounts of data from users. This data is monetarised by providers of digital platforms through its sale to advertisers who use it to precisely target audiences with the placement of adverts.</w:t>
      </w:r>
      <w:r w:rsidR="00452618" w:rsidRPr="00452618">
        <w:rPr>
          <w:vertAlign w:val="superscript"/>
        </w:rPr>
        <w:footnoteReference w:id="25"/>
      </w:r>
      <w:r w:rsidR="00452618" w:rsidRPr="00452618">
        <w:t xml:space="preserve"> The longer that individuals stay on digital platforms and the more they engage whilst using the platforms, the more effectively providers can monetarize use of their platforms through the sale of facilitation to exposure to targeted advertising.</w:t>
      </w:r>
      <w:r w:rsidR="00452618" w:rsidRPr="00452618">
        <w:rPr>
          <w:vertAlign w:val="superscript"/>
        </w:rPr>
        <w:footnoteReference w:id="26"/>
      </w:r>
      <w:r w:rsidR="00452618" w:rsidRPr="00452618">
        <w:t xml:space="preserve"> As such, content shaping algorithms often prioritize the dissemination of materials that generate high engagement, regardless of their credulity, veracity, and potential to cause harm.</w:t>
      </w:r>
      <w:r w:rsidR="00452618" w:rsidRPr="00452618">
        <w:rPr>
          <w:vertAlign w:val="superscript"/>
        </w:rPr>
        <w:footnoteReference w:id="27"/>
      </w:r>
      <w:r w:rsidR="00452618" w:rsidRPr="00452618">
        <w:t xml:space="preserve"> In this respect, content sharing algorithms can lead to the quick dissemination of hateful materials to a wide audience, perpetuating harmful beliefs and narratives.</w:t>
      </w:r>
      <w:r w:rsidR="00452618" w:rsidRPr="00452618">
        <w:rPr>
          <w:vertAlign w:val="superscript"/>
        </w:rPr>
        <w:footnoteReference w:id="28"/>
      </w:r>
      <w:r w:rsidR="00452618" w:rsidRPr="00452618">
        <w:t xml:space="preserve"> </w:t>
      </w:r>
    </w:p>
    <w:p w14:paraId="1BF5DB68" w14:textId="6B11ED3E" w:rsidR="00452618" w:rsidRPr="00452618" w:rsidRDefault="009153C9" w:rsidP="0041032A">
      <w:pPr>
        <w:pStyle w:val="SingleTxtG"/>
      </w:pPr>
      <w:r>
        <w:t>20.</w:t>
      </w:r>
      <w:r>
        <w:tab/>
      </w:r>
      <w:r w:rsidR="00452618" w:rsidRPr="00452618">
        <w:t>Content shaping algorithms also contribute to the creation of social media “echo chambers” where people are only shown material that reinforces and amplifies pre-existing views and beliefs, increasing engagement but also deepening harmful racial stereotypes and spreading hate speech. As well as further disseminating harmful ideas and ideologies, the creation of these online “echo chambers” also limits the exposure of users to counter speech that could challenge harmful beliefs and narratives.</w:t>
      </w:r>
      <w:r w:rsidR="00452618" w:rsidRPr="00452618">
        <w:rPr>
          <w:vertAlign w:val="superscript"/>
        </w:rPr>
        <w:footnoteReference w:id="29"/>
      </w:r>
      <w:r w:rsidR="00452618" w:rsidRPr="00452618">
        <w:t xml:space="preserve"> Whilst contents shaping algorithms may not intentionally amplify and disseminate racist contents online, as the Special Rapporteur’s predecessor highlighted “colour blind” of “race neutral” strategies to digital governance, risk algorithm bias and indirect harm to racial and ethnic groups.</w:t>
      </w:r>
      <w:r w:rsidR="00452618" w:rsidRPr="00452618">
        <w:rPr>
          <w:vertAlign w:val="superscript"/>
        </w:rPr>
        <w:footnoteReference w:id="30"/>
      </w:r>
      <w:r w:rsidR="00452618" w:rsidRPr="00452618">
        <w:t xml:space="preserve">  </w:t>
      </w:r>
    </w:p>
    <w:p w14:paraId="41EEE6CB" w14:textId="70D26255" w:rsidR="00452618" w:rsidRPr="00452618" w:rsidRDefault="008A4E1B" w:rsidP="008A4E1B">
      <w:pPr>
        <w:pStyle w:val="H4G"/>
      </w:pPr>
      <w:r>
        <w:tab/>
      </w:r>
      <w:r>
        <w:tab/>
      </w:r>
      <w:r w:rsidR="00452618" w:rsidRPr="00452618">
        <w:t xml:space="preserve">Multiple actors, motivations and contexts </w:t>
      </w:r>
    </w:p>
    <w:p w14:paraId="0518D490" w14:textId="7AA6F1F9" w:rsidR="00452618" w:rsidRPr="00452618" w:rsidRDefault="009153C9" w:rsidP="0041032A">
      <w:pPr>
        <w:pStyle w:val="SingleTxtG"/>
      </w:pPr>
      <w:r>
        <w:t>21.</w:t>
      </w:r>
      <w:r>
        <w:tab/>
      </w:r>
      <w:r w:rsidR="00452618" w:rsidRPr="00452618">
        <w:t>Different forms of online racist hate speech can originate from and be disseminated by a range of actors with varied intentions. The online activities of such actors form a complex, opaque, and mutually reinforcing interplay. Such actors may be motivated by racist, ethno-nationalist and xenophobic ideologies. However, it is important to also acknowledge that significant commercial and political interests are involved in the dissemination of racist hate speech online.</w:t>
      </w:r>
    </w:p>
    <w:p w14:paraId="249F517C" w14:textId="0D384987" w:rsidR="00452618" w:rsidRPr="00452618" w:rsidRDefault="009153C9" w:rsidP="0041032A">
      <w:pPr>
        <w:pStyle w:val="SingleTxtG"/>
      </w:pPr>
      <w:r>
        <w:t>22.</w:t>
      </w:r>
      <w:r>
        <w:tab/>
      </w:r>
      <w:r w:rsidR="00452618" w:rsidRPr="00452618">
        <w:t>Individuals that espouse racist ideologies may disseminate racist hate speech online in the context of their everyday use of digital platforms. Some sources suggests that most hateful online materials originate from individuals not associated with organised ideological groups, although more research is needed to truly understand the drivers of the phenomenon.</w:t>
      </w:r>
      <w:r w:rsidR="00452618" w:rsidRPr="00452618">
        <w:rPr>
          <w:vertAlign w:val="superscript"/>
        </w:rPr>
        <w:footnoteReference w:id="31"/>
      </w:r>
      <w:r w:rsidR="00452618" w:rsidRPr="00452618">
        <w:t xml:space="preserve"> Individuals may feel emboldened in an online context due to the ability to sometimes be anonymous, as well as the normalisation of racist sentiments and ideologies within their highly curated online spaces, as determined by content shaping algorithms.</w:t>
      </w:r>
      <w:r w:rsidR="00452618" w:rsidRPr="00452618">
        <w:rPr>
          <w:vertAlign w:val="superscript"/>
        </w:rPr>
        <w:footnoteReference w:id="32"/>
      </w:r>
    </w:p>
    <w:p w14:paraId="0F05CC3B" w14:textId="5FB863D7" w:rsidR="00452618" w:rsidRPr="00452618" w:rsidRDefault="009153C9" w:rsidP="0041032A">
      <w:pPr>
        <w:pStyle w:val="SingleTxtG"/>
      </w:pPr>
      <w:r>
        <w:t>23.</w:t>
      </w:r>
      <w:r>
        <w:tab/>
      </w:r>
      <w:r w:rsidR="00452618" w:rsidRPr="00452618">
        <w:t>Digital platforms have also allowed individuals and the groups to which they belong to organise, often internationally and to recruit and radicalise new members, who may then further the dissemination of online racist hate speech.</w:t>
      </w:r>
      <w:r w:rsidR="00452618" w:rsidRPr="00452618">
        <w:rPr>
          <w:vertAlign w:val="superscript"/>
        </w:rPr>
        <w:footnoteReference w:id="33"/>
      </w:r>
      <w:r w:rsidR="00452618" w:rsidRPr="00452618">
        <w:t xml:space="preserve"> The Special Rapporteur is mandated to report to both the General Assembly and the Human Rights Council on trends in the glorification of Nazism. Her predecessor explored in such reports how digital platforms have provided groups espousing racial superiority and hatred with effective platforms for spreading their messages, organizing events and raising money.</w:t>
      </w:r>
      <w:r w:rsidR="00452618" w:rsidRPr="00452618">
        <w:rPr>
          <w:vertAlign w:val="superscript"/>
        </w:rPr>
        <w:footnoteReference w:id="34"/>
      </w:r>
      <w:r w:rsidR="00452618" w:rsidRPr="00452618">
        <w:t xml:space="preserve"> </w:t>
      </w:r>
    </w:p>
    <w:p w14:paraId="6C78A02A" w14:textId="008D5FDB" w:rsidR="00452618" w:rsidRPr="00452618" w:rsidRDefault="009153C9" w:rsidP="0041032A">
      <w:pPr>
        <w:pStyle w:val="SingleTxtG"/>
      </w:pPr>
      <w:r>
        <w:t>24.</w:t>
      </w:r>
      <w:r>
        <w:tab/>
      </w:r>
      <w:r w:rsidR="00452618" w:rsidRPr="00452618">
        <w:t>Online racist hate speech is not only originated and disseminated by those with ideological motivations. There are actors within the complex digital ecosystem who seek to instrumentalize underlying societal divisions and fear and misunderstanding of “others” for personal and political enrichment. The Special Rapporteur received multiple submissions about the use of online racist hate speech for political gain. Prominent politicians, including members of Governments, have used online platforms to express racist and xenophobic sentiments that tap into existing polarity in society to exacerbate divisions in such a way that they gain political capital.</w:t>
      </w:r>
      <w:r w:rsidR="00452618" w:rsidRPr="00452618">
        <w:rPr>
          <w:vertAlign w:val="superscript"/>
        </w:rPr>
        <w:footnoteReference w:id="35"/>
      </w:r>
      <w:r w:rsidR="00452618" w:rsidRPr="00452618">
        <w:t xml:space="preserve">  The Special Rapporteur received reports about online racist hate speech can often increase around election periods.</w:t>
      </w:r>
      <w:r w:rsidR="00452618" w:rsidRPr="00452618">
        <w:rPr>
          <w:vertAlign w:val="superscript"/>
        </w:rPr>
        <w:footnoteReference w:id="36"/>
      </w:r>
      <w:r w:rsidR="00452618" w:rsidRPr="00452618">
        <w:t xml:space="preserve">  Online racist hate speech can be used to target those who run for office and/or express dissenting views, such as academics and human rights defenders fighting racism and racial discrimination, including those working directly on combatting online racist hate speech.</w:t>
      </w:r>
      <w:r w:rsidR="00452618" w:rsidRPr="00452618">
        <w:rPr>
          <w:vertAlign w:val="superscript"/>
        </w:rPr>
        <w:footnoteReference w:id="37"/>
      </w:r>
      <w:r w:rsidR="00452618" w:rsidRPr="00452618">
        <w:t xml:space="preserve"> Targeted online hate campaigns against such figures can discredit them and have a chilling effect on others due to fear of similar treatment therefore protecting existing political power structures, which often exclude those from racial and ethnic groups.</w:t>
      </w:r>
      <w:r w:rsidR="00452618" w:rsidRPr="00452618">
        <w:rPr>
          <w:vertAlign w:val="superscript"/>
        </w:rPr>
        <w:footnoteReference w:id="38"/>
      </w:r>
      <w:r w:rsidR="00452618" w:rsidRPr="00452618">
        <w:t xml:space="preserve"> </w:t>
      </w:r>
    </w:p>
    <w:p w14:paraId="6AA555F4" w14:textId="6271BB32" w:rsidR="00452618" w:rsidRPr="00452618" w:rsidRDefault="009153C9" w:rsidP="0041032A">
      <w:pPr>
        <w:pStyle w:val="SingleTxtG"/>
      </w:pPr>
      <w:r>
        <w:t>25.</w:t>
      </w:r>
      <w:r>
        <w:tab/>
      </w:r>
      <w:r w:rsidR="00452618" w:rsidRPr="00452618">
        <w:t>The Special Rapporteur is of the conviction that it is very important to highlight how the COVID-19 pandemic has been a significant context within which online racist hate speech flourished. As stated by the Special Rapporteur’s predecessor: “the COVID-19 pandemic exposed interlinking crises that had been hiding in plain sight: a public health disaster, and ethnonationalist rhetoric and politics – the latter driving impacts of and responses to the former. It laid bare how dangerous climates of intolerance, racialized and religious suspicion and fear can be to the social fabric that sustains prosperous and safe communities”</w:t>
      </w:r>
      <w:r w:rsidR="00452618" w:rsidRPr="00452618">
        <w:rPr>
          <w:vertAlign w:val="superscript"/>
        </w:rPr>
        <w:footnoteReference w:id="39"/>
      </w:r>
      <w:r w:rsidR="00452618" w:rsidRPr="00452618">
        <w:t xml:space="preserve"> </w:t>
      </w:r>
    </w:p>
    <w:p w14:paraId="63DF64A7" w14:textId="60B6AEBF" w:rsidR="00452618" w:rsidRPr="00452618" w:rsidRDefault="009153C9" w:rsidP="0041032A">
      <w:pPr>
        <w:pStyle w:val="SingleTxtG"/>
      </w:pPr>
      <w:r>
        <w:t>26.</w:t>
      </w:r>
      <w:r>
        <w:tab/>
      </w:r>
      <w:r w:rsidR="00452618" w:rsidRPr="00452618">
        <w:t>In the United Nations Guidance Note on Addressing and Countering COVID-19 related Hate Speech, it is described how the crisis led to “scapegoating, stereotyping, stigmatization and the use of derogatory, misogynistic, racist, xenophobic, Islamophobic or antisemitic language. The Guidance Note on Addressing and Countering COVID-19 related Hate Speech acknowledges that online platforms were significant to the spread of online racist hate speech relating to the COVID-19 pandemic. It also recognises that politicians were implicated in the origination and dissemination on online hate speech relating to COVID 19.</w:t>
      </w:r>
      <w:r w:rsidR="00452618" w:rsidRPr="00452618">
        <w:rPr>
          <w:vertAlign w:val="superscript"/>
        </w:rPr>
        <w:footnoteReference w:id="40"/>
      </w:r>
      <w:r w:rsidR="00452618" w:rsidRPr="00452618">
        <w:t xml:space="preserve"> This involvement of politicians in COVID-19 related online hate speech, including in the context of elections, demonstrates how the different contexts within which racial hatred is spread are interrelated and can be mutually reinforcing. </w:t>
      </w:r>
    </w:p>
    <w:p w14:paraId="0C2553E8" w14:textId="4D28018A" w:rsidR="00452618" w:rsidRPr="00452618" w:rsidRDefault="009153C9" w:rsidP="0041032A">
      <w:pPr>
        <w:pStyle w:val="SingleTxtG"/>
      </w:pPr>
      <w:r>
        <w:t>27.</w:t>
      </w:r>
      <w:r>
        <w:tab/>
      </w:r>
      <w:r w:rsidR="00452618" w:rsidRPr="00452618">
        <w:t>It is necessary when looking at the motivations of different actors to highlight that commercial interests can play a role in the origination and dissemination of online racist hate speech. There are increasing numbers of individuals who routinely originate and disseminate online materials, which is monetarised in various ways, including through allowing those who view it to donate money, the selling of merchandise related to materials shared and advertising revenue. There are examples where individuals and groups have monetarised racist and xenophobic contents, despite some efforts to prevent this.</w:t>
      </w:r>
      <w:r w:rsidR="00452618" w:rsidRPr="00452618">
        <w:rPr>
          <w:vertAlign w:val="superscript"/>
        </w:rPr>
        <w:footnoteReference w:id="41"/>
      </w:r>
      <w:r w:rsidR="00452618" w:rsidRPr="00452618">
        <w:t xml:space="preserve"> At a more systemic level, the overall business models of digital platforms and the advertising revenue that is linked to content shaping algorithms that can disseminate and amplify online racist hate speech means that powerful economic incentives and disincentives are at play.</w:t>
      </w:r>
      <w:r w:rsidR="00452618" w:rsidRPr="00452618">
        <w:rPr>
          <w:vertAlign w:val="superscript"/>
        </w:rPr>
        <w:footnoteReference w:id="42"/>
      </w:r>
      <w:r w:rsidR="00452618" w:rsidRPr="00452618">
        <w:t xml:space="preserve">  </w:t>
      </w:r>
    </w:p>
    <w:p w14:paraId="0F109AB7" w14:textId="2E39E803" w:rsidR="00452618" w:rsidRPr="00452618" w:rsidRDefault="008A4E1B" w:rsidP="008A4E1B">
      <w:pPr>
        <w:pStyle w:val="H4G"/>
      </w:pPr>
      <w:r>
        <w:tab/>
      </w:r>
      <w:r>
        <w:tab/>
      </w:r>
      <w:r w:rsidR="00452618" w:rsidRPr="00452618">
        <w:t>Real life consequences of online racist hate speech</w:t>
      </w:r>
    </w:p>
    <w:p w14:paraId="0B0C1123" w14:textId="75BD532C" w:rsidR="00452618" w:rsidRPr="00452618" w:rsidRDefault="009153C9" w:rsidP="0041032A">
      <w:pPr>
        <w:pStyle w:val="SingleTxtG"/>
      </w:pPr>
      <w:r>
        <w:t>28.</w:t>
      </w:r>
      <w:r>
        <w:tab/>
      </w:r>
      <w:r w:rsidR="00452618" w:rsidRPr="00452618">
        <w:t>The consequences of the most serious forms of online racist hate speech can be life threatening. The most extreme cases of online racist hate speech can amount to incitement to discrimination, hostility or violence, as defined in article 4 of the International Convention on the Elimination of Racial Discrimination and article 20 (2) of the International Covenant on Civil and Political Rights and the Convention on the Prevention and Punishment of the Crime of Genocide. The subsequent section on international human rights standards explores the most serious forms of online hate speech in more detail. Broadly, “incitement characteristically seeks to influence others to engage in certain forms of conduct, including the commission of crime, through advocacy or threats. Incitement may be express or implied, through actions such as displays of racist symbols or distribution of materials as well as words”.</w:t>
      </w:r>
      <w:r w:rsidR="00452618" w:rsidRPr="00452618">
        <w:rPr>
          <w:vertAlign w:val="superscript"/>
        </w:rPr>
        <w:footnoteReference w:id="43"/>
      </w:r>
      <w:r w:rsidR="00452618" w:rsidRPr="00452618">
        <w:t xml:space="preserve"> One of the most emblematic cases on online racist hate speech amounting to incitement was the sustained demonization of the Rohingya ethnic group in Myanmar on Facebook ahead of and during a campaign of ethnic violence which had horrific humanitarian consequences.</w:t>
      </w:r>
      <w:r w:rsidR="00452618" w:rsidRPr="00452618">
        <w:rPr>
          <w:vertAlign w:val="superscript"/>
        </w:rPr>
        <w:footnoteReference w:id="44"/>
      </w:r>
      <w:r w:rsidR="00452618" w:rsidRPr="00452618">
        <w:t xml:space="preserve"> The escalating and serious online hate speech directed towards the Rohingya ethnic group was met with inaction by State and Facebook, despite multiple warnings of impeding harm.</w:t>
      </w:r>
      <w:r w:rsidR="00452618" w:rsidRPr="00452618">
        <w:rPr>
          <w:vertAlign w:val="superscript"/>
        </w:rPr>
        <w:footnoteReference w:id="45"/>
      </w:r>
      <w:r w:rsidR="00452618" w:rsidRPr="00452618">
        <w:t xml:space="preserve"> This case exemplifies the significant harm that online racist hate speech meeting the threshold for incitement, together with offline racist hate speech and policies can generate, particularly when there is inaction by Governments and companies.</w:t>
      </w:r>
      <w:r w:rsidR="00452618" w:rsidRPr="00452618">
        <w:rPr>
          <w:vertAlign w:val="superscript"/>
        </w:rPr>
        <w:footnoteReference w:id="46"/>
      </w:r>
    </w:p>
    <w:p w14:paraId="68FA1719" w14:textId="2F4BBE0F" w:rsidR="00452618" w:rsidRPr="00452618" w:rsidRDefault="009153C9" w:rsidP="0041032A">
      <w:pPr>
        <w:pStyle w:val="SingleTxtG"/>
      </w:pPr>
      <w:r>
        <w:t>29.</w:t>
      </w:r>
      <w:r>
        <w:tab/>
      </w:r>
      <w:r w:rsidR="00452618" w:rsidRPr="00452618">
        <w:t>It is important to note that it is not only the most serious cases of online racist hate speech that have negative consequences. Even when online hate speech does not amount to incitement to discrimination, hostility or violence, it can be a factor in offline hate crimes. Hate crimes have an element of bias which can be established in part by reference to hate speech, including online hate speech.</w:t>
      </w:r>
      <w:r w:rsidR="00452618" w:rsidRPr="00452618">
        <w:rPr>
          <w:vertAlign w:val="superscript"/>
        </w:rPr>
        <w:footnoteReference w:id="47"/>
      </w:r>
      <w:r w:rsidR="00452618" w:rsidRPr="00452618">
        <w:t xml:space="preserve"> Digital platforms can facilitate the global transmission of harmful stereotypes and related propaganda, which potentially make violence against targeted groups more acceptable and arguably more likely.</w:t>
      </w:r>
      <w:r w:rsidR="00452618" w:rsidRPr="00452618">
        <w:rPr>
          <w:vertAlign w:val="superscript"/>
        </w:rPr>
        <w:footnoteReference w:id="48"/>
      </w:r>
    </w:p>
    <w:p w14:paraId="5D54FA70" w14:textId="7D63444D" w:rsidR="00452618" w:rsidRPr="00452618" w:rsidRDefault="009153C9" w:rsidP="0041032A">
      <w:pPr>
        <w:pStyle w:val="SingleTxtG"/>
      </w:pPr>
      <w:r>
        <w:t>30.</w:t>
      </w:r>
      <w:r>
        <w:tab/>
      </w:r>
      <w:r w:rsidR="00452618" w:rsidRPr="00452618">
        <w:t>The negative impact on individuals and groups who are targeted by online racist hate speech is significant, particularly as they can be repeatedly exposed to pejorative and discriminatory speech. Online racist hate speech can have a significant and cumulative impact on the mental health of those targeted. The impact of online hatred can be compounded by chronic stress experienced because of exposure to other manifestations of racism and racial discrimination, as well as additional and intersecting forms of discrimination. Experiences of online racist hate speech, including both those which directly target an individual and those that espouse more general racial hatred, are associated with decreased self-esteem, lower academic or professional performance and/or increased rates of alcohol and drug use amongst those targeted.</w:t>
      </w:r>
      <w:r w:rsidR="00452618" w:rsidRPr="00452618">
        <w:rPr>
          <w:vertAlign w:val="superscript"/>
        </w:rPr>
        <w:footnoteReference w:id="49"/>
      </w:r>
      <w:r w:rsidR="00452618" w:rsidRPr="00452618">
        <w:t xml:space="preserve"> The Special Rapporteur is concerned about the online targeting of children and young people from racial and ethnic groups, including in the context of bullying, and the profound and lasting impact of this in their formative years.</w:t>
      </w:r>
      <w:r w:rsidR="00452618" w:rsidRPr="00452618">
        <w:rPr>
          <w:vertAlign w:val="superscript"/>
        </w:rPr>
        <w:footnoteReference w:id="50"/>
      </w:r>
      <w:r w:rsidR="00452618" w:rsidRPr="00452618">
        <w:t xml:space="preserve"> Submissions received by the Special Rapporteur highlighted the vulnerability of children and young in certain online environments, including online gaming.</w:t>
      </w:r>
      <w:r w:rsidR="00452618" w:rsidRPr="00452618">
        <w:rPr>
          <w:vertAlign w:val="superscript"/>
        </w:rPr>
        <w:footnoteReference w:id="51"/>
      </w:r>
      <w:r w:rsidR="00452618" w:rsidRPr="00452618">
        <w:t xml:space="preserve"> </w:t>
      </w:r>
    </w:p>
    <w:p w14:paraId="20188B28" w14:textId="33306F04" w:rsidR="00452618" w:rsidRPr="00452618" w:rsidRDefault="009153C9" w:rsidP="0041032A">
      <w:pPr>
        <w:pStyle w:val="SingleTxtG"/>
      </w:pPr>
      <w:r>
        <w:t>31.</w:t>
      </w:r>
      <w:r>
        <w:tab/>
      </w:r>
      <w:r w:rsidR="00452618" w:rsidRPr="00452618">
        <w:t>Racist hate speech, including that which is disseminated online, also has a powerful detrimental effect at the societal level, destroying the social fabric of communities and undermining the norms of human rights and democracy, including equality and non-discrimination.</w:t>
      </w:r>
      <w:r w:rsidR="00452618" w:rsidRPr="00452618">
        <w:rPr>
          <w:vertAlign w:val="superscript"/>
        </w:rPr>
        <w:footnoteReference w:id="52"/>
      </w:r>
      <w:r w:rsidR="00452618" w:rsidRPr="00452618">
        <w:t xml:space="preserve"> As articulated within the UN Strategy “hate speech is in itself an attack on tolerance, inclusion, diversity and the very essence of our human rights norms and principles. More broadly, it undermines social cohesion, erodes shared values, and can lay the foundation for violence, setting back the cause of peace, stability, sustainable development and the fulfilment of human rights for all.”</w:t>
      </w:r>
      <w:r w:rsidR="00452618" w:rsidRPr="00452618">
        <w:rPr>
          <w:vertAlign w:val="superscript"/>
        </w:rPr>
        <w:footnoteReference w:id="53"/>
      </w:r>
      <w:r w:rsidR="00452618" w:rsidRPr="00452618">
        <w:t xml:space="preserve"> The Committee on the Elimination of Racial Discrimination’s General recommendation No.35, also captures the societal wide impact of racist hate speech. It makes clear that speech can make a significant contribution to the creation of a </w:t>
      </w:r>
      <w:bookmarkStart w:id="5" w:name="_Hlk147067906"/>
      <w:r w:rsidR="00452618" w:rsidRPr="00452618">
        <w:t xml:space="preserve">climate of racial hatred </w:t>
      </w:r>
      <w:bookmarkEnd w:id="5"/>
      <w:r w:rsidR="00452618" w:rsidRPr="00452618">
        <w:t>and discrimination.</w:t>
      </w:r>
      <w:r w:rsidR="00452618" w:rsidRPr="00452618">
        <w:rPr>
          <w:vertAlign w:val="superscript"/>
        </w:rPr>
        <w:footnoteReference w:id="54"/>
      </w:r>
      <w:r w:rsidR="00452618" w:rsidRPr="00452618">
        <w:t xml:space="preserve"> </w:t>
      </w:r>
    </w:p>
    <w:p w14:paraId="689F49A8" w14:textId="5E21E69D" w:rsidR="00452618" w:rsidRPr="00452618" w:rsidRDefault="008A4E1B" w:rsidP="008A4E1B">
      <w:pPr>
        <w:pStyle w:val="HChG"/>
      </w:pPr>
      <w:r>
        <w:tab/>
      </w:r>
      <w:r w:rsidR="00452618" w:rsidRPr="00452618">
        <w:t>IV.</w:t>
      </w:r>
      <w:r>
        <w:tab/>
      </w:r>
      <w:r>
        <w:tab/>
      </w:r>
      <w:bookmarkStart w:id="6" w:name="_Hlk148440113"/>
      <w:r w:rsidR="00452618" w:rsidRPr="00452618">
        <w:t xml:space="preserve">Online racist hate speech and relevant international human rights standards </w:t>
      </w:r>
      <w:bookmarkEnd w:id="6"/>
    </w:p>
    <w:p w14:paraId="41D9A0DA" w14:textId="3AF24A57" w:rsidR="00452618" w:rsidRPr="00452618" w:rsidRDefault="009153C9" w:rsidP="0041032A">
      <w:pPr>
        <w:pStyle w:val="SingleTxtG"/>
      </w:pPr>
      <w:r>
        <w:t>32.</w:t>
      </w:r>
      <w:r>
        <w:tab/>
      </w:r>
      <w:r w:rsidR="00452618" w:rsidRPr="00452618">
        <w:t>Article 4 is a central article within the Convention on the Elimination of all forms Racial Discrimination. As highlighted in the Committee on the Elimination of Racial Discrimination’s General recommendation No.35, Article 4 of the Convention on the Elimination of Racial Discrimination “comprises elements relating to speech and the organizational context for the production of speech, serves the functions of prevention and deterrence, and provides for sanctions when deterrence fails”.</w:t>
      </w:r>
      <w:r w:rsidR="00452618" w:rsidRPr="00452618">
        <w:rPr>
          <w:vertAlign w:val="superscript"/>
        </w:rPr>
        <w:footnoteReference w:id="55"/>
      </w:r>
      <w:r w:rsidR="00452618" w:rsidRPr="00452618">
        <w:t xml:space="preserve"> The chapeau of article 4 explicates the obligation of States to address incitement to racial discrimination. It makes clear that States must take “immediate and positive measures to eradicate “all incitement to, or acts of, such discrimination”.</w:t>
      </w:r>
      <w:r w:rsidR="00452618" w:rsidRPr="00452618">
        <w:rPr>
          <w:vertAlign w:val="superscript"/>
        </w:rPr>
        <w:footnoteReference w:id="56"/>
      </w:r>
      <w:r w:rsidR="00452618" w:rsidRPr="00452618">
        <w:t xml:space="preserve"> </w:t>
      </w:r>
      <w:bookmarkStart w:id="7" w:name="_Hlk146789222"/>
      <w:r w:rsidR="00452618" w:rsidRPr="00452618">
        <w:t>It clarifies</w:t>
      </w:r>
      <w:r w:rsidR="00F761BA">
        <w:t xml:space="preserve"> </w:t>
      </w:r>
      <w:r w:rsidR="00452618" w:rsidRPr="00452618">
        <w:t>that “incitement characteristically seeks to influence others to engage in certain forms of conduct, including the commission of crime, through advocacy or threats. Incitement may be express or implied, through actions such as displaces of racist symbols or distribution of materials as well as words”.</w:t>
      </w:r>
      <w:r w:rsidR="00452618" w:rsidRPr="00452618">
        <w:rPr>
          <w:vertAlign w:val="superscript"/>
        </w:rPr>
        <w:footnoteReference w:id="57"/>
      </w:r>
      <w:r w:rsidR="00452618" w:rsidRPr="00452618">
        <w:t xml:space="preserve"> </w:t>
      </w:r>
      <w:bookmarkEnd w:id="7"/>
      <w:r w:rsidR="00452618" w:rsidRPr="00452618">
        <w:t>The General recommendation describes provisions in article 4 (a) which outline how State parties “shall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r w:rsidR="00452618" w:rsidRPr="00452618">
        <w:rPr>
          <w:vertAlign w:val="superscript"/>
        </w:rPr>
        <w:footnoteReference w:id="58"/>
      </w:r>
      <w:r w:rsidR="00452618" w:rsidRPr="00452618">
        <w:t xml:space="preserve"> </w:t>
      </w:r>
    </w:p>
    <w:p w14:paraId="54FC9779" w14:textId="52796827" w:rsidR="00452618" w:rsidRPr="00452618" w:rsidRDefault="009153C9" w:rsidP="0041032A">
      <w:pPr>
        <w:pStyle w:val="SingleTxtG"/>
      </w:pPr>
      <w:r>
        <w:t>33.</w:t>
      </w:r>
      <w:r>
        <w:tab/>
      </w:r>
      <w:r w:rsidR="00452618" w:rsidRPr="00452618">
        <w:t xml:space="preserve">The Committee on the Elimination of Racial Discrimination’s General recommendation No.35 articulates that State parties have an obligation under the Convention to adopt legislation to combat racist hate speech that falls within the scope of article 4. </w:t>
      </w:r>
      <w:r w:rsidR="00F761BA">
        <w:t xml:space="preserve">It articulates that </w:t>
      </w:r>
      <w:r w:rsidR="00452618" w:rsidRPr="00452618">
        <w:t>criminalization of racist expression should be reserved for serious cases and provides specific guidance on the racist expression that should be declared as offences punishable by law within national legal frameworks.</w:t>
      </w:r>
      <w:r w:rsidR="00452618" w:rsidRPr="00452618">
        <w:rPr>
          <w:vertAlign w:val="superscript"/>
        </w:rPr>
        <w:footnoteReference w:id="59"/>
      </w:r>
      <w:r w:rsidR="00452618" w:rsidRPr="00452618">
        <w:t xml:space="preserve"> It states that contextual factors should be taken into account when making such determinations and presents relevant criteria adapted from the Rabat Plan of Action</w:t>
      </w:r>
      <w:r w:rsidR="00452618" w:rsidRPr="00452618">
        <w:rPr>
          <w:vertAlign w:val="superscript"/>
        </w:rPr>
        <w:footnoteReference w:id="60"/>
      </w:r>
      <w:r w:rsidR="00452618" w:rsidRPr="00452618">
        <w:t>, which will be discussed further below. The General recommendation stresses the importance of the effective implementation of legal provisions, typically achieved through investigation of offences, and, where appropriate, prosecution.</w:t>
      </w:r>
      <w:r w:rsidR="00452618" w:rsidRPr="00452618">
        <w:rPr>
          <w:vertAlign w:val="superscript"/>
        </w:rPr>
        <w:footnoteReference w:id="61"/>
      </w:r>
      <w:r w:rsidR="00452618" w:rsidRPr="00452618">
        <w:t xml:space="preserve"> The Committee’s General recommendation also highlights the importance of judicial assessment in determining the facts and legal qualifications of individual cases.</w:t>
      </w:r>
      <w:r w:rsidR="00452618" w:rsidRPr="00452618">
        <w:rPr>
          <w:vertAlign w:val="superscript"/>
        </w:rPr>
        <w:footnoteReference w:id="62"/>
      </w:r>
      <w:r w:rsidR="00452618" w:rsidRPr="00452618">
        <w:t xml:space="preserve"> The General recommendation also focusses on article 5 and 7 of the Convention. </w:t>
      </w:r>
    </w:p>
    <w:p w14:paraId="794BD359" w14:textId="37B848DB" w:rsidR="00452618" w:rsidRPr="00452618" w:rsidRDefault="009153C9" w:rsidP="0041032A">
      <w:pPr>
        <w:pStyle w:val="SingleTxtG"/>
      </w:pPr>
      <w:r>
        <w:t>34.</w:t>
      </w:r>
      <w:r>
        <w:tab/>
      </w:r>
      <w:r w:rsidR="00452618" w:rsidRPr="00452618">
        <w:t>The Durban Declaration and Programme of Action reinforces the relevant provisions of the International Convention on the Elimination of All Forms of Racial Discrimination. It affirms that the universal adherence to and full implementation of the Convention are of paramount importance for promoting equality and non-discrimination in the world.</w:t>
      </w:r>
      <w:r w:rsidR="00452618" w:rsidRPr="00452618">
        <w:rPr>
          <w:vertAlign w:val="superscript"/>
        </w:rPr>
        <w:footnoteReference w:id="63"/>
      </w:r>
      <w:r w:rsidR="00452618" w:rsidRPr="00452618">
        <w:t xml:space="preserve"> It also recognises the rapidly evolving phenomenon of the dissemination of hate speech and racist material through new information and communications technologies and called upon States to consider a prompt and coordinated international response to the phenomenon.</w:t>
      </w:r>
      <w:r w:rsidR="00452618" w:rsidRPr="00452618">
        <w:rPr>
          <w:vertAlign w:val="superscript"/>
        </w:rPr>
        <w:footnoteReference w:id="64"/>
      </w:r>
      <w:r w:rsidR="00452618" w:rsidRPr="00452618">
        <w:t xml:space="preserve"> </w:t>
      </w:r>
    </w:p>
    <w:p w14:paraId="6CF7E7BA" w14:textId="54231F27" w:rsidR="00452618" w:rsidRPr="00452618" w:rsidRDefault="009153C9" w:rsidP="0041032A">
      <w:pPr>
        <w:pStyle w:val="SingleTxtG"/>
      </w:pPr>
      <w:r>
        <w:t>35.</w:t>
      </w:r>
      <w:r>
        <w:tab/>
      </w:r>
      <w:r w:rsidR="00452618" w:rsidRPr="00452618">
        <w:t>The International Covenant on Civil and Political Rights bestows State parties with responsibilities to prevent and address the most serious forms of online racist hate speech. Article 20 (2) of the Covenant states that “any advocacy of national, racial or religious hatred that constitutes incitement to discrimination, hostility or violence shall be prohibited by law.” Article 20 (2) should be read in conjunction with article 2 (1) and article 26 of the Covenant. Article 2 (1) makes clear that the rights recognized in the Covenant, inclusive of article 20 (2) are to be recognised without distinction of any kind, such as race, colour, sex, language, religion, political or other opinion, national or social origin, property, birth or other status.</w:t>
      </w:r>
      <w:r w:rsidR="00452618" w:rsidRPr="00452618">
        <w:rPr>
          <w:vertAlign w:val="superscript"/>
        </w:rPr>
        <w:footnoteReference w:id="65"/>
      </w:r>
      <w:r w:rsidR="00452618" w:rsidRPr="00452618">
        <w:t xml:space="preserve"> Article 26 provides a general right of equality, a prohibition of discrimination and an obligation to take positive measures against discrimination.</w:t>
      </w:r>
      <w:r w:rsidR="00452618" w:rsidRPr="00452618">
        <w:rPr>
          <w:vertAlign w:val="superscript"/>
        </w:rPr>
        <w:footnoteReference w:id="66"/>
      </w:r>
      <w:r w:rsidR="00452618" w:rsidRPr="00452618">
        <w:t xml:space="preserve"> </w:t>
      </w:r>
    </w:p>
    <w:p w14:paraId="7D81C812" w14:textId="6DAB5312" w:rsidR="00452618" w:rsidRPr="00452618" w:rsidRDefault="009153C9" w:rsidP="0041032A">
      <w:pPr>
        <w:pStyle w:val="SingleTxtG"/>
      </w:pPr>
      <w:r>
        <w:t>36.</w:t>
      </w:r>
      <w:r>
        <w:tab/>
      </w:r>
      <w:r w:rsidR="00452618" w:rsidRPr="00452618">
        <w:t>Article 19 of the International Covenant on Civil and Political Rights protects the right to freedom of opinion and expression.</w:t>
      </w:r>
      <w:r w:rsidR="00452618" w:rsidRPr="00452618">
        <w:rPr>
          <w:vertAlign w:val="superscript"/>
        </w:rPr>
        <w:footnoteReference w:id="67"/>
      </w:r>
      <w:r w:rsidR="00452618" w:rsidRPr="00452618">
        <w:t xml:space="preserve"> The Special Rapporteur rejects the notion that preventing and addressing online racist hate speech and upholding freedom of opinion and expression is a zero-sum game, whereby advances in one is automatically at the expense of the other. Equality and non-discrimination and fundamental freedoms reinforce one another as cornerstones of the foundation of international human rights law, democratic governance, and the rule of law. Freedom of opinion and expression must therefore be seen as indivisible from provisions bestowing obligations onto States to prevent and address online racist hate speech.</w:t>
      </w:r>
      <w:r w:rsidR="00452618" w:rsidRPr="00452618">
        <w:rPr>
          <w:vertAlign w:val="superscript"/>
        </w:rPr>
        <w:footnoteReference w:id="68"/>
      </w:r>
      <w:r w:rsidR="00452618" w:rsidRPr="00452618">
        <w:t xml:space="preserve"> Provisions protecting this fundamental freedom, particularly article 19 of the International Covenant on Civil and Political Rights and article 5 (viii) of the International Convention on the Elimination of Racial Discrimination, are central to how States approach preventing and addressing online racist hate speech. This is not to say that ensuring full respect for freedom of opinion expression and addressing online racist hate speech is an easy task. There is however relevant guidance in international human rights law to help navigate such challenges and complexities.  </w:t>
      </w:r>
    </w:p>
    <w:p w14:paraId="76E56454" w14:textId="3D5612DE" w:rsidR="00452618" w:rsidRPr="00452618" w:rsidRDefault="009153C9" w:rsidP="0041032A">
      <w:pPr>
        <w:pStyle w:val="SingleTxtG"/>
      </w:pPr>
      <w:r>
        <w:t>37.</w:t>
      </w:r>
      <w:r>
        <w:tab/>
      </w:r>
      <w:r w:rsidR="00452618" w:rsidRPr="00452618">
        <w:t xml:space="preserve">Article 19 (3) of the International Covenant on Civil and Political Rights, makes clear that any restrictions to the right must be outlined in law, pursue a legitimate aim and be necessary and proportionate in their scope. The progressive interpretation of the Human Rights Committee of these provisions, including in their General Recommendation No.31, as well as the work of the Special Rapporteur on freedom of opinion and expression, have </w:t>
      </w:r>
      <w:r w:rsidR="005E45FF">
        <w:t>reinforced</w:t>
      </w:r>
      <w:r w:rsidR="00452618" w:rsidRPr="00452618">
        <w:t xml:space="preserve"> that measures to restrict freedom of opinion and expression must meet the criteria of legality, necessity, proportionality and legitimacy.</w:t>
      </w:r>
      <w:r w:rsidR="00452618" w:rsidRPr="00452618">
        <w:rPr>
          <w:vertAlign w:val="superscript"/>
        </w:rPr>
        <w:footnoteReference w:id="69"/>
      </w:r>
      <w:r w:rsidR="00452618" w:rsidRPr="00452618">
        <w:t xml:space="preserve"> </w:t>
      </w:r>
    </w:p>
    <w:p w14:paraId="5946EC37" w14:textId="43469092" w:rsidR="00452618" w:rsidRPr="00452618" w:rsidRDefault="009153C9" w:rsidP="0041032A">
      <w:pPr>
        <w:pStyle w:val="SingleTxtG"/>
      </w:pPr>
      <w:r>
        <w:t>38.</w:t>
      </w:r>
      <w:r>
        <w:tab/>
      </w:r>
      <w:r w:rsidR="00452618" w:rsidRPr="00452618">
        <w:t>Article 19 provisions are complimented by those in article 18 of the International Covenant on Civil and Political Rights. Article 18 protects right to freedom of thought, conscience, religion or belief. Article 18 (3) “freedom to manifest one's religion or beliefs may be subject only to such limitations as are prescribed by law and are necessary to protect public safety, order, health, or morals or the fundamental rights and freedoms of others.”</w:t>
      </w:r>
      <w:r w:rsidR="00452618" w:rsidRPr="00452618">
        <w:rPr>
          <w:vertAlign w:val="superscript"/>
        </w:rPr>
        <w:footnoteReference w:id="70"/>
      </w:r>
      <w:r w:rsidR="00452618" w:rsidRPr="00452618">
        <w:t xml:space="preserve"> </w:t>
      </w:r>
    </w:p>
    <w:p w14:paraId="10E0E402" w14:textId="11DA6440" w:rsidR="00452618" w:rsidRPr="00452618" w:rsidRDefault="009153C9" w:rsidP="0041032A">
      <w:pPr>
        <w:pStyle w:val="SingleTxtG"/>
      </w:pPr>
      <w:r>
        <w:t>39.</w:t>
      </w:r>
      <w:r>
        <w:tab/>
      </w:r>
      <w:r w:rsidR="00452618" w:rsidRPr="00452618">
        <w:t>Article 4 of the International Convention on the Elimination of Racial Discrimination explicitly establishes that all measures taken to implement article 4 must afford due regard to the principles embodied in the Universal Declaration of Human Rights and the rights expressly set forth in article 5 of the Convention. As elaborated on above, article 5 of the Convention includes the right to freedom of expression and opinion (art 5 viii).</w:t>
      </w:r>
      <w:r w:rsidR="00452618" w:rsidRPr="00452618">
        <w:rPr>
          <w:vertAlign w:val="superscript"/>
        </w:rPr>
        <w:footnoteReference w:id="71"/>
      </w:r>
      <w:r w:rsidR="00452618" w:rsidRPr="00452618">
        <w:t xml:space="preserve"> Vague or overly broad restrictions on freedom of expression are open to abuse and risk undermining the rights of groups protected by the International Covenant on the Elimination of All Forms of Racial Discrimination. It is those already facing discrimination and exclusion who are most vulnerable to the effects of restrictions of freedom of expression that do not meet the criteria of legality, necessity, proportionality and legitimacy.</w:t>
      </w:r>
      <w:r w:rsidR="00452618" w:rsidRPr="00452618">
        <w:rPr>
          <w:vertAlign w:val="superscript"/>
        </w:rPr>
        <w:footnoteReference w:id="72"/>
      </w:r>
      <w:r w:rsidR="00452618" w:rsidRPr="00452618">
        <w:t xml:space="preserve"> Moreover, as established in the Durban Declaration and Programme of Action, freedom of expression and opinion, including in an online context, play an important role in addressing harmful racial stereotypes and racial hatred.</w:t>
      </w:r>
      <w:r w:rsidR="00452618" w:rsidRPr="00452618">
        <w:rPr>
          <w:vertAlign w:val="superscript"/>
        </w:rPr>
        <w:footnoteReference w:id="73"/>
      </w:r>
    </w:p>
    <w:p w14:paraId="1E97D507" w14:textId="3132EF3E" w:rsidR="00452618" w:rsidRPr="00452618" w:rsidRDefault="009153C9" w:rsidP="0041032A">
      <w:pPr>
        <w:pStyle w:val="SingleTxtG"/>
      </w:pPr>
      <w:r>
        <w:t>40.</w:t>
      </w:r>
      <w:r>
        <w:tab/>
      </w:r>
      <w:r w:rsidR="00452618" w:rsidRPr="00452618">
        <w:t>As racist hate speech can amount to incitement to hostility, discrimination or violence, the Rabat Plan of Action provides additional guidance on the relationship between freedom expression and the prohibition of incitement to hatred. The Rabat Plan of Action is the outcome document which followed a series of regional workshops organised by the Office of the High Commissioner for Human Rights in 2011. The Rabat Plan of Action recommends that distinctions should be made between three types of expression: expression that constitutes a criminal offence; expression that is not criminally punishable but may justify a civil suit or administrative sanctions; and expression that does not give rise to criminal, civil or administrative sanctions, but still raises concern in terms of tolerance, civility and respect for the rights of others.</w:t>
      </w:r>
      <w:r w:rsidR="00452618" w:rsidRPr="00452618">
        <w:rPr>
          <w:vertAlign w:val="superscript"/>
        </w:rPr>
        <w:footnoteReference w:id="74"/>
      </w:r>
      <w:r w:rsidR="00452618" w:rsidRPr="00452618">
        <w:t xml:space="preserve"> The Rabat Plan of Action clarifies that a high threshold is set for defining restrictions on freedom of expression, incitement to hatred, and for the application of article 20 of the International Covenant on Civil and Political Rights.</w:t>
      </w:r>
      <w:r w:rsidR="00452618" w:rsidRPr="00452618">
        <w:rPr>
          <w:vertAlign w:val="superscript"/>
        </w:rPr>
        <w:footnoteReference w:id="75"/>
      </w:r>
      <w:r w:rsidR="00452618" w:rsidRPr="00452618">
        <w:t xml:space="preserve"> It sets out a set of criteria to determine when expression should be considered as criminal offence based on the following six factors: context;</w:t>
      </w:r>
      <w:r w:rsidR="00452618" w:rsidRPr="00452618">
        <w:rPr>
          <w:vertAlign w:val="superscript"/>
        </w:rPr>
        <w:footnoteReference w:id="76"/>
      </w:r>
      <w:r w:rsidR="00452618" w:rsidRPr="00452618">
        <w:t xml:space="preserve"> speaker;</w:t>
      </w:r>
      <w:r w:rsidR="00452618" w:rsidRPr="00452618">
        <w:rPr>
          <w:vertAlign w:val="superscript"/>
        </w:rPr>
        <w:footnoteReference w:id="77"/>
      </w:r>
      <w:r w:rsidR="00452618" w:rsidRPr="00452618">
        <w:t xml:space="preserve"> intent;</w:t>
      </w:r>
      <w:r w:rsidR="00452618" w:rsidRPr="00452618">
        <w:rPr>
          <w:vertAlign w:val="superscript"/>
        </w:rPr>
        <w:footnoteReference w:id="78"/>
      </w:r>
      <w:r w:rsidR="00452618" w:rsidRPr="00452618">
        <w:t xml:space="preserve"> context and form;</w:t>
      </w:r>
      <w:r w:rsidR="00452618" w:rsidRPr="00452618">
        <w:rPr>
          <w:vertAlign w:val="superscript"/>
        </w:rPr>
        <w:footnoteReference w:id="79"/>
      </w:r>
      <w:r w:rsidR="00452618" w:rsidRPr="00452618">
        <w:t xml:space="preserve"> extent of the speech act;</w:t>
      </w:r>
      <w:r w:rsidR="00452618" w:rsidRPr="00452618">
        <w:rPr>
          <w:vertAlign w:val="superscript"/>
        </w:rPr>
        <w:footnoteReference w:id="80"/>
      </w:r>
      <w:r w:rsidR="00452618" w:rsidRPr="00452618">
        <w:t xml:space="preserve"> and likelihood, including imminence.</w:t>
      </w:r>
      <w:r w:rsidR="00452618" w:rsidRPr="00452618">
        <w:rPr>
          <w:vertAlign w:val="superscript"/>
        </w:rPr>
        <w:footnoteReference w:id="81"/>
      </w:r>
      <w:r w:rsidR="00452618" w:rsidRPr="00452618">
        <w:t xml:space="preserve"> The Rabat Plan of Action outlines that all forms of incitement to discrimination, hostility or violence should be prohibited in national legal frameworks but only the most serious cases, as determined by the threshold test, should be criminalised.</w:t>
      </w:r>
      <w:r w:rsidR="00452618" w:rsidRPr="00452618">
        <w:rPr>
          <w:vertAlign w:val="superscript"/>
        </w:rPr>
        <w:footnoteReference w:id="82"/>
      </w:r>
      <w:r w:rsidR="00452618" w:rsidRPr="00452618">
        <w:t xml:space="preserve"> </w:t>
      </w:r>
    </w:p>
    <w:p w14:paraId="41D43F24" w14:textId="0149A681" w:rsidR="00452618" w:rsidRPr="00452618" w:rsidRDefault="009153C9" w:rsidP="0041032A">
      <w:pPr>
        <w:pStyle w:val="SingleTxtG"/>
      </w:pPr>
      <w:r>
        <w:t>41.</w:t>
      </w:r>
      <w:r>
        <w:tab/>
      </w:r>
      <w:r w:rsidR="00A8688C" w:rsidRPr="00452618">
        <w:t>Regarding the</w:t>
      </w:r>
      <w:r w:rsidR="00452618" w:rsidRPr="00452618">
        <w:t xml:space="preserve"> forms of expression that warrant criminalisation, the Special Rapporteur also wishes to highlight that the Convention on the Prevention and Punishment of the Crime of Genocide requires States to criminalize incitement to genocide.</w:t>
      </w:r>
      <w:r w:rsidR="00452618" w:rsidRPr="00452618">
        <w:rPr>
          <w:vertAlign w:val="superscript"/>
        </w:rPr>
        <w:footnoteReference w:id="83"/>
      </w:r>
      <w:r w:rsidR="00452618" w:rsidRPr="00452618">
        <w:t xml:space="preserve"> </w:t>
      </w:r>
    </w:p>
    <w:p w14:paraId="06871A81" w14:textId="723959CB" w:rsidR="00452618" w:rsidRPr="00452618" w:rsidRDefault="009153C9" w:rsidP="0041032A">
      <w:pPr>
        <w:pStyle w:val="SingleTxtG"/>
      </w:pPr>
      <w:r>
        <w:t>42.</w:t>
      </w:r>
      <w:r>
        <w:tab/>
      </w:r>
      <w:r w:rsidR="00452618" w:rsidRPr="00452618">
        <w:t xml:space="preserve">In most cases online racist hate speech does not reach the threshold whereby it could be legitimately subjected to criminal sanctions under international human rights law. </w:t>
      </w:r>
      <w:bookmarkStart w:id="8" w:name="_Hlk147999472"/>
      <w:r w:rsidR="00452618" w:rsidRPr="00452618">
        <w:t>Accordingly other measures to prevent and address online racist hate speech are very important. Counter speech, education, community projects and steps to build societal support for plurality, are critical to preventing and addressing online racist hate speech.</w:t>
      </w:r>
      <w:bookmarkEnd w:id="8"/>
      <w:r w:rsidR="00452618" w:rsidRPr="00452618">
        <w:t xml:space="preserve"> The obligation to develop and effectively implement such measures has a basis in international law. As highlighted in the Committee on the Elimination of Racial Discrimination’s General recommendation no.35, Article 4 of the Convention</w:t>
      </w:r>
      <w:r w:rsidR="00452618" w:rsidRPr="00452618">
        <w:rPr>
          <w:vertAlign w:val="superscript"/>
        </w:rPr>
        <w:footnoteReference w:id="84"/>
      </w:r>
      <w:r w:rsidR="00452618" w:rsidRPr="00452618">
        <w:t xml:space="preserve"> includes an obligation to implement “immediate and positive measures” to eradicate discrimination, which is complimented by broader obligations to dedicate the widest possible range of resources to the eradication of hate speech.</w:t>
      </w:r>
      <w:r w:rsidR="00452618" w:rsidRPr="00452618">
        <w:rPr>
          <w:vertAlign w:val="superscript"/>
        </w:rPr>
        <w:footnoteReference w:id="85"/>
      </w:r>
      <w:r w:rsidR="00452618" w:rsidRPr="00452618">
        <w:t xml:space="preserve"> Moreover, article 7 of the Convention obligates States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w:t>
      </w:r>
      <w:r w:rsidR="00452618" w:rsidRPr="00452618">
        <w:rPr>
          <w:vertAlign w:val="superscript"/>
        </w:rPr>
        <w:footnoteReference w:id="86"/>
      </w:r>
      <w:r w:rsidR="00452618" w:rsidRPr="00452618">
        <w:t xml:space="preserve"> The Committee on the Elimination of Racial Discrimination’s General recommendation No.35 makes clear that article 7 is key to addressing the root causes of hate speech and is one of the “appropriate means” by which State parties can uphold the prohibition of racial discrimination established in article 2.</w:t>
      </w:r>
      <w:r w:rsidR="00452618" w:rsidRPr="00452618">
        <w:rPr>
          <w:vertAlign w:val="superscript"/>
        </w:rPr>
        <w:footnoteReference w:id="87"/>
      </w:r>
    </w:p>
    <w:p w14:paraId="081072DA" w14:textId="1E969346" w:rsidR="00452618" w:rsidRPr="00452618" w:rsidRDefault="009153C9" w:rsidP="0041032A">
      <w:pPr>
        <w:pStyle w:val="SingleTxtG"/>
      </w:pPr>
      <w:r>
        <w:t>43.</w:t>
      </w:r>
      <w:r>
        <w:tab/>
      </w:r>
      <w:r w:rsidR="00452618" w:rsidRPr="00452618">
        <w:t>Companies that provide digital platforms have huge influence over the control of contents and may have significant commercial interests entangled within the complex web of online racial hatred. States are the primary duty bearers under international human rights law. However, a multistakeholder approach is necessary to address the proliferation of online racist hate speech and relevant international standards establish that companies have responsibilities to promote, respect and remedy human rights.</w:t>
      </w:r>
      <w:r w:rsidR="00452618" w:rsidRPr="00452618">
        <w:rPr>
          <w:vertAlign w:val="superscript"/>
        </w:rPr>
        <w:footnoteReference w:id="88"/>
      </w:r>
      <w:r w:rsidR="00452618" w:rsidRPr="00452618">
        <w:t xml:space="preserve"> The UN Guiding Principles on Business and Human outline that companies have a responsibility to prevent, mitigate and remedy human rights violations that they may cause or contribute to and must conduct human rights due diligence with regard to relevant business activities.</w:t>
      </w:r>
      <w:r w:rsidR="00452618" w:rsidRPr="00452618">
        <w:rPr>
          <w:vertAlign w:val="superscript"/>
        </w:rPr>
        <w:footnoteReference w:id="89"/>
      </w:r>
      <w:r w:rsidR="00452618" w:rsidRPr="00452618">
        <w:t xml:space="preserve"> The mandate of the Special Rapporteur on freedom of expression and opinion has provided guidance on the human rights obligations of business entities to address online hate speech according to the UN Guiding Principles.</w:t>
      </w:r>
      <w:r w:rsidR="00452618" w:rsidRPr="00452618">
        <w:rPr>
          <w:vertAlign w:val="superscript"/>
        </w:rPr>
        <w:footnoteReference w:id="90"/>
      </w:r>
      <w:r w:rsidR="00452618" w:rsidRPr="00452618">
        <w:t xml:space="preserve"> In the mandate’s 2019 report on hate speech, it is recommended that companies should use the application of the guiding principles to ensure the integration of human rights into product design, as well as conducting periodic reviews of the impact of products on human rights.</w:t>
      </w:r>
      <w:r w:rsidR="00452618" w:rsidRPr="00452618">
        <w:rPr>
          <w:vertAlign w:val="superscript"/>
        </w:rPr>
        <w:footnoteReference w:id="91"/>
      </w:r>
      <w:r w:rsidR="00452618" w:rsidRPr="00452618">
        <w:t xml:space="preserve"> The report also makes clear that the principles of legality, necessity and proportionality apply to business practices and sets out guidance on how companies can uphold these principles.</w:t>
      </w:r>
      <w:r w:rsidR="00452618" w:rsidRPr="00452618">
        <w:rPr>
          <w:vertAlign w:val="superscript"/>
        </w:rPr>
        <w:footnoteReference w:id="92"/>
      </w:r>
    </w:p>
    <w:p w14:paraId="7A12BA35" w14:textId="4AE22A89" w:rsidR="00452618" w:rsidRPr="00452618" w:rsidRDefault="008A4E1B" w:rsidP="008A4E1B">
      <w:pPr>
        <w:pStyle w:val="HChG"/>
      </w:pPr>
      <w:r>
        <w:tab/>
      </w:r>
      <w:r w:rsidR="00452618" w:rsidRPr="00452618">
        <w:t>V.</w:t>
      </w:r>
      <w:r>
        <w:tab/>
      </w:r>
      <w:r>
        <w:tab/>
      </w:r>
      <w:bookmarkStart w:id="9" w:name="_Hlk148440161"/>
      <w:r w:rsidR="00452618" w:rsidRPr="00452618">
        <w:t>Challenges in addressing online racist hate speech</w:t>
      </w:r>
      <w:bookmarkEnd w:id="9"/>
    </w:p>
    <w:p w14:paraId="3B7E791E" w14:textId="1E3EEFDA" w:rsidR="00452618" w:rsidRPr="00452618" w:rsidRDefault="009153C9" w:rsidP="0041032A">
      <w:pPr>
        <w:pStyle w:val="SingleTxtG"/>
      </w:pPr>
      <w:r>
        <w:t>44.</w:t>
      </w:r>
      <w:r>
        <w:tab/>
      </w:r>
      <w:r w:rsidR="00452618" w:rsidRPr="00452618">
        <w:t xml:space="preserve">In the present section, the Special Rapporteur presents analysis of some of what she perceives to be the most pertinent challenges. </w:t>
      </w:r>
    </w:p>
    <w:p w14:paraId="7DF94318" w14:textId="7B49D8DF" w:rsidR="00452618" w:rsidRPr="00452618" w:rsidRDefault="008A4E1B" w:rsidP="008A4E1B">
      <w:pPr>
        <w:pStyle w:val="H4G"/>
      </w:pPr>
      <w:r>
        <w:tab/>
      </w:r>
      <w:r>
        <w:tab/>
      </w:r>
      <w:r w:rsidR="00452618" w:rsidRPr="00452618">
        <w:t>Legislative gaps</w:t>
      </w:r>
    </w:p>
    <w:p w14:paraId="5E8FEFB2" w14:textId="77849746" w:rsidR="00452618" w:rsidRPr="00452618" w:rsidRDefault="009153C9" w:rsidP="0041032A">
      <w:pPr>
        <w:pStyle w:val="SingleTxtG"/>
      </w:pPr>
      <w:r>
        <w:t>45.</w:t>
      </w:r>
      <w:r>
        <w:tab/>
      </w:r>
      <w:r w:rsidR="00452618" w:rsidRPr="00452618">
        <w:t xml:space="preserve">The Special Rapporteur acknowledges the information provided in many submissions by States that contained information about legislation that seeks to address online hate speech. It is beyond the scope of this report to provide an assessment of these legislative provisions, but the Special Rapporteur welcomes efforts to ensure that legislation is in place to address the dissemination of ideas based on racial superiority or hatred, incitement to racial discrimination, as well as all of acts of violence, or incitement to such acts. She is however concerned by global trends reflecting that there are significant gaps in the legislative provisions in place to prevent and address online racist hate speech. </w:t>
      </w:r>
    </w:p>
    <w:p w14:paraId="52EB62CB" w14:textId="466947AC" w:rsidR="00452618" w:rsidRPr="00452618" w:rsidRDefault="009153C9" w:rsidP="0041032A">
      <w:pPr>
        <w:pStyle w:val="SingleTxtG"/>
      </w:pPr>
      <w:r>
        <w:t>46.</w:t>
      </w:r>
      <w:r>
        <w:tab/>
      </w:r>
      <w:r w:rsidR="00452618" w:rsidRPr="00452618">
        <w:t>The Special Rapporteur perceives there to be a significant degree of heterogeneity in the legal approaches to online racist hate speech.</w:t>
      </w:r>
      <w:r w:rsidR="00452618" w:rsidRPr="00452618">
        <w:rPr>
          <w:vertAlign w:val="superscript"/>
        </w:rPr>
        <w:footnoteReference w:id="93"/>
      </w:r>
      <w:r w:rsidR="00452618" w:rsidRPr="00452618">
        <w:t xml:space="preserve"> Of significant concern to the Special Rapporteur is an absence of a legal prohibition of incitement to discrimination, hostility or violence in many domestic legal frameworks worldwide.</w:t>
      </w:r>
      <w:r w:rsidR="00452618" w:rsidRPr="00452618">
        <w:rPr>
          <w:vertAlign w:val="superscript"/>
        </w:rPr>
        <w:footnoteReference w:id="94"/>
      </w:r>
      <w:r w:rsidR="00452618" w:rsidRPr="00452618">
        <w:t xml:space="preserve"> She is also concerned that in jurisdictions that have legislation in place, there are gaps in the degree to which provisions comply with the standards laid out in international human rights law. Legislative provisions can include overly broad restrictions on freedom of expression that, in certain cases, can be instrumentalised by Governments to repress dissent or silence individuals from racial and ethnic groups.</w:t>
      </w:r>
      <w:r w:rsidR="00452618" w:rsidRPr="00452618">
        <w:rPr>
          <w:vertAlign w:val="superscript"/>
        </w:rPr>
        <w:footnoteReference w:id="95"/>
      </w:r>
      <w:r w:rsidR="00452618" w:rsidRPr="00452618">
        <w:t xml:space="preserve"> </w:t>
      </w:r>
    </w:p>
    <w:p w14:paraId="2B39EB80" w14:textId="77318B5D" w:rsidR="00452618" w:rsidRPr="00452618" w:rsidRDefault="008A4E1B" w:rsidP="008A4E1B">
      <w:pPr>
        <w:pStyle w:val="H4G"/>
      </w:pPr>
      <w:r>
        <w:tab/>
      </w:r>
      <w:r>
        <w:tab/>
      </w:r>
      <w:r w:rsidR="00452618" w:rsidRPr="00452618">
        <w:t>Ineffective implementation of legislation</w:t>
      </w:r>
    </w:p>
    <w:p w14:paraId="680C5A99" w14:textId="54AA0A71" w:rsidR="00452618" w:rsidRPr="00452618" w:rsidRDefault="009153C9" w:rsidP="0041032A">
      <w:pPr>
        <w:pStyle w:val="SingleTxtG"/>
      </w:pPr>
      <w:r>
        <w:t>47.</w:t>
      </w:r>
      <w:r>
        <w:tab/>
      </w:r>
      <w:r w:rsidR="00452618" w:rsidRPr="00452618">
        <w:t>Another key challenge to effectively preventing and addressing online racist hate speech is ineffective implementation of the legislation that is in place to address online racist hate speech that constitutes incitement and, in the most serious cases of such incitement that meet the threshold for criminalization as defined by the Rabat Plan, punish perpetrators.</w:t>
      </w:r>
      <w:r w:rsidR="00452618" w:rsidRPr="00452618">
        <w:rPr>
          <w:vertAlign w:val="superscript"/>
        </w:rPr>
        <w:footnoteReference w:id="96"/>
      </w:r>
      <w:r w:rsidR="00452618" w:rsidRPr="00452618">
        <w:t xml:space="preserve"> As highlighted by the Committee on the Elimination of Racial Discrimination, it is not enough to declare relevant forms of speech as offences, they must also be effectively implemented. This is achieved through the effective investigation of offences, and, where appropriate, prosecution and other remedial measures.</w:t>
      </w:r>
      <w:r w:rsidR="00452618" w:rsidRPr="00452618">
        <w:rPr>
          <w:vertAlign w:val="superscript"/>
        </w:rPr>
        <w:footnoteReference w:id="97"/>
      </w:r>
      <w:r w:rsidR="00452618" w:rsidRPr="00452618">
        <w:t xml:space="preserve"> </w:t>
      </w:r>
    </w:p>
    <w:p w14:paraId="3CFC9C43" w14:textId="7972FEFD" w:rsidR="00452618" w:rsidRPr="00452618" w:rsidRDefault="009153C9" w:rsidP="0041032A">
      <w:pPr>
        <w:pStyle w:val="SingleTxtG"/>
      </w:pPr>
      <w:r>
        <w:t>48.</w:t>
      </w:r>
      <w:r>
        <w:tab/>
      </w:r>
      <w:r w:rsidR="00452618" w:rsidRPr="00452618">
        <w:t>Given the importance of investigation and prosecution to the effective implementation of relevant legislation, the Special Rapporteur is concerned by reports that victims who have suffered harm, as a result of incitement, often cannot access justice and others forms of remedy. This is reflected in the relative paucity of jurisprudence on online racist hate speech.</w:t>
      </w:r>
      <w:r w:rsidR="00452618" w:rsidRPr="00452618">
        <w:rPr>
          <w:vertAlign w:val="superscript"/>
        </w:rPr>
        <w:footnoteReference w:id="98"/>
      </w:r>
      <w:r w:rsidR="00452618" w:rsidRPr="00452618">
        <w:t xml:space="preserve"> Barriers to access to justice and remedy can include a reluctance of victims to report due to a residual lack of trust in public authorities and/or fear or reprisals; withdrawal of complaints by victims due to difficulties engaging with relevant authorities; and a lack of awareness amongst victims about their rights and how to seek remedy.</w:t>
      </w:r>
      <w:r w:rsidR="00452618" w:rsidRPr="00452618">
        <w:rPr>
          <w:vertAlign w:val="superscript"/>
        </w:rPr>
        <w:footnoteReference w:id="99"/>
      </w:r>
      <w:r w:rsidR="00452618" w:rsidRPr="00452618">
        <w:t xml:space="preserve">  Such trends have a negative impact on the rights of victims to access justice, as protected by article 6 of the International Convention on the Elimination of Racial Discrimination and article 2 (3) of the International Covenant on Civil and Political Rights. It also creates impunity for incitement, which emboldens perpetrators and further legitimises and normalises other forms of online racial hatred. Moreover, it impedes judicial review of the facts of individual cases, which has been recognised as being of central importance to the interpretation and implementation of relevant international human rights law provisions at the national level.</w:t>
      </w:r>
      <w:r w:rsidR="00452618" w:rsidRPr="00452618">
        <w:rPr>
          <w:vertAlign w:val="superscript"/>
        </w:rPr>
        <w:footnoteReference w:id="100"/>
      </w:r>
    </w:p>
    <w:p w14:paraId="420399C5" w14:textId="5E469D04" w:rsidR="00452618" w:rsidRPr="00452618" w:rsidRDefault="008A4E1B" w:rsidP="008A4E1B">
      <w:pPr>
        <w:pStyle w:val="H4G"/>
      </w:pPr>
      <w:r>
        <w:tab/>
      </w:r>
      <w:r>
        <w:tab/>
      </w:r>
      <w:r w:rsidR="00452618" w:rsidRPr="00452618">
        <w:t xml:space="preserve">Gaps in the non-legal measures of States </w:t>
      </w:r>
    </w:p>
    <w:p w14:paraId="1F2EF5D5" w14:textId="4A45393A" w:rsidR="00452618" w:rsidRPr="00452618" w:rsidRDefault="009153C9" w:rsidP="0041032A">
      <w:pPr>
        <w:pStyle w:val="SingleTxtG"/>
      </w:pPr>
      <w:r>
        <w:t>49.</w:t>
      </w:r>
      <w:r>
        <w:tab/>
      </w:r>
      <w:r w:rsidR="00452618" w:rsidRPr="00452618">
        <w:t>In most cases online racist hate speech does not reach the threshold whereby it could be legitimately subjected to criminal sanctions under international human rights law. It could however still be harmful to those from racial and ethnic groups. Accordingly other measures to prevent and address online racist hate speech, such as counter speech, education, community projects and steps to build societal support for plurality, are critical to preventing and addressing online racist hate speech.</w:t>
      </w:r>
      <w:r w:rsidR="00452618" w:rsidRPr="00452618">
        <w:rPr>
          <w:vertAlign w:val="superscript"/>
        </w:rPr>
        <w:footnoteReference w:id="101"/>
      </w:r>
      <w:r w:rsidR="00452618" w:rsidRPr="00452618">
        <w:t xml:space="preserve"> The Special Rapporteur is concerned by a lack of information about comprehensive and effective non-legal measures by States to prevent and address online racist hate speech. Whilst noting some information received from some States on non-legal measures, the Special Rapporteur is concerned that there are gaps in the overall investment in non-legal measures to effectively address the root causes of online racist hate speech. </w:t>
      </w:r>
    </w:p>
    <w:p w14:paraId="6799A8FE" w14:textId="7FE89117" w:rsidR="00452618" w:rsidRPr="00452618" w:rsidRDefault="008A4E1B" w:rsidP="008A4E1B">
      <w:pPr>
        <w:pStyle w:val="H4G"/>
      </w:pPr>
      <w:r>
        <w:tab/>
      </w:r>
      <w:r>
        <w:tab/>
      </w:r>
      <w:r w:rsidR="00452618" w:rsidRPr="00452618">
        <w:t xml:space="preserve">Lack of adequate investment by the providers of digital platforms in preventing and addressing online racist hate speech </w:t>
      </w:r>
    </w:p>
    <w:p w14:paraId="0CF51675" w14:textId="6FC2E75F" w:rsidR="00452618" w:rsidRPr="00452618" w:rsidRDefault="009153C9" w:rsidP="0041032A">
      <w:pPr>
        <w:pStyle w:val="SingleTxtG"/>
      </w:pPr>
      <w:r>
        <w:t>50.</w:t>
      </w:r>
      <w:r>
        <w:tab/>
      </w:r>
      <w:r w:rsidR="00452618" w:rsidRPr="00452618">
        <w:t xml:space="preserve">The companies that provide and profit from the digital platforms on which online racist hate speech is disseminated have responsibilities to respect human rights. Their responsibilities under the UN Guiding Principles and other international human rights standards were referred to in the section above. The Special Rapporteur notes some efforts by some digital platforms to prevent and address online racist hate speech. However, overall, she assesses that relevant investments are inadequate relative to the magnitude of the power and profits that such companies have acquired </w:t>
      </w:r>
      <w:r w:rsidR="00942608" w:rsidRPr="00452618">
        <w:t>because of</w:t>
      </w:r>
      <w:r w:rsidR="00452618" w:rsidRPr="00452618">
        <w:t xml:space="preserve"> the integration of digital platforms into the everyday lives of a significant proportion of the world’s population. Moreover, the fact that algorithms which disseminate online racist hate speech are central to the business model and profitability of companies that provide digital platforms compounds their responsibility to prevent and address the phenomenon.</w:t>
      </w:r>
      <w:r w:rsidR="00452618" w:rsidRPr="00452618">
        <w:rPr>
          <w:vertAlign w:val="superscript"/>
        </w:rPr>
        <w:footnoteReference w:id="102"/>
      </w:r>
      <w:r w:rsidR="00452618" w:rsidRPr="00452618">
        <w:t xml:space="preserve"> </w:t>
      </w:r>
    </w:p>
    <w:p w14:paraId="316B357C" w14:textId="18FA3BCB" w:rsidR="00452618" w:rsidRPr="00452618" w:rsidRDefault="009153C9" w:rsidP="0041032A">
      <w:pPr>
        <w:pStyle w:val="SingleTxtG"/>
      </w:pPr>
      <w:r>
        <w:t>51.</w:t>
      </w:r>
      <w:r>
        <w:tab/>
      </w:r>
      <w:r w:rsidR="00452618" w:rsidRPr="00452618">
        <w:t>Many large providers of digital platforms have developed definitions of online hate speech, which include relevant grounds under the International Convention on the Elimination of Racial Discrimination, as well as community guidelines and policies on hate speech and content moderation. The Special Rapporteur is however concerned by the lack of clarity and transparency in the policies and guidelines of companies providing digital platforms.</w:t>
      </w:r>
      <w:r w:rsidR="00452618" w:rsidRPr="00452618">
        <w:rPr>
          <w:vertAlign w:val="superscript"/>
        </w:rPr>
        <w:footnoteReference w:id="103"/>
      </w:r>
      <w:r w:rsidR="00452618" w:rsidRPr="00452618">
        <w:t xml:space="preserve"> The vagueness and opaqueness of these policies and guidelines and how they are implemented inhibits the scrutiny and participation of those from affected racial and ethnic groups. There are also cases in which those from racial and ethnic groups who have been targeted by online hate speech have had materials, which could be considered counter speech, removed with little understanding of why and no clear recourse.</w:t>
      </w:r>
      <w:r w:rsidR="00452618" w:rsidRPr="00452618">
        <w:rPr>
          <w:vertAlign w:val="superscript"/>
        </w:rPr>
        <w:footnoteReference w:id="104"/>
      </w:r>
      <w:r w:rsidR="00452618" w:rsidRPr="00452618">
        <w:t xml:space="preserve"> Another area of concern is that the most serious action envisaged by providers of digital platforms is often the removal of contents and the banning of the user. If the contents identified were serious enough to justify a restriction on online expression, removal and the banning of the user may not reflect a proportionate or effective response in all cases, particularly as users can often easily re-register using different credentials.</w:t>
      </w:r>
      <w:r w:rsidR="00452618" w:rsidRPr="00452618">
        <w:rPr>
          <w:vertAlign w:val="superscript"/>
        </w:rPr>
        <w:footnoteReference w:id="105"/>
      </w:r>
    </w:p>
    <w:p w14:paraId="78EFAB9D" w14:textId="7F81BC21" w:rsidR="00452618" w:rsidRPr="00452618" w:rsidRDefault="009153C9" w:rsidP="0041032A">
      <w:pPr>
        <w:pStyle w:val="SingleTxtG"/>
      </w:pPr>
      <w:r>
        <w:t>52.</w:t>
      </w:r>
      <w:r>
        <w:tab/>
      </w:r>
      <w:r w:rsidR="00452618" w:rsidRPr="00452618">
        <w:t>A weakness in the efforts of companies to prevent and address online racist hate speech of serious concern to the Special Rapporteur is the lack of investment in the cultural and linguistic knowledge necessary to assess online materials, including those that could be deemed as incitement. Digital platforms tend to use content moderation algorithms to identify hateful contents and may use other measures, including automation or staff employed as content moderators. Such measures tend to be grounded in race neutral approaches, as described below, which can lead to the replication or even exacerbation of societal racial and ethnic inequalities. Moreover, the investment of companies in content moderation tends to be highly unequal between different countries with significant under investment in countries in the global South. Users from the global South can report hateful speech multiple times without action, as was the case in Myanmar.</w:t>
      </w:r>
      <w:r w:rsidR="00452618" w:rsidRPr="00452618">
        <w:rPr>
          <w:vertAlign w:val="superscript"/>
        </w:rPr>
        <w:footnoteReference w:id="106"/>
      </w:r>
      <w:r w:rsidR="00452618" w:rsidRPr="00452618">
        <w:t xml:space="preserve"> In 2018, the Chief Executive Officer of Facebook, testified to the United States Senate that Facebook’s artificial intelligence systems had been unable to detect hate speech in the Myanmar context.</w:t>
      </w:r>
      <w:r w:rsidR="00452618" w:rsidRPr="00452618">
        <w:rPr>
          <w:vertAlign w:val="superscript"/>
        </w:rPr>
        <w:footnoteReference w:id="107"/>
      </w:r>
      <w:r w:rsidR="00452618" w:rsidRPr="00452618">
        <w:t xml:space="preserve"> Amnesty International have also highlighted that in the midst of the conflict in Myanmar in 2017, the region only had five Burmese speaking content moderators. The organisation also reported that weaknesses in detecting anti-Rohingya and anti-Muslim hate speech persist on the platform despite some efforts to make improvements following the atrocities.</w:t>
      </w:r>
      <w:r w:rsidR="00452618" w:rsidRPr="00452618">
        <w:rPr>
          <w:vertAlign w:val="superscript"/>
        </w:rPr>
        <w:footnoteReference w:id="108"/>
      </w:r>
      <w:r w:rsidR="00452618" w:rsidRPr="00452618">
        <w:t xml:space="preserve"> </w:t>
      </w:r>
    </w:p>
    <w:p w14:paraId="1D979083" w14:textId="3FB866D4" w:rsidR="00452618" w:rsidRPr="00452618" w:rsidRDefault="008A4E1B" w:rsidP="008A4E1B">
      <w:pPr>
        <w:pStyle w:val="H4G"/>
      </w:pPr>
      <w:r>
        <w:tab/>
      </w:r>
      <w:r>
        <w:tab/>
      </w:r>
      <w:r w:rsidR="00452618" w:rsidRPr="00452618">
        <w:t xml:space="preserve">Race neutral approaches </w:t>
      </w:r>
    </w:p>
    <w:p w14:paraId="5A8FA969" w14:textId="64BDFD53" w:rsidR="00452618" w:rsidRPr="00452618" w:rsidRDefault="009153C9" w:rsidP="0041032A">
      <w:pPr>
        <w:pStyle w:val="SingleTxtG"/>
      </w:pPr>
      <w:r>
        <w:t>53.</w:t>
      </w:r>
      <w:r>
        <w:tab/>
      </w:r>
      <w:r w:rsidR="00452618" w:rsidRPr="00452618">
        <w:t>Another major challenge that the Special Rapporteur has identified to addressing online racist hate speech, is the race neutral approach to the design, development and governance of digital technologies. As highlighted by the Special Rapporteur’s predecessor “the public perception of technology tends to be that it is inherently neutral and objective, and some have pointed out that this presumption of technological objectivity and neutrality is one that remains salient even among producers of technology. But</w:t>
      </w:r>
      <w:r w:rsidR="00452618" w:rsidRPr="00452618">
        <w:rPr>
          <w:i/>
          <w:iCs/>
        </w:rPr>
        <w:t xml:space="preserve"> </w:t>
      </w:r>
      <w:r w:rsidR="00452618" w:rsidRPr="00452618">
        <w:t>technology is never neutral – it reflects the values and interests of those who influence its design and use and is fundamentally shaped by the same structures of inequality that operate in society”.</w:t>
      </w:r>
      <w:r w:rsidR="00452618" w:rsidRPr="00452618">
        <w:rPr>
          <w:vertAlign w:val="superscript"/>
        </w:rPr>
        <w:footnoteReference w:id="109"/>
      </w:r>
      <w:r w:rsidR="00452618" w:rsidRPr="00452618">
        <w:t xml:space="preserve"> The assumption of the neutrality of digital technologies and the absence of an approach that explicitly addresses the ability of such technologies to replicate and exacerbate racial and ethnic inequalities in and between societies makes it challenging to effectively address online racist hate speech. Such trends can be exacerbated by the lack of racial and ethnic diversity within the technology sector and amongst those who design algorithms that determine content dissemination and moderation, as well as guidelines and policies relating to online racist hate speech.</w:t>
      </w:r>
      <w:r w:rsidR="00452618" w:rsidRPr="00452618">
        <w:rPr>
          <w:vertAlign w:val="superscript"/>
        </w:rPr>
        <w:footnoteReference w:id="110"/>
      </w:r>
      <w:r w:rsidR="00452618" w:rsidRPr="00452618">
        <w:t xml:space="preserve"> </w:t>
      </w:r>
    </w:p>
    <w:p w14:paraId="54630759" w14:textId="23C2D82D" w:rsidR="00452618" w:rsidRPr="00452618" w:rsidRDefault="008A4E1B" w:rsidP="0041032A">
      <w:pPr>
        <w:pStyle w:val="SingleTxtG"/>
      </w:pPr>
      <w:r>
        <w:t>54.</w:t>
      </w:r>
      <w:r>
        <w:tab/>
      </w:r>
      <w:r w:rsidR="00452618" w:rsidRPr="00452618">
        <w:t>The Special Rapporteur on minority issues, highlighted in a 2021 report, that even though minorities are the most affected by online hate speech, including that which would meet the threshold for incitement, their experiences and perspectives are not explicitly recognised within efforts to address the phenomenon. Instead, the “extent and brutality of hate speech is ignored, even camouflaged in a fog of generalities”.</w:t>
      </w:r>
      <w:r w:rsidR="00452618" w:rsidRPr="00452618">
        <w:rPr>
          <w:vertAlign w:val="superscript"/>
        </w:rPr>
        <w:footnoteReference w:id="111"/>
      </w:r>
      <w:r w:rsidR="00452618" w:rsidRPr="00452618">
        <w:t xml:space="preserve"> The Special Rapporteur echoes such concerns in relation to the experiences and perspectives of those targeted by online racist hate speech. She is not aware of many initiatives that enable the meaningful participation of people from the most affected groups in the design, development and governance of digital platforms or initiatives at the national and international levels to prevent and address online racist hate speech.</w:t>
      </w:r>
    </w:p>
    <w:p w14:paraId="761DB1E1" w14:textId="0E075B8C" w:rsidR="00452618" w:rsidRPr="00452618" w:rsidRDefault="008A4E1B" w:rsidP="008A4E1B">
      <w:pPr>
        <w:pStyle w:val="H4G"/>
      </w:pPr>
      <w:r>
        <w:tab/>
      </w:r>
      <w:r>
        <w:tab/>
      </w:r>
      <w:r w:rsidR="00452618" w:rsidRPr="00452618">
        <w:t xml:space="preserve">Deep societal drivers of online racist hate speech </w:t>
      </w:r>
    </w:p>
    <w:p w14:paraId="6C3DE8B1" w14:textId="386CD976" w:rsidR="00452618" w:rsidRPr="00452618" w:rsidRDefault="008A4E1B" w:rsidP="0041032A">
      <w:pPr>
        <w:pStyle w:val="SingleTxtG"/>
      </w:pPr>
      <w:r>
        <w:t>55.</w:t>
      </w:r>
      <w:r>
        <w:tab/>
      </w:r>
      <w:r w:rsidR="00452618" w:rsidRPr="00452618">
        <w:t>Whilst the drivers of online racist hate speech are inadequately understood, as elaborated on below, the phenomenon does not occur in a vacuum. Societal trends can be identified that contribute to a climate whereby online racist hate speech can flourish. Economic inequality and interrelated trends in political dissatisfaction and disenfranchisement have been identified as factors which can drive online racist hate speech.</w:t>
      </w:r>
      <w:r w:rsidR="00452618" w:rsidRPr="00452618">
        <w:rPr>
          <w:vertAlign w:val="superscript"/>
        </w:rPr>
        <w:footnoteReference w:id="112"/>
      </w:r>
      <w:r w:rsidR="00452618" w:rsidRPr="00452618">
        <w:t xml:space="preserve"> The decline of important forms of counter speech, including traditional media sources; the explosion of digital platforms without correlating increases in digital literacy; declining trust in traditional public institutions; and weaknesses in public information systems are also pertinent factors.</w:t>
      </w:r>
      <w:r w:rsidR="00452618" w:rsidRPr="00452618">
        <w:rPr>
          <w:vertAlign w:val="superscript"/>
        </w:rPr>
        <w:footnoteReference w:id="113"/>
      </w:r>
      <w:r w:rsidR="00452618" w:rsidRPr="00452618">
        <w:t xml:space="preserve"> </w:t>
      </w:r>
    </w:p>
    <w:p w14:paraId="1E14B421" w14:textId="2C00C5DA" w:rsidR="00452618" w:rsidRPr="00452618" w:rsidRDefault="008A4E1B" w:rsidP="0041032A">
      <w:pPr>
        <w:pStyle w:val="SingleTxtG"/>
      </w:pPr>
      <w:r>
        <w:t>56.</w:t>
      </w:r>
      <w:r>
        <w:tab/>
      </w:r>
      <w:r w:rsidR="00452618" w:rsidRPr="00452618">
        <w:t>Such trends interact with societal trends relating to racism and racial discrimination, including systemic forms of racism and racial discrimination, grounded in the negative legacies of colonialism and slavery. Systemic racism broadly describes “the operation of a complex, interrelated system of laws, policies, practices and attitudes in State institutions, the private sector and societal structures that, combined, result in direct or indirect, intentional or unintentional, de jure or de facto discrimination, distinction, exclusion, restriction or preference on the basis of race, colour, descent or national or ethnic origin. Systemic racism often manifests itself in pervasive racial stereotypes, prejudice and bias and is frequently rooted in histories and legacies of enslavement, the transatlantic trade in enslaved Africans and colonialism.”</w:t>
      </w:r>
      <w:r w:rsidR="00452618" w:rsidRPr="00452618">
        <w:rPr>
          <w:vertAlign w:val="superscript"/>
        </w:rPr>
        <w:footnoteReference w:id="114"/>
      </w:r>
      <w:r w:rsidR="00452618" w:rsidRPr="00452618">
        <w:t xml:space="preserve"> As articulated above, digital technologies, governed in a “race neutral” or “colour blind” manner have the capacity to compound existing societal inequities.</w:t>
      </w:r>
      <w:r w:rsidR="00452618" w:rsidRPr="00452618">
        <w:rPr>
          <w:vertAlign w:val="superscript"/>
        </w:rPr>
        <w:footnoteReference w:id="115"/>
      </w:r>
      <w:r w:rsidR="00452618" w:rsidRPr="00452618">
        <w:t xml:space="preserve"> Therefore the core features of systemic racism make those from racial and ethnic groups particularly vulnerable to online racist hate speech. Moreover, pervasive, and often inadequately addressed racial stereotypes, prejudice and bias provide fertile ground for such speech. </w:t>
      </w:r>
    </w:p>
    <w:p w14:paraId="1B4F2A23" w14:textId="7803DD37" w:rsidR="00452618" w:rsidRPr="00452618" w:rsidRDefault="008A4E1B" w:rsidP="0041032A">
      <w:pPr>
        <w:pStyle w:val="SingleTxtG"/>
      </w:pPr>
      <w:r>
        <w:t>57.</w:t>
      </w:r>
      <w:r>
        <w:tab/>
      </w:r>
      <w:r w:rsidR="00452618" w:rsidRPr="00452618">
        <w:t xml:space="preserve">The way that online racist hate speech can harm society was articulated in the preceding section. As well as being destructive at the societal level, the phenomenon can also be seen as a symptom of the broader degradation of the social fabric driven by the trends described above. The complexity and depth of the crises facing societies globally, and their bidirectional relationship with online racist hate speech, makes it challenging to effectively address the phenomena. Moreover, efforts by States and other stakeholders to prevent and address online racist hate speech that do not </w:t>
      </w:r>
      <w:r w:rsidR="00942608" w:rsidRPr="00452618">
        <w:t>consider</w:t>
      </w:r>
      <w:r w:rsidR="00452618" w:rsidRPr="00452618">
        <w:t xml:space="preserve"> these contextual drivers are less likely to be effective. </w:t>
      </w:r>
    </w:p>
    <w:p w14:paraId="47103384" w14:textId="051F92E6" w:rsidR="00452618" w:rsidRPr="00452618" w:rsidRDefault="008A4E1B" w:rsidP="008A4E1B">
      <w:pPr>
        <w:pStyle w:val="H4G"/>
      </w:pPr>
      <w:r>
        <w:tab/>
      </w:r>
      <w:r>
        <w:tab/>
      </w:r>
      <w:r w:rsidR="00452618" w:rsidRPr="00452618">
        <w:t xml:space="preserve">A lack of research and disaggregated data on online racist hate speech </w:t>
      </w:r>
    </w:p>
    <w:p w14:paraId="53952EA3" w14:textId="1711B6D5" w:rsidR="00452618" w:rsidRPr="00452618" w:rsidRDefault="008A4E1B" w:rsidP="0041032A">
      <w:pPr>
        <w:pStyle w:val="SingleTxtG"/>
      </w:pPr>
      <w:r>
        <w:t>58.</w:t>
      </w:r>
      <w:r>
        <w:tab/>
      </w:r>
      <w:r w:rsidR="00452618" w:rsidRPr="00452618">
        <w:t>The Special Rapporteur is concerned that there is dearth of research and data, disaggregated by race, colour, descent, national origin, ethnic origin and/or religion on the drivers, prevalence, perpetrators, victims and impact of online racist hate speech.</w:t>
      </w:r>
      <w:r w:rsidR="00452618" w:rsidRPr="00452618">
        <w:rPr>
          <w:vertAlign w:val="superscript"/>
        </w:rPr>
        <w:footnoteReference w:id="116"/>
      </w:r>
      <w:r w:rsidR="00452618" w:rsidRPr="00452618">
        <w:t xml:space="preserve"> The lack of this information inhibits the ability of Governments, companies and other stakeholders to develop laws and policies that will effectively target the root causes of online racist hate speech and meet the needs of those affected. It can also render the experiences of those from racial and ethnic group less visible within initiatives to prevent and address online racist hate speech. </w:t>
      </w:r>
    </w:p>
    <w:p w14:paraId="1D2AFB55" w14:textId="644E47EE" w:rsidR="00452618" w:rsidRPr="00452618" w:rsidRDefault="008A4E1B" w:rsidP="0041032A">
      <w:pPr>
        <w:pStyle w:val="SingleTxtG"/>
      </w:pPr>
      <w:r>
        <w:t>59.</w:t>
      </w:r>
      <w:r>
        <w:tab/>
      </w:r>
      <w:r w:rsidR="00452618" w:rsidRPr="00452618">
        <w:t>A lack of such information relating to online racist hate speech mirrors broader weaknesses in the collection and coordination of racially and ethnically disaggregated data across many different spheres of policy making. The Durban Declaration and Programme of Action urged States to “collect, compile, analyse, disseminate and publish reliable statistical data at the national and local levels and undertake all other related measures which are necessary to assess regularly the situation of individuals and groups of individuals who are victims of racism, racial discrimination, xenophobia and related intolerance.”</w:t>
      </w:r>
      <w:r w:rsidR="00452618" w:rsidRPr="00452618">
        <w:rPr>
          <w:vertAlign w:val="superscript"/>
        </w:rPr>
        <w:footnoteReference w:id="117"/>
      </w:r>
      <w:r w:rsidR="00452618" w:rsidRPr="00452618">
        <w:t xml:space="preserve"> It explicated that such data should be disaggregated in accordance with national law.</w:t>
      </w:r>
      <w:r w:rsidR="00452618" w:rsidRPr="00452618">
        <w:rPr>
          <w:vertAlign w:val="superscript"/>
        </w:rPr>
        <w:footnoteReference w:id="118"/>
      </w:r>
      <w:r w:rsidR="00452618" w:rsidRPr="00452618">
        <w:t xml:space="preserve"> UN human rights mechanisms working on racism and racial discrimination, including the Committee on the Elimination of Racial Discrimination and the Special Rapporteur’s mandate have consistently called upon States to improve the collection of disaggregated data. The failure of States to adequately respond to such recommendations impedes efforts to effectively address a multitude of forms of racism and racial discrimination, including online racist hate speech. </w:t>
      </w:r>
    </w:p>
    <w:p w14:paraId="14F8B6BC" w14:textId="05153244" w:rsidR="00452618" w:rsidRPr="00452618" w:rsidRDefault="008A4E1B" w:rsidP="008A4E1B">
      <w:pPr>
        <w:pStyle w:val="HChG"/>
      </w:pPr>
      <w:r>
        <w:tab/>
      </w:r>
      <w:r w:rsidR="00452618" w:rsidRPr="00452618">
        <w:t>VI.</w:t>
      </w:r>
      <w:r>
        <w:tab/>
      </w:r>
      <w:r>
        <w:tab/>
      </w:r>
      <w:r w:rsidR="00452618" w:rsidRPr="00452618">
        <w:t>Conclusions and recommendations</w:t>
      </w:r>
    </w:p>
    <w:p w14:paraId="24870F62" w14:textId="710BC2D4" w:rsidR="00452618" w:rsidRPr="00452618" w:rsidRDefault="008A4E1B" w:rsidP="0041032A">
      <w:pPr>
        <w:pStyle w:val="SingleTxtG"/>
        <w:rPr>
          <w:b/>
          <w:bCs/>
        </w:rPr>
      </w:pPr>
      <w:r w:rsidRPr="00482A89">
        <w:t>60.</w:t>
      </w:r>
      <w:r>
        <w:tab/>
      </w:r>
      <w:r w:rsidR="00452618" w:rsidRPr="00452618">
        <w:rPr>
          <w:b/>
          <w:bCs/>
        </w:rPr>
        <w:t xml:space="preserve">Online racist hate speech is a global phenomenon that has real life, in the most serious cases life or death consequences, for those from racial and ethnic groups. Online racist hate speech has a powerful detrimental effect at the societal level, creating a climate of racial hatred, destroying the social fabric of communities, and undermining the norms of human rights and democracy, including equality and non-discrimination. </w:t>
      </w:r>
    </w:p>
    <w:p w14:paraId="6C65E835" w14:textId="68A6541C" w:rsidR="00452618" w:rsidRPr="00452618" w:rsidRDefault="008A4E1B" w:rsidP="0041032A">
      <w:pPr>
        <w:pStyle w:val="SingleTxtG"/>
        <w:rPr>
          <w:b/>
          <w:bCs/>
        </w:rPr>
      </w:pPr>
      <w:r w:rsidRPr="00482A89">
        <w:t>61.</w:t>
      </w:r>
      <w:r w:rsidRPr="00482A89">
        <w:rPr>
          <w:b/>
          <w:bCs/>
        </w:rPr>
        <w:tab/>
      </w:r>
      <w:r w:rsidR="00452618" w:rsidRPr="00452618">
        <w:rPr>
          <w:b/>
          <w:bCs/>
        </w:rPr>
        <w:t>Multistakeholder approaches to preventing and addressing online racist hate speech, which are grounded in the applicable norms and standards in international human rights, are urgently needed. States, companies, civil society organizations, national human rights institutions and individuals all have an important role to play in preventing and addressing online racist hate speech. Below the Special Rapporteur presents her recommendations to States, companies, and other actors on how they can take measures, as part of a multistakeholder approach, to effectively prevent and address online racist hate speech.</w:t>
      </w:r>
    </w:p>
    <w:p w14:paraId="1C8A2FA5" w14:textId="1E49D1F8" w:rsidR="00452618" w:rsidRPr="00482A89" w:rsidRDefault="008A4E1B" w:rsidP="008A4E1B">
      <w:pPr>
        <w:pStyle w:val="H23G"/>
        <w:rPr>
          <w:bCs/>
        </w:rPr>
      </w:pPr>
      <w:r w:rsidRPr="00482A89">
        <w:rPr>
          <w:bCs/>
        </w:rPr>
        <w:tab/>
      </w:r>
      <w:r w:rsidRPr="00482A89">
        <w:rPr>
          <w:bCs/>
        </w:rPr>
        <w:tab/>
      </w:r>
      <w:r w:rsidR="00452618" w:rsidRPr="00482A89">
        <w:rPr>
          <w:bCs/>
        </w:rPr>
        <w:t xml:space="preserve">Recommendations </w:t>
      </w:r>
    </w:p>
    <w:p w14:paraId="7C52801D" w14:textId="65DE92FC" w:rsidR="00452618" w:rsidRPr="00482A89" w:rsidRDefault="00F817EA" w:rsidP="00130ABB">
      <w:pPr>
        <w:pStyle w:val="SingleTxtG"/>
        <w:rPr>
          <w:b/>
          <w:bCs/>
        </w:rPr>
      </w:pPr>
      <w:r w:rsidRPr="00482A89">
        <w:tab/>
      </w:r>
      <w:r w:rsidR="00130ABB" w:rsidRPr="00482A89">
        <w:t>62.</w:t>
      </w:r>
      <w:r w:rsidRPr="00482A89">
        <w:tab/>
      </w:r>
      <w:r w:rsidR="00452618" w:rsidRPr="00482A89">
        <w:rPr>
          <w:b/>
          <w:bCs/>
        </w:rPr>
        <w:t>States should:</w:t>
      </w:r>
    </w:p>
    <w:p w14:paraId="0409DB10" w14:textId="37E6227E" w:rsidR="00452618" w:rsidRPr="00482A89" w:rsidRDefault="0080743A" w:rsidP="0080743A">
      <w:pPr>
        <w:pStyle w:val="Bullet1G"/>
        <w:numPr>
          <w:ilvl w:val="0"/>
          <w:numId w:val="0"/>
        </w:numPr>
        <w:ind w:left="1134" w:firstLine="567"/>
        <w:rPr>
          <w:b/>
          <w:bCs/>
        </w:rPr>
      </w:pPr>
      <w:r w:rsidRPr="00482A89">
        <w:t>a)</w:t>
      </w:r>
      <w:r w:rsidRPr="00482A89">
        <w:rPr>
          <w:b/>
          <w:bCs/>
        </w:rPr>
        <w:tab/>
      </w:r>
      <w:r w:rsidR="00452618" w:rsidRPr="00482A89">
        <w:rPr>
          <w:b/>
          <w:bCs/>
        </w:rPr>
        <w:t xml:space="preserve">Ensure that incitement to discrimination, hostility or violence is prohibited and in the most serious cases, criminalised, within national legal frameworks in a manner that is consistent with international human rights norms and standards, including the International Convention on the Elimination of All Forms of Racial Discrimination, the International Covenant on Civil and Political Rights and the Rabat Plan of Action. </w:t>
      </w:r>
    </w:p>
    <w:p w14:paraId="0925B87A" w14:textId="12C61790" w:rsidR="00452618" w:rsidRPr="00482A89" w:rsidRDefault="0080743A" w:rsidP="0080743A">
      <w:pPr>
        <w:pStyle w:val="Bullet1G"/>
        <w:numPr>
          <w:ilvl w:val="0"/>
          <w:numId w:val="0"/>
        </w:numPr>
        <w:ind w:left="1134" w:firstLine="567"/>
        <w:rPr>
          <w:b/>
          <w:bCs/>
        </w:rPr>
      </w:pPr>
      <w:r w:rsidRPr="00482A89">
        <w:t>b)</w:t>
      </w:r>
      <w:r w:rsidRPr="00482A89">
        <w:rPr>
          <w:b/>
          <w:bCs/>
        </w:rPr>
        <w:tab/>
      </w:r>
      <w:r w:rsidR="00452618" w:rsidRPr="00482A89">
        <w:rPr>
          <w:b/>
          <w:bCs/>
        </w:rPr>
        <w:t xml:space="preserve">Effectively implement the International Convention on the Elimination of All Forms of Racial Discrimination, in particular article 4, and ensure that all efforts to address online racist hate speech integrate all the provisions of the Convention. </w:t>
      </w:r>
    </w:p>
    <w:p w14:paraId="0722D4A0" w14:textId="5482B658" w:rsidR="00452618" w:rsidRPr="00482A89" w:rsidRDefault="0080743A" w:rsidP="0080743A">
      <w:pPr>
        <w:pStyle w:val="Bullet1G"/>
        <w:numPr>
          <w:ilvl w:val="0"/>
          <w:numId w:val="0"/>
        </w:numPr>
        <w:ind w:left="1134" w:firstLine="567"/>
        <w:rPr>
          <w:b/>
          <w:bCs/>
        </w:rPr>
      </w:pPr>
      <w:r w:rsidRPr="00482A89">
        <w:t>c)</w:t>
      </w:r>
      <w:r w:rsidRPr="00482A89">
        <w:rPr>
          <w:b/>
          <w:bCs/>
        </w:rPr>
        <w:tab/>
      </w:r>
      <w:r w:rsidR="00452618" w:rsidRPr="00482A89">
        <w:rPr>
          <w:b/>
          <w:bCs/>
        </w:rPr>
        <w:t>Consider a “prompt and coordinated international responses” to online racist hate speech, in the “context of strengthening international cooperation”</w:t>
      </w:r>
      <w:r w:rsidR="00452618" w:rsidRPr="00482A89">
        <w:rPr>
          <w:b/>
          <w:bCs/>
          <w:vertAlign w:val="superscript"/>
        </w:rPr>
        <w:footnoteReference w:id="119"/>
      </w:r>
      <w:r w:rsidR="00452618" w:rsidRPr="00482A89">
        <w:rPr>
          <w:b/>
          <w:bCs/>
        </w:rPr>
        <w:t xml:space="preserve"> as an integral part of significantly stepping up efforts to implement the Durban Declaration and Programme of Action. </w:t>
      </w:r>
    </w:p>
    <w:p w14:paraId="5E43A95B" w14:textId="359A2F4D" w:rsidR="00452618" w:rsidRPr="00482A89" w:rsidRDefault="0080743A" w:rsidP="0080743A">
      <w:pPr>
        <w:pStyle w:val="Bullet1G"/>
        <w:numPr>
          <w:ilvl w:val="0"/>
          <w:numId w:val="0"/>
        </w:numPr>
        <w:ind w:left="1134" w:firstLine="567"/>
        <w:rPr>
          <w:b/>
          <w:bCs/>
        </w:rPr>
      </w:pPr>
      <w:r w:rsidRPr="00482A89">
        <w:t>d)</w:t>
      </w:r>
      <w:r w:rsidRPr="00482A89">
        <w:rPr>
          <w:b/>
          <w:bCs/>
        </w:rPr>
        <w:tab/>
      </w:r>
      <w:r w:rsidR="00452618" w:rsidRPr="00482A89">
        <w:rPr>
          <w:b/>
          <w:bCs/>
        </w:rPr>
        <w:t xml:space="preserve">Uphold the right to freedom of expression and opinion, as a fundamental freedom contained within article 5 of the International Convention on the Elimination of All Forms of Racial Discrimination and article 19 of the International Covenant on Civil and Political Rights, within all efforts to prevent and address online hate speech.  </w:t>
      </w:r>
    </w:p>
    <w:p w14:paraId="64C500D7" w14:textId="771574EF" w:rsidR="00452618" w:rsidRPr="00482A89" w:rsidRDefault="0080743A" w:rsidP="0080743A">
      <w:pPr>
        <w:pStyle w:val="Bullet1G"/>
        <w:numPr>
          <w:ilvl w:val="0"/>
          <w:numId w:val="0"/>
        </w:numPr>
        <w:ind w:left="1134" w:firstLine="567"/>
        <w:rPr>
          <w:b/>
          <w:bCs/>
        </w:rPr>
      </w:pPr>
      <w:r w:rsidRPr="00482A89">
        <w:t>e)</w:t>
      </w:r>
      <w:r w:rsidRPr="00482A89">
        <w:rPr>
          <w:b/>
          <w:bCs/>
        </w:rPr>
        <w:tab/>
      </w:r>
      <w:r w:rsidR="00452618" w:rsidRPr="00482A89">
        <w:rPr>
          <w:b/>
          <w:bCs/>
        </w:rPr>
        <w:t xml:space="preserve">Improve access to justice and other forms of remedy for cases of online racist hate speech amounting to incitement to discrimination, hostility and violence, which have led to harm to those from targeted racial and ethnic groups, prioritising access to judicial mechanisms, whenever possible. States should consider targeted action to address the barriers to access to justice and remedy, including lack of awareness of rights and remedy mechanisms, low residual trust in law enforcement and public institutions and fear of reprisals. </w:t>
      </w:r>
    </w:p>
    <w:p w14:paraId="74BE30D0" w14:textId="0D33FE79" w:rsidR="00452618" w:rsidRPr="00482A89" w:rsidRDefault="0080743A" w:rsidP="0080743A">
      <w:pPr>
        <w:pStyle w:val="Bullet1G"/>
        <w:numPr>
          <w:ilvl w:val="0"/>
          <w:numId w:val="0"/>
        </w:numPr>
        <w:ind w:left="1134" w:firstLine="567"/>
        <w:rPr>
          <w:b/>
          <w:bCs/>
        </w:rPr>
      </w:pPr>
      <w:r w:rsidRPr="00482A89">
        <w:t>f)</w:t>
      </w:r>
      <w:r w:rsidRPr="00482A89">
        <w:rPr>
          <w:b/>
          <w:bCs/>
        </w:rPr>
        <w:tab/>
      </w:r>
      <w:r w:rsidR="00452618" w:rsidRPr="00482A89">
        <w:rPr>
          <w:b/>
          <w:bCs/>
        </w:rPr>
        <w:t xml:space="preserve">Enable the meaningful participation of those from racial and ethnic groups in the design, development and monitoring of all measures to prevent and address online hate speech. </w:t>
      </w:r>
    </w:p>
    <w:p w14:paraId="3F638D4E" w14:textId="1EB60EFF" w:rsidR="00452618" w:rsidRPr="00482A89" w:rsidRDefault="0080743A" w:rsidP="0080743A">
      <w:pPr>
        <w:pStyle w:val="Bullet1G"/>
        <w:numPr>
          <w:ilvl w:val="0"/>
          <w:numId w:val="0"/>
        </w:numPr>
        <w:ind w:left="1134" w:firstLine="567"/>
        <w:rPr>
          <w:b/>
          <w:bCs/>
        </w:rPr>
      </w:pPr>
      <w:r w:rsidRPr="00482A89">
        <w:t>g)</w:t>
      </w:r>
      <w:r w:rsidRPr="00482A89">
        <w:rPr>
          <w:b/>
          <w:bCs/>
        </w:rPr>
        <w:tab/>
      </w:r>
      <w:r w:rsidR="00452618" w:rsidRPr="00482A89">
        <w:rPr>
          <w:b/>
          <w:bCs/>
        </w:rPr>
        <w:t>Invest in research and the collection and coordination of data, disaggregated by race, colour, descent, national origin, ethnic origin and/or religion on the drivers, prevalence, perpetrators, victims and impact of online racist hate speech. In this respect, the Special Rapporteur recalls previous calls of her mandate to adopt an approach to data grounded in human rights, by ensuring disaggregation, self-identification, transparency, privacy, participation and accountability in the collection and storage of data.</w:t>
      </w:r>
    </w:p>
    <w:p w14:paraId="6930B8FC" w14:textId="496A1877" w:rsidR="00452618" w:rsidRPr="00482A89" w:rsidRDefault="0080743A" w:rsidP="0080743A">
      <w:pPr>
        <w:pStyle w:val="Bullet1G"/>
        <w:numPr>
          <w:ilvl w:val="0"/>
          <w:numId w:val="0"/>
        </w:numPr>
        <w:ind w:left="1134" w:firstLine="567"/>
        <w:rPr>
          <w:b/>
          <w:bCs/>
        </w:rPr>
      </w:pPr>
      <w:r w:rsidRPr="00482A89">
        <w:t>h)</w:t>
      </w:r>
      <w:r w:rsidRPr="00482A89">
        <w:rPr>
          <w:b/>
          <w:bCs/>
        </w:rPr>
        <w:tab/>
      </w:r>
      <w:r w:rsidR="00452618" w:rsidRPr="00482A89">
        <w:rPr>
          <w:b/>
          <w:bCs/>
        </w:rPr>
        <w:t xml:space="preserve">Significantly invest in initiatives focussed on counter speech, public awareness campaigns, education, community projects and steps to build societal support for plurality based upon research and data on the societal drivers of online racist hate speech. </w:t>
      </w:r>
    </w:p>
    <w:p w14:paraId="0D35789C" w14:textId="0639602E" w:rsidR="00452618" w:rsidRPr="00482A89" w:rsidRDefault="0080743A" w:rsidP="0080743A">
      <w:pPr>
        <w:pStyle w:val="Bullet1G"/>
        <w:numPr>
          <w:ilvl w:val="0"/>
          <w:numId w:val="0"/>
        </w:numPr>
        <w:ind w:left="1134" w:firstLine="567"/>
        <w:rPr>
          <w:b/>
          <w:bCs/>
        </w:rPr>
      </w:pPr>
      <w:r w:rsidRPr="00482A89">
        <w:t>i)</w:t>
      </w:r>
      <w:r w:rsidRPr="00482A89">
        <w:rPr>
          <w:b/>
          <w:bCs/>
        </w:rPr>
        <w:tab/>
      </w:r>
      <w:r w:rsidR="00452618" w:rsidRPr="00482A89">
        <w:rPr>
          <w:b/>
          <w:bCs/>
        </w:rPr>
        <w:t xml:space="preserve">Organise human rights-based training for relevant public officials, including civil servants, law enforcement officials and the judiciary on the international human rights law standards relevant to preventing and addressing online racist hate speech. </w:t>
      </w:r>
    </w:p>
    <w:p w14:paraId="5760C313" w14:textId="622B7B1B" w:rsidR="00452618" w:rsidRPr="00482A89" w:rsidRDefault="0080743A" w:rsidP="0080743A">
      <w:pPr>
        <w:pStyle w:val="Bullet1G"/>
        <w:numPr>
          <w:ilvl w:val="0"/>
          <w:numId w:val="0"/>
        </w:numPr>
        <w:ind w:left="1134" w:firstLine="567"/>
        <w:rPr>
          <w:b/>
          <w:bCs/>
        </w:rPr>
      </w:pPr>
      <w:r w:rsidRPr="00482A89">
        <w:t>j)</w:t>
      </w:r>
      <w:r w:rsidRPr="00482A89">
        <w:rPr>
          <w:b/>
          <w:bCs/>
        </w:rPr>
        <w:tab/>
      </w:r>
      <w:r w:rsidR="00452618" w:rsidRPr="00482A89">
        <w:rPr>
          <w:b/>
          <w:bCs/>
        </w:rPr>
        <w:t xml:space="preserve">Consider developing community support projects and access to psycho-social services for cases where those from racial and ethnic groups have experienced adverse outcomes as a result of exposure to online racist hate speech. </w:t>
      </w:r>
    </w:p>
    <w:p w14:paraId="362897E7" w14:textId="6EA9AF8C" w:rsidR="00452618" w:rsidRPr="00482A89" w:rsidRDefault="00F817EA" w:rsidP="00130ABB">
      <w:pPr>
        <w:pStyle w:val="SingleTxtG"/>
        <w:rPr>
          <w:b/>
          <w:bCs/>
        </w:rPr>
      </w:pPr>
      <w:r w:rsidRPr="00482A89">
        <w:tab/>
      </w:r>
      <w:r w:rsidR="00130ABB" w:rsidRPr="00482A89">
        <w:t>63.</w:t>
      </w:r>
      <w:r w:rsidRPr="00482A89">
        <w:rPr>
          <w:b/>
          <w:bCs/>
        </w:rPr>
        <w:tab/>
      </w:r>
      <w:r w:rsidR="00452618" w:rsidRPr="00482A89">
        <w:rPr>
          <w:b/>
          <w:bCs/>
        </w:rPr>
        <w:t xml:space="preserve">Companies that provide digital platforms should: </w:t>
      </w:r>
    </w:p>
    <w:p w14:paraId="4E585741" w14:textId="77777777" w:rsidR="00452618" w:rsidRPr="00482A89" w:rsidRDefault="00452618" w:rsidP="0080743A">
      <w:pPr>
        <w:pStyle w:val="Bullet1G"/>
        <w:ind w:left="1134" w:firstLine="567"/>
        <w:rPr>
          <w:b/>
          <w:bCs/>
        </w:rPr>
      </w:pPr>
      <w:r w:rsidRPr="00482A89">
        <w:rPr>
          <w:b/>
          <w:bCs/>
        </w:rPr>
        <w:t xml:space="preserve">Ensure the integration of human rights into product design and conduct periodic reviews of the impact of products on human rights, drawing upon the UN Guiding Principles and other relevant international human rights law standards. In this process, companies should be mindful of the risks of a race neutral approach and algorithm bias and take active and specifically targeted steps to ensure the compliance of their products with equality and non-discrimination standards in international human rights law. </w:t>
      </w:r>
    </w:p>
    <w:p w14:paraId="2E182664" w14:textId="77777777" w:rsidR="00452618" w:rsidRPr="00482A89" w:rsidRDefault="00452618" w:rsidP="0080743A">
      <w:pPr>
        <w:pStyle w:val="Bullet1G"/>
        <w:ind w:left="1134" w:firstLine="567"/>
        <w:rPr>
          <w:b/>
          <w:bCs/>
        </w:rPr>
      </w:pPr>
      <w:r w:rsidRPr="00482A89">
        <w:rPr>
          <w:b/>
          <w:bCs/>
        </w:rPr>
        <w:t>Align their policies on hate speech and contents moderation with international human rights norms and standards, including the International Convention on the Elimination of All Forms of Racial Discrimination and the International Covenant on Civil and Political Rights, and the Rabat Plan of Action.</w:t>
      </w:r>
    </w:p>
    <w:p w14:paraId="6F8592A2" w14:textId="77777777" w:rsidR="00452618" w:rsidRPr="00482A89" w:rsidRDefault="00452618" w:rsidP="0080743A">
      <w:pPr>
        <w:pStyle w:val="Bullet1G"/>
        <w:ind w:left="1134" w:firstLine="567"/>
        <w:rPr>
          <w:b/>
          <w:bCs/>
        </w:rPr>
      </w:pPr>
      <w:r w:rsidRPr="00482A89">
        <w:rPr>
          <w:b/>
          <w:bCs/>
        </w:rPr>
        <w:t xml:space="preserve">Consider measures to ensure the meaningful participation of those from racial and ethnic groups into the design, development and monitoring of products and policies relevant to online racist hate speech. </w:t>
      </w:r>
    </w:p>
    <w:p w14:paraId="7257358D" w14:textId="77777777" w:rsidR="00452618" w:rsidRPr="00482A89" w:rsidRDefault="00452618" w:rsidP="0080743A">
      <w:pPr>
        <w:pStyle w:val="Bullet1G"/>
        <w:ind w:left="1134" w:firstLine="567"/>
        <w:rPr>
          <w:b/>
          <w:bCs/>
        </w:rPr>
      </w:pPr>
      <w:r w:rsidRPr="00482A89">
        <w:rPr>
          <w:b/>
          <w:bCs/>
        </w:rPr>
        <w:t xml:space="preserve">Ensure clarity and transparency about the scope and implementation of their policies on hate speech and contents moderation. </w:t>
      </w:r>
    </w:p>
    <w:p w14:paraId="16AE6739" w14:textId="77777777" w:rsidR="00452618" w:rsidRPr="00482A89" w:rsidRDefault="00452618" w:rsidP="0080743A">
      <w:pPr>
        <w:pStyle w:val="Bullet1G"/>
        <w:ind w:left="1134" w:firstLine="567"/>
        <w:rPr>
          <w:b/>
          <w:bCs/>
        </w:rPr>
      </w:pPr>
      <w:r w:rsidRPr="00482A89">
        <w:rPr>
          <w:b/>
          <w:bCs/>
        </w:rPr>
        <w:t xml:space="preserve">Invest in developing diverse cultural and linguistic knowledge to ensure a more geographically equitable implementation of efforts to address online racist hate speech. </w:t>
      </w:r>
    </w:p>
    <w:p w14:paraId="3BBAB911" w14:textId="7FE9B91A" w:rsidR="00452618" w:rsidRPr="00482A89" w:rsidRDefault="00452618" w:rsidP="0080743A">
      <w:pPr>
        <w:pStyle w:val="Bullet1G"/>
        <w:ind w:left="1134" w:firstLine="567"/>
        <w:rPr>
          <w:b/>
          <w:bCs/>
        </w:rPr>
      </w:pPr>
      <w:r w:rsidRPr="00482A89">
        <w:rPr>
          <w:b/>
          <w:bCs/>
        </w:rPr>
        <w:t>Consider corporate social responsibility initiatives that leverage their powerful platforms to promote digital literacy, counter speech, and community initiatives to prevent and address online racist hate speech.</w:t>
      </w:r>
    </w:p>
    <w:p w14:paraId="055AA655" w14:textId="7C8A4830" w:rsidR="00452618" w:rsidRPr="00482A89" w:rsidRDefault="00F817EA" w:rsidP="00F817EA">
      <w:pPr>
        <w:pStyle w:val="H23G"/>
        <w:rPr>
          <w:bCs/>
        </w:rPr>
      </w:pPr>
      <w:r w:rsidRPr="00482A89">
        <w:rPr>
          <w:bCs/>
        </w:rPr>
        <w:tab/>
      </w:r>
      <w:r w:rsidRPr="00482A89">
        <w:rPr>
          <w:bCs/>
        </w:rPr>
        <w:tab/>
      </w:r>
      <w:r w:rsidR="00452618" w:rsidRPr="00482A89">
        <w:rPr>
          <w:bCs/>
        </w:rPr>
        <w:t>Recommendations for other actors:</w:t>
      </w:r>
    </w:p>
    <w:p w14:paraId="01ABC69A" w14:textId="77777777" w:rsidR="00452618" w:rsidRPr="00482A89" w:rsidRDefault="00452618" w:rsidP="0080743A">
      <w:pPr>
        <w:pStyle w:val="Bullet1G"/>
        <w:numPr>
          <w:ilvl w:val="0"/>
          <w:numId w:val="13"/>
        </w:numPr>
        <w:ind w:left="1134" w:firstLine="567"/>
        <w:rPr>
          <w:b/>
          <w:bCs/>
        </w:rPr>
      </w:pPr>
      <w:r w:rsidRPr="00482A89">
        <w:rPr>
          <w:b/>
          <w:bCs/>
        </w:rPr>
        <w:t>The ease with which individuals can communicate and post contents on digital platforms can be a factor in the origination and dissemination of online racist hate speech. However, it can conversely create opportunities for individuals to play a powerful role in preventing and addressing online racist hate speech. Individuals, as recommended by the United Nations, should refrain from making any hateful comments; fact check online contents; speech up and challenge hateful racist comments; support those targeted; report contents that breaks community guidelines or would amount to incitement; publicly denounce all instances of advocacy of hatred that incites to violence, discrimination or hostility; educate others about online hate speech; and commit to community projects that address online racist hate speech.</w:t>
      </w:r>
      <w:r w:rsidRPr="00482A89">
        <w:rPr>
          <w:b/>
          <w:bCs/>
          <w:vertAlign w:val="superscript"/>
        </w:rPr>
        <w:footnoteReference w:id="120"/>
      </w:r>
    </w:p>
    <w:p w14:paraId="35EEAC81" w14:textId="77777777" w:rsidR="00452618" w:rsidRPr="00482A89" w:rsidRDefault="00452618" w:rsidP="0080743A">
      <w:pPr>
        <w:pStyle w:val="Bullet1G"/>
        <w:numPr>
          <w:ilvl w:val="0"/>
          <w:numId w:val="13"/>
        </w:numPr>
        <w:ind w:left="1134" w:firstLine="567"/>
        <w:rPr>
          <w:b/>
          <w:bCs/>
        </w:rPr>
      </w:pPr>
      <w:r w:rsidRPr="00482A89">
        <w:rPr>
          <w:b/>
          <w:bCs/>
        </w:rPr>
        <w:t>UN actors should support Member States in the implementation of the above recommendations, as well as making efforts to both enhance international cooperation and improve research and disaggregated data collection. UN actors should make efforts to integrate the specific vulnerabilities and harm to those from racial and ethnic groups into efforts to prevent and address online racist hate speech.</w:t>
      </w:r>
    </w:p>
    <w:p w14:paraId="205CB14D" w14:textId="77777777" w:rsidR="00452618" w:rsidRPr="00482A89" w:rsidRDefault="00452618" w:rsidP="0080743A">
      <w:pPr>
        <w:pStyle w:val="Bullet1G"/>
        <w:numPr>
          <w:ilvl w:val="0"/>
          <w:numId w:val="13"/>
        </w:numPr>
        <w:ind w:left="1134" w:firstLine="567"/>
        <w:rPr>
          <w:b/>
          <w:bCs/>
        </w:rPr>
      </w:pPr>
      <w:r w:rsidRPr="00482A89">
        <w:rPr>
          <w:b/>
          <w:bCs/>
        </w:rPr>
        <w:t xml:space="preserve">Civil society organizations should continue and expand their work to prevent and address online racist hate speech; build societal support for plurality and freedom of expression; and provide support to those targeted. </w:t>
      </w:r>
    </w:p>
    <w:p w14:paraId="1F0A98B0" w14:textId="29D5F596" w:rsidR="00452618" w:rsidRPr="00482A89" w:rsidRDefault="00452618" w:rsidP="0080743A">
      <w:pPr>
        <w:pStyle w:val="Bullet1G"/>
        <w:numPr>
          <w:ilvl w:val="0"/>
          <w:numId w:val="13"/>
        </w:numPr>
        <w:ind w:left="1134" w:firstLine="567"/>
        <w:rPr>
          <w:b/>
          <w:bCs/>
        </w:rPr>
      </w:pPr>
      <w:r w:rsidRPr="00482A89">
        <w:rPr>
          <w:b/>
          <w:bCs/>
        </w:rPr>
        <w:t xml:space="preserve">National human rights organizations should contribute to efforts to prevent and address online racist hate speech in a variety of ways, including supporting efforts to conduct further research and collect disaggregated data; receiving complaints of online racist hate speech and addressing barriers to access to justice; and contributing to initiatives focussed on counter speech, education, community projects and steps to build societal support for plurality. </w:t>
      </w:r>
    </w:p>
    <w:p w14:paraId="103B3557" w14:textId="4662AE4D" w:rsidR="00F817EA" w:rsidRPr="00F817EA" w:rsidRDefault="00F817EA" w:rsidP="00F817EA">
      <w:pPr>
        <w:pStyle w:val="Bullet1G"/>
        <w:numPr>
          <w:ilvl w:val="0"/>
          <w:numId w:val="0"/>
        </w:numPr>
        <w:spacing w:before="240" w:after="0"/>
        <w:ind w:left="1134"/>
        <w:jc w:val="center"/>
        <w:rPr>
          <w:u w:val="single"/>
        </w:rPr>
      </w:pPr>
      <w:r>
        <w:rPr>
          <w:u w:val="single"/>
        </w:rPr>
        <w:tab/>
      </w:r>
      <w:r>
        <w:rPr>
          <w:u w:val="single"/>
        </w:rPr>
        <w:tab/>
      </w:r>
      <w:r>
        <w:rPr>
          <w:u w:val="single"/>
        </w:rPr>
        <w:tab/>
      </w:r>
      <w:r>
        <w:rPr>
          <w:u w:val="single"/>
        </w:rPr>
        <w:tab/>
      </w:r>
    </w:p>
    <w:sectPr w:rsidR="00F817EA" w:rsidRPr="00F817EA" w:rsidSect="00AA175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5F2C5" w14:textId="77777777" w:rsidR="00AA1750" w:rsidRDefault="00AA1750"/>
  </w:endnote>
  <w:endnote w:type="continuationSeparator" w:id="0">
    <w:p w14:paraId="76007DB6" w14:textId="77777777" w:rsidR="00AA1750" w:rsidRDefault="00AA1750"/>
  </w:endnote>
  <w:endnote w:type="continuationNotice" w:id="1">
    <w:p w14:paraId="34AABDED" w14:textId="77777777" w:rsidR="00AA1750" w:rsidRDefault="00AA17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8D9E9" w14:textId="64DA37CA" w:rsidR="00AA1750" w:rsidRPr="00AA1750" w:rsidRDefault="00AA1750" w:rsidP="00AA1750">
    <w:pPr>
      <w:pStyle w:val="Footer"/>
      <w:tabs>
        <w:tab w:val="right" w:pos="9638"/>
      </w:tabs>
      <w:rPr>
        <w:sz w:val="18"/>
      </w:rPr>
    </w:pPr>
    <w:r w:rsidRPr="00AA1750">
      <w:rPr>
        <w:b/>
        <w:sz w:val="18"/>
      </w:rPr>
      <w:fldChar w:fldCharType="begin"/>
    </w:r>
    <w:r w:rsidRPr="00AA1750">
      <w:rPr>
        <w:b/>
        <w:sz w:val="18"/>
      </w:rPr>
      <w:instrText xml:space="preserve"> PAGE  \* MERGEFORMAT </w:instrText>
    </w:r>
    <w:r w:rsidRPr="00AA1750">
      <w:rPr>
        <w:b/>
        <w:sz w:val="18"/>
      </w:rPr>
      <w:fldChar w:fldCharType="separate"/>
    </w:r>
    <w:r w:rsidRPr="00AA1750">
      <w:rPr>
        <w:b/>
        <w:noProof/>
        <w:sz w:val="18"/>
      </w:rPr>
      <w:t>2</w:t>
    </w:r>
    <w:r w:rsidRPr="00AA175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68DA" w14:textId="0076A574" w:rsidR="00AA1750" w:rsidRPr="00AA1750" w:rsidRDefault="00AA1750" w:rsidP="00AA1750">
    <w:pPr>
      <w:pStyle w:val="Footer"/>
      <w:tabs>
        <w:tab w:val="right" w:pos="9638"/>
      </w:tabs>
      <w:rPr>
        <w:b/>
        <w:sz w:val="18"/>
      </w:rPr>
    </w:pPr>
    <w:r>
      <w:tab/>
    </w:r>
    <w:r w:rsidRPr="00AA1750">
      <w:rPr>
        <w:b/>
        <w:sz w:val="18"/>
      </w:rPr>
      <w:fldChar w:fldCharType="begin"/>
    </w:r>
    <w:r w:rsidRPr="00AA1750">
      <w:rPr>
        <w:b/>
        <w:sz w:val="18"/>
      </w:rPr>
      <w:instrText xml:space="preserve"> PAGE  \* MERGEFORMAT </w:instrText>
    </w:r>
    <w:r w:rsidRPr="00AA1750">
      <w:rPr>
        <w:b/>
        <w:sz w:val="18"/>
      </w:rPr>
      <w:fldChar w:fldCharType="separate"/>
    </w:r>
    <w:r w:rsidRPr="00AA1750">
      <w:rPr>
        <w:b/>
        <w:noProof/>
        <w:sz w:val="18"/>
      </w:rPr>
      <w:t>3</w:t>
    </w:r>
    <w:r w:rsidRPr="00AA17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6BDCA" w14:textId="01CA5B6B" w:rsidR="004D1140" w:rsidRPr="00AA1750" w:rsidRDefault="000C59D8" w:rsidP="00542574">
    <w:r>
      <w:rPr>
        <w:noProof/>
        <w:lang w:val="fr-FR" w:eastAsia="fr-FR"/>
      </w:rPr>
      <w:drawing>
        <wp:anchor distT="0" distB="0" distL="114300" distR="114300" simplePos="0" relativeHeight="251660288" behindDoc="0" locked="1" layoutInCell="1" allowOverlap="1" wp14:anchorId="4E5C4E91" wp14:editId="463EF65A">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1750">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D5FFF" w14:textId="77777777" w:rsidR="00AA1750" w:rsidRPr="000B175B" w:rsidRDefault="00AA1750" w:rsidP="000B175B">
      <w:pPr>
        <w:tabs>
          <w:tab w:val="right" w:pos="2155"/>
        </w:tabs>
        <w:spacing w:after="80"/>
        <w:ind w:left="680"/>
        <w:rPr>
          <w:u w:val="single"/>
        </w:rPr>
      </w:pPr>
      <w:r>
        <w:rPr>
          <w:u w:val="single"/>
        </w:rPr>
        <w:tab/>
      </w:r>
    </w:p>
  </w:footnote>
  <w:footnote w:type="continuationSeparator" w:id="0">
    <w:p w14:paraId="52B524AF" w14:textId="77777777" w:rsidR="00AA1750" w:rsidRPr="00FC68B7" w:rsidRDefault="00AA1750" w:rsidP="00FC68B7">
      <w:pPr>
        <w:tabs>
          <w:tab w:val="left" w:pos="2155"/>
        </w:tabs>
        <w:spacing w:after="80"/>
        <w:ind w:left="680"/>
        <w:rPr>
          <w:u w:val="single"/>
        </w:rPr>
      </w:pPr>
      <w:r>
        <w:rPr>
          <w:u w:val="single"/>
        </w:rPr>
        <w:tab/>
      </w:r>
    </w:p>
  </w:footnote>
  <w:footnote w:type="continuationNotice" w:id="1">
    <w:p w14:paraId="5096F505" w14:textId="77777777" w:rsidR="00AA1750" w:rsidRDefault="00AA1750"/>
  </w:footnote>
  <w:footnote w:id="2">
    <w:p w14:paraId="3A2D817A" w14:textId="52195878" w:rsidR="00C150E9" w:rsidRPr="00C150E9" w:rsidRDefault="00C150E9">
      <w:pPr>
        <w:pStyle w:val="FootnoteText"/>
      </w:pPr>
      <w:r>
        <w:rPr>
          <w:rStyle w:val="FootnoteReference"/>
        </w:rPr>
        <w:tab/>
      </w:r>
      <w:r w:rsidRPr="00C150E9">
        <w:rPr>
          <w:rStyle w:val="FootnoteReference"/>
          <w:sz w:val="20"/>
          <w:vertAlign w:val="baseline"/>
        </w:rPr>
        <w:t>*</w:t>
      </w:r>
      <w:r>
        <w:rPr>
          <w:rStyle w:val="FootnoteReference"/>
          <w:sz w:val="20"/>
          <w:vertAlign w:val="baseline"/>
        </w:rPr>
        <w:tab/>
      </w:r>
      <w:r>
        <w:t>A/78/150.</w:t>
      </w:r>
    </w:p>
  </w:footnote>
  <w:footnote w:id="3">
    <w:p w14:paraId="5DD840F8" w14:textId="59C25E6F" w:rsidR="00C150E9" w:rsidRPr="00C150E9" w:rsidRDefault="00C150E9">
      <w:pPr>
        <w:pStyle w:val="FootnoteText"/>
      </w:pPr>
      <w:r>
        <w:rPr>
          <w:rStyle w:val="FootnoteReference"/>
        </w:rPr>
        <w:tab/>
      </w:r>
      <w:r w:rsidRPr="00C150E9">
        <w:rPr>
          <w:rStyle w:val="FootnoteReference"/>
          <w:sz w:val="20"/>
          <w:vertAlign w:val="baseline"/>
        </w:rPr>
        <w:t>**</w:t>
      </w:r>
      <w:r>
        <w:rPr>
          <w:rStyle w:val="FootnoteReference"/>
          <w:sz w:val="20"/>
          <w:vertAlign w:val="baseline"/>
        </w:rPr>
        <w:tab/>
      </w:r>
      <w:r w:rsidRPr="00C150E9">
        <w:rPr>
          <w:rStyle w:val="FootnoteReference"/>
          <w:sz w:val="20"/>
          <w:vertAlign w:val="baseline"/>
        </w:rPr>
        <w:t>The present document was submitted for processing after the deadline for reasons beyond the control of the submitting office.</w:t>
      </w:r>
    </w:p>
  </w:footnote>
  <w:footnote w:id="4">
    <w:p w14:paraId="749056E0" w14:textId="2FD9E0A1" w:rsidR="00452618" w:rsidRPr="00295836" w:rsidRDefault="00295836" w:rsidP="00295836">
      <w:pPr>
        <w:pStyle w:val="FootnoteText"/>
      </w:pPr>
      <w:r>
        <w:tab/>
      </w:r>
      <w:r w:rsidR="00452618" w:rsidRPr="00295836">
        <w:rPr>
          <w:rStyle w:val="FootnoteReference"/>
        </w:rPr>
        <w:footnoteRef/>
      </w:r>
      <w:r w:rsidR="00452618" w:rsidRPr="00295836">
        <w:rPr>
          <w:rStyle w:val="FootnoteReference"/>
        </w:rPr>
        <w:t xml:space="preserve"> </w:t>
      </w:r>
      <w:r>
        <w:tab/>
      </w:r>
      <w:r>
        <w:tab/>
      </w:r>
      <w:r w:rsidR="00452618" w:rsidRPr="00295836">
        <w:t>A/HRC/53/60</w:t>
      </w:r>
      <w:r w:rsidR="00C61AA0">
        <w:t>.</w:t>
      </w:r>
    </w:p>
  </w:footnote>
  <w:footnote w:id="5">
    <w:p w14:paraId="6061BF64" w14:textId="548B4905" w:rsidR="00452618" w:rsidRPr="00295836" w:rsidRDefault="00295836" w:rsidP="00295836">
      <w:pPr>
        <w:pStyle w:val="FootnoteText"/>
      </w:pPr>
      <w:r>
        <w:tab/>
      </w:r>
      <w:r w:rsidR="00452618" w:rsidRPr="00295836">
        <w:rPr>
          <w:rStyle w:val="FootnoteReference"/>
        </w:rPr>
        <w:footnoteRef/>
      </w:r>
      <w:r>
        <w:tab/>
      </w:r>
      <w:r>
        <w:tab/>
      </w:r>
      <w:r w:rsidR="00452618" w:rsidRPr="00295836">
        <w:t>ADC submission to the Special Rapporteur</w:t>
      </w:r>
      <w:r w:rsidR="00C61AA0">
        <w:t>.</w:t>
      </w:r>
      <w:r w:rsidR="00452618" w:rsidRPr="00295836">
        <w:t xml:space="preserve"> </w:t>
      </w:r>
    </w:p>
  </w:footnote>
  <w:footnote w:id="6">
    <w:p w14:paraId="20F84E73" w14:textId="7E7D180F" w:rsidR="00452618" w:rsidRPr="00295836" w:rsidRDefault="00295836" w:rsidP="00295836">
      <w:pPr>
        <w:pStyle w:val="FootnoteText"/>
      </w:pPr>
      <w:r>
        <w:tab/>
      </w:r>
      <w:r w:rsidR="00452618" w:rsidRPr="00295836">
        <w:rPr>
          <w:rStyle w:val="FootnoteReference"/>
        </w:rPr>
        <w:footnoteRef/>
      </w:r>
      <w:r>
        <w:tab/>
      </w:r>
      <w:r>
        <w:tab/>
      </w:r>
      <w:r w:rsidR="00452618" w:rsidRPr="00295836">
        <w:t>“Social Media User Statistics: How Many People Use Social Media?, search logistics Jun 2023”, cited in MAAT for Peace submission to the Special Rapporteur</w:t>
      </w:r>
      <w:r w:rsidR="00C61AA0">
        <w:t>.</w:t>
      </w:r>
      <w:r w:rsidR="00452618" w:rsidRPr="00295836">
        <w:t xml:space="preserve"> </w:t>
      </w:r>
    </w:p>
  </w:footnote>
  <w:footnote w:id="7">
    <w:p w14:paraId="70E65390" w14:textId="2010F016" w:rsidR="00452618" w:rsidRPr="00295836" w:rsidRDefault="00295836" w:rsidP="00295836">
      <w:pPr>
        <w:pStyle w:val="FootnoteText"/>
      </w:pPr>
      <w:r>
        <w:tab/>
      </w:r>
      <w:r w:rsidR="00452618" w:rsidRPr="00295836">
        <w:rPr>
          <w:rStyle w:val="FootnoteReference"/>
        </w:rPr>
        <w:footnoteRef/>
      </w:r>
      <w:r>
        <w:tab/>
      </w:r>
      <w:r>
        <w:tab/>
      </w:r>
      <w:r w:rsidR="00452618" w:rsidRPr="00295836">
        <w:t>Guatemala submission to the Special Rapporteur</w:t>
      </w:r>
      <w:r w:rsidR="00C61AA0">
        <w:t>.</w:t>
      </w:r>
      <w:r w:rsidR="00452618" w:rsidRPr="00295836">
        <w:t xml:space="preserve"> </w:t>
      </w:r>
    </w:p>
  </w:footnote>
  <w:footnote w:id="8">
    <w:p w14:paraId="4F20A795" w14:textId="44D7408D" w:rsidR="00452618" w:rsidRPr="00295836" w:rsidRDefault="00295836" w:rsidP="00295836">
      <w:pPr>
        <w:pStyle w:val="FootnoteText"/>
      </w:pPr>
      <w:r>
        <w:tab/>
      </w:r>
      <w:r w:rsidR="00452618" w:rsidRPr="00295836">
        <w:rPr>
          <w:rStyle w:val="FootnoteReference"/>
        </w:rPr>
        <w:footnoteRef/>
      </w:r>
      <w:r>
        <w:tab/>
      </w:r>
      <w:r>
        <w:tab/>
      </w:r>
      <w:r w:rsidR="00452618" w:rsidRPr="00295836">
        <w:t>See A/HRC/44/57</w:t>
      </w:r>
      <w:r w:rsidR="00C61AA0">
        <w:t>.</w:t>
      </w:r>
      <w:r w:rsidR="00452618" w:rsidRPr="00295836">
        <w:t xml:space="preserve"> </w:t>
      </w:r>
    </w:p>
  </w:footnote>
  <w:footnote w:id="9">
    <w:p w14:paraId="32C9EB1A" w14:textId="10D442C8" w:rsidR="00452618" w:rsidRPr="00295836" w:rsidRDefault="00295836" w:rsidP="00295836">
      <w:pPr>
        <w:pStyle w:val="FootnoteText"/>
      </w:pPr>
      <w:r>
        <w:tab/>
      </w:r>
      <w:r w:rsidR="00452618" w:rsidRPr="00295836">
        <w:rPr>
          <w:rStyle w:val="FootnoteReference"/>
        </w:rPr>
        <w:footnoteRef/>
      </w:r>
      <w:r>
        <w:tab/>
      </w:r>
      <w:r>
        <w:tab/>
      </w:r>
      <w:r w:rsidR="00452618" w:rsidRPr="00295836">
        <w:t>“United Nations Strategy and Plan of Action on Hate Speech”, 2019</w:t>
      </w:r>
      <w:r w:rsidR="00C61AA0">
        <w:t>.</w:t>
      </w:r>
      <w:r w:rsidR="00452618" w:rsidRPr="00295836">
        <w:t xml:space="preserve"> </w:t>
      </w:r>
    </w:p>
  </w:footnote>
  <w:footnote w:id="10">
    <w:p w14:paraId="074D1479" w14:textId="3A12B92A" w:rsidR="00452618" w:rsidRPr="00295836" w:rsidRDefault="00295836" w:rsidP="00295836">
      <w:pPr>
        <w:pStyle w:val="FootnoteText"/>
      </w:pPr>
      <w:r>
        <w:tab/>
      </w:r>
      <w:r w:rsidR="00452618" w:rsidRPr="00295836">
        <w:rPr>
          <w:rStyle w:val="FootnoteReference"/>
        </w:rPr>
        <w:footnoteRef/>
      </w:r>
      <w:r>
        <w:tab/>
      </w:r>
      <w:r>
        <w:tab/>
      </w:r>
      <w:r w:rsidR="00452618" w:rsidRPr="00295836">
        <w:t>Article 4 of the International Convention on the Elimination of All Forms of All Forms of Racial Discrimination</w:t>
      </w:r>
      <w:r w:rsidR="00C61AA0">
        <w:t>.</w:t>
      </w:r>
      <w:r w:rsidR="00452618" w:rsidRPr="00295836">
        <w:t xml:space="preserve"> </w:t>
      </w:r>
    </w:p>
  </w:footnote>
  <w:footnote w:id="11">
    <w:p w14:paraId="33171922" w14:textId="3B760B15" w:rsidR="00452618" w:rsidRPr="00C150E9" w:rsidRDefault="00295836" w:rsidP="00295836">
      <w:pPr>
        <w:pStyle w:val="FootnoteText"/>
        <w:rPr>
          <w:lang w:val="es-ES"/>
        </w:rPr>
      </w:pPr>
      <w:r>
        <w:tab/>
      </w:r>
      <w:r w:rsidR="00452618" w:rsidRPr="00295836">
        <w:rPr>
          <w:rStyle w:val="FootnoteReference"/>
        </w:rPr>
        <w:footnoteRef/>
      </w:r>
      <w:r w:rsidRPr="00C150E9">
        <w:rPr>
          <w:lang w:val="es-ES"/>
        </w:rPr>
        <w:tab/>
      </w:r>
      <w:r w:rsidRPr="00C150E9">
        <w:rPr>
          <w:lang w:val="es-ES"/>
        </w:rPr>
        <w:tab/>
      </w:r>
      <w:r w:rsidR="00452618" w:rsidRPr="00C150E9">
        <w:rPr>
          <w:lang w:val="es-ES"/>
        </w:rPr>
        <w:t xml:space="preserve">CERD/C/GC/35, para.6. </w:t>
      </w:r>
    </w:p>
  </w:footnote>
  <w:footnote w:id="12">
    <w:p w14:paraId="182C0984" w14:textId="7B56572C" w:rsidR="00452618" w:rsidRPr="00C150E9" w:rsidRDefault="000B2148" w:rsidP="000B2148">
      <w:pPr>
        <w:pStyle w:val="FootnoteText"/>
        <w:rPr>
          <w:lang w:val="es-ES"/>
        </w:rPr>
      </w:pPr>
      <w:r w:rsidRPr="00C150E9">
        <w:rPr>
          <w:lang w:val="es-ES"/>
        </w:rPr>
        <w:tab/>
      </w:r>
      <w:r w:rsidR="00452618" w:rsidRPr="000B2148">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Ibid</w:t>
      </w:r>
      <w:r w:rsidR="00C61AA0" w:rsidRPr="00C150E9">
        <w:rPr>
          <w:lang w:val="es-ES"/>
        </w:rPr>
        <w:t>.</w:t>
      </w:r>
      <w:r w:rsidR="00452618" w:rsidRPr="00C150E9">
        <w:rPr>
          <w:lang w:val="es-ES"/>
        </w:rPr>
        <w:t xml:space="preserve"> </w:t>
      </w:r>
    </w:p>
  </w:footnote>
  <w:footnote w:id="13">
    <w:p w14:paraId="6C75D076" w14:textId="3A5B27CC" w:rsidR="00452618" w:rsidRPr="000B2148" w:rsidRDefault="000B2148" w:rsidP="000B2148">
      <w:pPr>
        <w:pStyle w:val="FootnoteText"/>
      </w:pPr>
      <w:r w:rsidRPr="00C150E9">
        <w:rPr>
          <w:lang w:val="es-ES"/>
        </w:rPr>
        <w:tab/>
      </w:r>
      <w:r w:rsidR="00452618" w:rsidRPr="000B2148">
        <w:rPr>
          <w:rStyle w:val="FootnoteReference"/>
        </w:rPr>
        <w:footnoteRef/>
      </w:r>
      <w:r w:rsidR="00452618" w:rsidRPr="000B2148">
        <w:rPr>
          <w:rStyle w:val="FootnoteReference"/>
        </w:rPr>
        <w:t xml:space="preserve"> </w:t>
      </w:r>
      <w:r>
        <w:tab/>
      </w:r>
      <w:r>
        <w:tab/>
      </w:r>
      <w:r w:rsidR="00452618" w:rsidRPr="000B2148">
        <w:t xml:space="preserve">Denmark Ministry of Justice, Mexico, IPAS et al, Lithuania, </w:t>
      </w:r>
      <w:proofErr w:type="spellStart"/>
      <w:r w:rsidR="00452618" w:rsidRPr="000B2148">
        <w:t>FakeReporter</w:t>
      </w:r>
      <w:proofErr w:type="spellEnd"/>
      <w:r w:rsidR="00452618" w:rsidRPr="000B2148">
        <w:t>, Ireland, Guatemala and the Federal Public Defenders' Office of Brazil submissions to the Special Rapporteur</w:t>
      </w:r>
      <w:r w:rsidR="00C61AA0">
        <w:t>.</w:t>
      </w:r>
      <w:r w:rsidR="00452618" w:rsidRPr="000B2148">
        <w:t xml:space="preserve"> </w:t>
      </w:r>
    </w:p>
  </w:footnote>
  <w:footnote w:id="14">
    <w:p w14:paraId="7ECB31F4" w14:textId="56129DD7" w:rsidR="00452618" w:rsidRPr="000B2148" w:rsidRDefault="000B2148" w:rsidP="000B2148">
      <w:pPr>
        <w:pStyle w:val="FootnoteText"/>
      </w:pPr>
      <w:r>
        <w:tab/>
      </w:r>
      <w:r w:rsidR="00452618" w:rsidRPr="000B2148">
        <w:rPr>
          <w:rStyle w:val="FootnoteReference"/>
        </w:rPr>
        <w:footnoteRef/>
      </w:r>
      <w:r w:rsidR="00452618" w:rsidRPr="000B2148">
        <w:rPr>
          <w:rStyle w:val="FootnoteReference"/>
        </w:rPr>
        <w:t xml:space="preserve"> </w:t>
      </w:r>
      <w:r>
        <w:tab/>
      </w:r>
      <w:r>
        <w:tab/>
      </w:r>
      <w:r w:rsidR="00452618" w:rsidRPr="000B2148">
        <w:t>IDSN submission to the Special Rapporteur</w:t>
      </w:r>
      <w:r w:rsidR="00C61AA0">
        <w:t>.</w:t>
      </w:r>
      <w:r w:rsidR="00452618" w:rsidRPr="000B2148">
        <w:t xml:space="preserve">  </w:t>
      </w:r>
    </w:p>
  </w:footnote>
  <w:footnote w:id="15">
    <w:p w14:paraId="54485DD8" w14:textId="233E2E0E" w:rsidR="00452618" w:rsidRPr="000B2148" w:rsidRDefault="000B2148" w:rsidP="000B2148">
      <w:pPr>
        <w:pStyle w:val="FootnoteText"/>
      </w:pPr>
      <w:r>
        <w:tab/>
      </w:r>
      <w:r w:rsidR="00452618" w:rsidRPr="000B2148">
        <w:rPr>
          <w:rStyle w:val="FootnoteReference"/>
        </w:rPr>
        <w:footnoteRef/>
      </w:r>
      <w:r w:rsidR="00452618" w:rsidRPr="000B2148">
        <w:t xml:space="preserve"> </w:t>
      </w:r>
      <w:r>
        <w:tab/>
      </w:r>
      <w:r>
        <w:tab/>
      </w:r>
      <w:r w:rsidR="00452618" w:rsidRPr="000B2148">
        <w:t xml:space="preserve">Netherlands, IDSN, </w:t>
      </w:r>
      <w:proofErr w:type="spellStart"/>
      <w:r w:rsidR="00452618" w:rsidRPr="000B2148">
        <w:t>iCure</w:t>
      </w:r>
      <w:proofErr w:type="spellEnd"/>
      <w:r w:rsidR="00452618" w:rsidRPr="000B2148">
        <w:t xml:space="preserve"> &amp; WYK Advocate submissions to the Special Rapporteur</w:t>
      </w:r>
      <w:r w:rsidR="00C61AA0">
        <w:t>.</w:t>
      </w:r>
      <w:r w:rsidR="00452618" w:rsidRPr="000B2148">
        <w:t xml:space="preserve"> </w:t>
      </w:r>
    </w:p>
  </w:footnote>
  <w:footnote w:id="16">
    <w:p w14:paraId="7744F936" w14:textId="2379869C" w:rsidR="00452618" w:rsidRPr="000B2148" w:rsidRDefault="000B2148" w:rsidP="000B2148">
      <w:pPr>
        <w:pStyle w:val="FootnoteText"/>
      </w:pPr>
      <w:r>
        <w:tab/>
      </w:r>
      <w:r w:rsidR="00452618" w:rsidRPr="000B2148">
        <w:rPr>
          <w:rStyle w:val="FootnoteReference"/>
        </w:rPr>
        <w:footnoteRef/>
      </w:r>
      <w:r w:rsidR="00452618" w:rsidRPr="000B2148">
        <w:t xml:space="preserve"> </w:t>
      </w:r>
      <w:r>
        <w:tab/>
      </w:r>
      <w:r>
        <w:tab/>
      </w:r>
      <w:proofErr w:type="spellStart"/>
      <w:r w:rsidR="00452618" w:rsidRPr="000B2148">
        <w:t>iCure</w:t>
      </w:r>
      <w:proofErr w:type="spellEnd"/>
      <w:r w:rsidR="00452618" w:rsidRPr="000B2148">
        <w:t xml:space="preserve"> submission to the Special Rapporteur</w:t>
      </w:r>
      <w:r w:rsidR="00C61AA0">
        <w:t>.</w:t>
      </w:r>
      <w:r w:rsidR="00452618" w:rsidRPr="000B2148">
        <w:t xml:space="preserve"> </w:t>
      </w:r>
    </w:p>
  </w:footnote>
  <w:footnote w:id="17">
    <w:p w14:paraId="2C199357" w14:textId="082DD901" w:rsidR="00452618" w:rsidRPr="000B2148" w:rsidRDefault="000B2148" w:rsidP="000B2148">
      <w:pPr>
        <w:pStyle w:val="FootnoteText"/>
      </w:pPr>
      <w:r>
        <w:tab/>
      </w:r>
      <w:r w:rsidR="00452618" w:rsidRPr="000B2148">
        <w:rPr>
          <w:rStyle w:val="FootnoteReference"/>
        </w:rPr>
        <w:footnoteRef/>
      </w:r>
      <w:r w:rsidR="00452618" w:rsidRPr="000B2148">
        <w:rPr>
          <w:rStyle w:val="FootnoteReference"/>
        </w:rPr>
        <w:t xml:space="preserve"> </w:t>
      </w:r>
      <w:r>
        <w:tab/>
      </w:r>
      <w:r>
        <w:tab/>
      </w:r>
      <w:r w:rsidR="00452618" w:rsidRPr="000B2148">
        <w:t xml:space="preserve">A/74/486, para.40; ADC &amp; </w:t>
      </w:r>
      <w:proofErr w:type="spellStart"/>
      <w:r w:rsidR="00452618" w:rsidRPr="000B2148">
        <w:t>FakeReporter</w:t>
      </w:r>
      <w:proofErr w:type="spellEnd"/>
      <w:r w:rsidR="00452618" w:rsidRPr="000B2148">
        <w:t xml:space="preserve"> submissions to the Special Rapporteur</w:t>
      </w:r>
      <w:r w:rsidR="00C61AA0">
        <w:t>.</w:t>
      </w:r>
      <w:r w:rsidR="00452618" w:rsidRPr="000B2148">
        <w:t xml:space="preserve"> </w:t>
      </w:r>
    </w:p>
  </w:footnote>
  <w:footnote w:id="18">
    <w:p w14:paraId="6C363ADB" w14:textId="61EAB608" w:rsidR="00452618" w:rsidRPr="000B2148" w:rsidRDefault="000B2148" w:rsidP="000B2148">
      <w:pPr>
        <w:pStyle w:val="FootnoteText"/>
      </w:pPr>
      <w:r>
        <w:tab/>
      </w:r>
      <w:r w:rsidR="00452618" w:rsidRPr="000B2148">
        <w:rPr>
          <w:rStyle w:val="FootnoteReference"/>
        </w:rPr>
        <w:footnoteRef/>
      </w:r>
      <w:r w:rsidR="00452618" w:rsidRPr="000B2148">
        <w:rPr>
          <w:rStyle w:val="FootnoteReference"/>
        </w:rPr>
        <w:t xml:space="preserve"> </w:t>
      </w:r>
      <w:r>
        <w:tab/>
      </w:r>
      <w:r>
        <w:tab/>
      </w:r>
      <w:proofErr w:type="spellStart"/>
      <w:r w:rsidR="00452618" w:rsidRPr="000B2148">
        <w:t>Mazidatun</w:t>
      </w:r>
      <w:proofErr w:type="spellEnd"/>
      <w:r w:rsidR="00452618" w:rsidRPr="000B2148">
        <w:t xml:space="preserve"> </w:t>
      </w:r>
      <w:proofErr w:type="spellStart"/>
      <w:r w:rsidR="00452618" w:rsidRPr="000B2148">
        <w:t>Maftukhah</w:t>
      </w:r>
      <w:proofErr w:type="spellEnd"/>
      <w:r w:rsidR="00452618" w:rsidRPr="000B2148">
        <w:t>, “Impact of Hate Speech on Youth and Children in the Online Mobile Game Environment: Prevalence, Age-Related Patterns, and Policy Implications” 2023</w:t>
      </w:r>
      <w:r w:rsidR="00C61AA0">
        <w:t>.</w:t>
      </w:r>
      <w:r w:rsidR="00452618" w:rsidRPr="000B2148">
        <w:t xml:space="preserve"> </w:t>
      </w:r>
    </w:p>
  </w:footnote>
  <w:footnote w:id="19">
    <w:p w14:paraId="777CE3FC" w14:textId="0456335E" w:rsidR="00452618" w:rsidRPr="002F261F" w:rsidRDefault="000B2148" w:rsidP="000B2148">
      <w:pPr>
        <w:pStyle w:val="FootnoteText"/>
      </w:pPr>
      <w:r>
        <w:tab/>
      </w:r>
      <w:r w:rsidR="00452618" w:rsidRPr="000B2148">
        <w:rPr>
          <w:rStyle w:val="FootnoteReference"/>
        </w:rPr>
        <w:footnoteRef/>
      </w:r>
      <w:r w:rsidR="00452618" w:rsidRPr="000B2148">
        <w:rPr>
          <w:rStyle w:val="FootnoteReference"/>
        </w:rPr>
        <w:t xml:space="preserve"> </w:t>
      </w:r>
      <w:r>
        <w:tab/>
      </w:r>
      <w:r>
        <w:tab/>
      </w:r>
      <w:r w:rsidR="00452618" w:rsidRPr="000B2148">
        <w:t>MAAT for Peace submission to the Special Rapporteur</w:t>
      </w:r>
      <w:r w:rsidR="00C61AA0">
        <w:t>.</w:t>
      </w:r>
      <w:r w:rsidR="00452618" w:rsidRPr="002F261F">
        <w:t xml:space="preserve"> </w:t>
      </w:r>
    </w:p>
  </w:footnote>
  <w:footnote w:id="20">
    <w:p w14:paraId="0D432147" w14:textId="79FD442F" w:rsidR="00452618" w:rsidRPr="00C150E9" w:rsidRDefault="003C5696" w:rsidP="003C5696">
      <w:pPr>
        <w:pStyle w:val="FootnoteText"/>
        <w:rPr>
          <w:lang w:val="es-ES"/>
        </w:rPr>
      </w:pPr>
      <w:r>
        <w:tab/>
      </w:r>
      <w:r w:rsidR="00452618" w:rsidRPr="003C5696">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A/HRC/47/25, paras.9-15</w:t>
      </w:r>
      <w:r w:rsidR="00C61AA0" w:rsidRPr="00C150E9">
        <w:rPr>
          <w:lang w:val="es-ES"/>
        </w:rPr>
        <w:t>.</w:t>
      </w:r>
    </w:p>
  </w:footnote>
  <w:footnote w:id="21">
    <w:p w14:paraId="63605577" w14:textId="042DB145" w:rsidR="00452618" w:rsidRPr="00C150E9" w:rsidRDefault="003C5696" w:rsidP="003C5696">
      <w:pPr>
        <w:pStyle w:val="FootnoteText"/>
        <w:rPr>
          <w:lang w:val="es-ES"/>
        </w:rPr>
      </w:pPr>
      <w:r w:rsidRPr="00C150E9">
        <w:rPr>
          <w:lang w:val="es-ES"/>
        </w:rPr>
        <w:tab/>
      </w:r>
      <w:r w:rsidR="00452618" w:rsidRPr="003C5696">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proofErr w:type="spellStart"/>
      <w:r w:rsidR="00452618" w:rsidRPr="00C150E9">
        <w:rPr>
          <w:lang w:val="es-ES"/>
        </w:rPr>
        <w:t>Ibid</w:t>
      </w:r>
      <w:proofErr w:type="spellEnd"/>
      <w:r w:rsidR="00452618" w:rsidRPr="00C150E9">
        <w:rPr>
          <w:lang w:val="es-ES"/>
        </w:rPr>
        <w:t>, para.15</w:t>
      </w:r>
      <w:r w:rsidR="00C61AA0" w:rsidRPr="00C150E9">
        <w:rPr>
          <w:lang w:val="es-ES"/>
        </w:rPr>
        <w:t>.</w:t>
      </w:r>
    </w:p>
  </w:footnote>
  <w:footnote w:id="22">
    <w:p w14:paraId="01BBAAAC" w14:textId="67F650A6" w:rsidR="00452618" w:rsidRPr="003C5696" w:rsidRDefault="003C5696" w:rsidP="003C5696">
      <w:pPr>
        <w:pStyle w:val="FootnoteText"/>
      </w:pPr>
      <w:r w:rsidRPr="00C150E9">
        <w:rPr>
          <w:lang w:val="es-ES"/>
        </w:rPr>
        <w:tab/>
      </w:r>
      <w:r w:rsidR="00452618" w:rsidRPr="003C5696">
        <w:rPr>
          <w:rStyle w:val="FootnoteReference"/>
        </w:rPr>
        <w:footnoteRef/>
      </w:r>
      <w:r w:rsidR="00452618" w:rsidRPr="003C5696">
        <w:rPr>
          <w:rStyle w:val="FootnoteReference"/>
        </w:rPr>
        <w:t xml:space="preserve"> </w:t>
      </w:r>
      <w:r>
        <w:tab/>
      </w:r>
      <w:r>
        <w:tab/>
      </w:r>
      <w:r w:rsidR="00452618" w:rsidRPr="003C5696">
        <w:t xml:space="preserve">Guatemala, Romania, Ecuador, </w:t>
      </w:r>
      <w:proofErr w:type="spellStart"/>
      <w:r w:rsidR="00452618" w:rsidRPr="003C5696">
        <w:t>FakeReporter</w:t>
      </w:r>
      <w:proofErr w:type="spellEnd"/>
      <w:r w:rsidR="00452618" w:rsidRPr="003C5696">
        <w:t>, Morocco, Mexico National Human Rights Commission, Kailash Union &amp; the Federal Public Defenders' Office of Brazil submissions to the Special Rapporteur</w:t>
      </w:r>
      <w:r w:rsidR="00C61AA0">
        <w:t>.</w:t>
      </w:r>
    </w:p>
  </w:footnote>
  <w:footnote w:id="23">
    <w:p w14:paraId="178F464E" w14:textId="6F80CD10"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 xml:space="preserve">Netherlands </w:t>
      </w:r>
      <w:r w:rsidR="00537838">
        <w:t>&amp;</w:t>
      </w:r>
      <w:r w:rsidR="00452618" w:rsidRPr="003C5696">
        <w:t xml:space="preserve"> WYK submission</w:t>
      </w:r>
      <w:r w:rsidR="00537838">
        <w:t>s</w:t>
      </w:r>
      <w:r w:rsidR="00452618" w:rsidRPr="003C5696">
        <w:t xml:space="preserve"> to the Special Rapporteur</w:t>
      </w:r>
      <w:r w:rsidR="00C61AA0">
        <w:t>.</w:t>
      </w:r>
      <w:r w:rsidR="00452618" w:rsidRPr="003C5696">
        <w:t xml:space="preserve"> </w:t>
      </w:r>
    </w:p>
  </w:footnote>
  <w:footnote w:id="24">
    <w:p w14:paraId="6E88CC31" w14:textId="3B47DA12"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The Federal Public Defenders' Office of Brazil submission to the Special Rapporteur; and Laura Hood, “TikTok’s poor content moderation fuels the spread of hate speech and misinformation ahead of Indonesia 2024 elections”, The Conversation, 10 April 2023</w:t>
      </w:r>
      <w:r w:rsidR="00C61AA0">
        <w:t>.</w:t>
      </w:r>
    </w:p>
  </w:footnote>
  <w:footnote w:id="25">
    <w:p w14:paraId="110E6AF1" w14:textId="188AF184"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Amnesty International &amp; the Federal Public Defenders' Office of Brazil submissions to the Special Rapporteur</w:t>
      </w:r>
      <w:r w:rsidR="00A44108">
        <w:t>;</w:t>
      </w:r>
      <w:r w:rsidR="00452618" w:rsidRPr="003C5696">
        <w:t xml:space="preserve"> &amp; A/HRC/46/57, para.69</w:t>
      </w:r>
    </w:p>
  </w:footnote>
  <w:footnote w:id="26">
    <w:p w14:paraId="71294BD5" w14:textId="4E85B6BC"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Amnesty International submission to the Special Rapporteur; &amp; Access Now, “26 recommendations on content governance: a guide for lawmakers, regulators, and company policy makers” 2020</w:t>
      </w:r>
      <w:r w:rsidR="00C61AA0">
        <w:t>.</w:t>
      </w:r>
    </w:p>
  </w:footnote>
  <w:footnote w:id="27">
    <w:p w14:paraId="584F11A1" w14:textId="7AC02E19"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Ibid</w:t>
      </w:r>
      <w:r w:rsidR="00C61AA0">
        <w:t>.</w:t>
      </w:r>
      <w:r w:rsidR="00452618" w:rsidRPr="003C5696">
        <w:t xml:space="preserve">  </w:t>
      </w:r>
    </w:p>
  </w:footnote>
  <w:footnote w:id="28">
    <w:p w14:paraId="6C643304" w14:textId="0110C6E4" w:rsidR="00452618" w:rsidRPr="007534CA"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Ibid</w:t>
      </w:r>
      <w:r w:rsidR="00C61AA0">
        <w:t>.</w:t>
      </w:r>
    </w:p>
  </w:footnote>
  <w:footnote w:id="29">
    <w:p w14:paraId="5B05FF03" w14:textId="7BAAD31E"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proofErr w:type="spellStart"/>
      <w:r w:rsidR="00452618" w:rsidRPr="003C5696">
        <w:t>iCure</w:t>
      </w:r>
      <w:proofErr w:type="spellEnd"/>
      <w:r w:rsidR="00452618" w:rsidRPr="003C5696">
        <w:t xml:space="preserve"> submission to the Special Rapporteur &amp; </w:t>
      </w:r>
      <w:bookmarkStart w:id="3" w:name="_Hlk147080289"/>
      <w:r w:rsidR="00452618" w:rsidRPr="003C5696">
        <w:t>Council on Foreign Relations, “Hate Speech on Social Media: Global Comparisons”, 2019</w:t>
      </w:r>
      <w:r w:rsidR="00C61AA0">
        <w:t>.</w:t>
      </w:r>
      <w:r w:rsidR="00452618" w:rsidRPr="003C5696">
        <w:t xml:space="preserve"> </w:t>
      </w:r>
      <w:bookmarkEnd w:id="3"/>
    </w:p>
  </w:footnote>
  <w:footnote w:id="30">
    <w:p w14:paraId="1014F8EC" w14:textId="6372323D"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A/HRC/44/57</w:t>
      </w:r>
      <w:r w:rsidR="00C61AA0">
        <w:t>.</w:t>
      </w:r>
    </w:p>
  </w:footnote>
  <w:footnote w:id="31">
    <w:p w14:paraId="0F9E3F9E" w14:textId="2EFE3BC8"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bookmarkStart w:id="4" w:name="_Hlk147082047"/>
      <w:r>
        <w:tab/>
      </w:r>
      <w:r>
        <w:tab/>
      </w:r>
      <w:r w:rsidR="00452618" w:rsidRPr="003C5696">
        <w:t xml:space="preserve">Daria Denti and Alessandra </w:t>
      </w:r>
      <w:proofErr w:type="spellStart"/>
      <w:r w:rsidR="00452618" w:rsidRPr="003C5696">
        <w:t>Faggian</w:t>
      </w:r>
      <w:proofErr w:type="spellEnd"/>
      <w:r w:rsidR="00452618" w:rsidRPr="003C5696">
        <w:t>, “Where do angry birds tweet? Income inequality and online hate in Italy”, 2021, A/HRC/47/25, MAAT for Peace submission to the Special Rapporteur; &amp; Council on Foreign Relations, “Hate Speech on Social Media: Global Comparisons”, 2019</w:t>
      </w:r>
      <w:bookmarkEnd w:id="4"/>
      <w:r w:rsidR="00C61AA0">
        <w:t>.</w:t>
      </w:r>
    </w:p>
  </w:footnote>
  <w:footnote w:id="32">
    <w:p w14:paraId="44FB479F" w14:textId="6A483787"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A/77/512 &amp; WYK Advocate submission to the Special Rapporteur</w:t>
      </w:r>
      <w:r w:rsidR="00C61AA0">
        <w:t>.</w:t>
      </w:r>
      <w:r w:rsidR="00452618" w:rsidRPr="003C5696">
        <w:t xml:space="preserve"> </w:t>
      </w:r>
    </w:p>
  </w:footnote>
  <w:footnote w:id="33">
    <w:p w14:paraId="76F77394" w14:textId="6F872802"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Ibid</w:t>
      </w:r>
      <w:r w:rsidR="00C61AA0">
        <w:t>.</w:t>
      </w:r>
      <w:r w:rsidR="00452618" w:rsidRPr="003C5696">
        <w:t xml:space="preserve"> </w:t>
      </w:r>
    </w:p>
  </w:footnote>
  <w:footnote w:id="34">
    <w:p w14:paraId="0E19E649" w14:textId="2F16B922"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Ibid</w:t>
      </w:r>
      <w:r w:rsidR="00C61AA0">
        <w:t>.</w:t>
      </w:r>
      <w:r w:rsidR="00452618" w:rsidRPr="003C5696">
        <w:t xml:space="preserve"> </w:t>
      </w:r>
    </w:p>
  </w:footnote>
  <w:footnote w:id="35">
    <w:p w14:paraId="12A43931" w14:textId="15C9101E"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Article 19, “The Politics of Hate Speech”, 2020</w:t>
      </w:r>
      <w:r w:rsidR="00C61AA0">
        <w:t>.</w:t>
      </w:r>
      <w:r w:rsidR="00452618" w:rsidRPr="003C5696">
        <w:t xml:space="preserve"> </w:t>
      </w:r>
    </w:p>
  </w:footnote>
  <w:footnote w:id="36">
    <w:p w14:paraId="4132C8E5" w14:textId="5D7BFC4E"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 xml:space="preserve">South Asia Justice Campaign and </w:t>
      </w:r>
      <w:proofErr w:type="spellStart"/>
      <w:r w:rsidR="00452618" w:rsidRPr="003C5696">
        <w:t>FakeReporter</w:t>
      </w:r>
      <w:proofErr w:type="spellEnd"/>
      <w:r w:rsidR="00452618" w:rsidRPr="003C5696">
        <w:t xml:space="preserve"> submissions to the Special Rapporteur</w:t>
      </w:r>
      <w:r w:rsidR="00C61AA0">
        <w:t>.</w:t>
      </w:r>
      <w:r w:rsidR="00452618" w:rsidRPr="003C5696">
        <w:t xml:space="preserve">  </w:t>
      </w:r>
    </w:p>
  </w:footnote>
  <w:footnote w:id="37">
    <w:p w14:paraId="5451C697" w14:textId="788B1905" w:rsidR="00452618" w:rsidRPr="003C5696"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AI for the People &amp; Federal Public Defenders' Office of Brazil submissions to the Special Rapporteur</w:t>
      </w:r>
      <w:r w:rsidR="00C61AA0">
        <w:t>.</w:t>
      </w:r>
      <w:r>
        <w:t xml:space="preserve"> </w:t>
      </w:r>
    </w:p>
  </w:footnote>
  <w:footnote w:id="38">
    <w:p w14:paraId="603C810B" w14:textId="0B4BC91C" w:rsidR="00452618" w:rsidRDefault="003C5696" w:rsidP="003C5696">
      <w:pPr>
        <w:pStyle w:val="FootnoteText"/>
      </w:pPr>
      <w:r>
        <w:tab/>
      </w:r>
      <w:r w:rsidR="00452618" w:rsidRPr="003C5696">
        <w:rPr>
          <w:rStyle w:val="FootnoteReference"/>
        </w:rPr>
        <w:footnoteRef/>
      </w:r>
      <w:r w:rsidR="00452618" w:rsidRPr="003C5696">
        <w:rPr>
          <w:rStyle w:val="FootnoteReference"/>
        </w:rPr>
        <w:t xml:space="preserve"> </w:t>
      </w:r>
      <w:r>
        <w:tab/>
      </w:r>
      <w:r>
        <w:tab/>
      </w:r>
      <w:r w:rsidR="00452618" w:rsidRPr="003C5696">
        <w:t xml:space="preserve">The Arab </w:t>
      </w:r>
      <w:proofErr w:type="spellStart"/>
      <w:r w:rsidR="00452618" w:rsidRPr="003C5696">
        <w:t>Center</w:t>
      </w:r>
      <w:proofErr w:type="spellEnd"/>
      <w:r w:rsidR="00452618" w:rsidRPr="003C5696">
        <w:t xml:space="preserve"> for the Advancement of Social Media submission to the Special Rapporteur</w:t>
      </w:r>
      <w:r w:rsidR="00C61AA0">
        <w:t>.</w:t>
      </w:r>
      <w:r w:rsidR="00452618">
        <w:t xml:space="preserve"> </w:t>
      </w:r>
    </w:p>
  </w:footnote>
  <w:footnote w:id="39">
    <w:p w14:paraId="0C2F7C4F" w14:textId="6966760C" w:rsidR="00452618" w:rsidRPr="00CA644C" w:rsidRDefault="00CA644C" w:rsidP="00CA644C">
      <w:pPr>
        <w:pStyle w:val="FootnoteText"/>
      </w:pPr>
      <w:r>
        <w:tab/>
      </w:r>
      <w:r w:rsidR="00452618" w:rsidRPr="00CA644C">
        <w:rPr>
          <w:rStyle w:val="FootnoteReference"/>
        </w:rPr>
        <w:footnoteRef/>
      </w:r>
      <w:r w:rsidR="00452618" w:rsidRPr="00CA644C">
        <w:rPr>
          <w:rStyle w:val="FootnoteReference"/>
        </w:rPr>
        <w:t xml:space="preserve"> </w:t>
      </w:r>
      <w:r>
        <w:tab/>
      </w:r>
      <w:r>
        <w:tab/>
      </w:r>
      <w:r w:rsidR="00452618" w:rsidRPr="00CA644C">
        <w:t>A/77/51, para.63</w:t>
      </w:r>
      <w:r w:rsidR="00526D04">
        <w:t>.</w:t>
      </w:r>
      <w:r w:rsidR="00452618" w:rsidRPr="00CA644C">
        <w:t xml:space="preserve">  </w:t>
      </w:r>
    </w:p>
  </w:footnote>
  <w:footnote w:id="40">
    <w:p w14:paraId="14C0991A" w14:textId="1ACB9D74" w:rsidR="00452618" w:rsidRPr="00CA644C" w:rsidRDefault="00CA644C" w:rsidP="00CA644C">
      <w:pPr>
        <w:pStyle w:val="FootnoteText"/>
      </w:pPr>
      <w:r>
        <w:tab/>
      </w:r>
      <w:r w:rsidR="00452618" w:rsidRPr="00CA644C">
        <w:rPr>
          <w:rStyle w:val="FootnoteReference"/>
        </w:rPr>
        <w:footnoteRef/>
      </w:r>
      <w:r w:rsidR="00452618" w:rsidRPr="00CA644C">
        <w:rPr>
          <w:rStyle w:val="FootnoteReference"/>
        </w:rPr>
        <w:t xml:space="preserve"> </w:t>
      </w:r>
      <w:r>
        <w:tab/>
      </w:r>
      <w:r>
        <w:tab/>
      </w:r>
      <w:r w:rsidR="00452618" w:rsidRPr="00CA644C">
        <w:t>Ibid</w:t>
      </w:r>
      <w:r w:rsidR="00526D04">
        <w:t>.</w:t>
      </w:r>
      <w:r w:rsidR="00452618" w:rsidRPr="00CA644C">
        <w:t xml:space="preserve"> </w:t>
      </w:r>
    </w:p>
  </w:footnote>
  <w:footnote w:id="41">
    <w:p w14:paraId="3BBE28FA" w14:textId="3FDB09D8" w:rsidR="00452618" w:rsidRPr="00CA644C" w:rsidRDefault="00CA644C" w:rsidP="00CA644C">
      <w:pPr>
        <w:pStyle w:val="FootnoteText"/>
      </w:pPr>
      <w:r>
        <w:tab/>
      </w:r>
      <w:r w:rsidR="00452618" w:rsidRPr="00CA644C">
        <w:rPr>
          <w:rStyle w:val="FootnoteReference"/>
        </w:rPr>
        <w:footnoteRef/>
      </w:r>
      <w:r w:rsidR="00452618" w:rsidRPr="00CA644C">
        <w:rPr>
          <w:rStyle w:val="FootnoteReference"/>
        </w:rPr>
        <w:t xml:space="preserve"> </w:t>
      </w:r>
      <w:r>
        <w:tab/>
      </w:r>
      <w:r>
        <w:tab/>
      </w:r>
      <w:r w:rsidR="00452618" w:rsidRPr="00CA644C">
        <w:t xml:space="preserve">, Irish Examiner, “Revealed: How racist Irish YouTube accounts profit by livestreaming protests”, 2023 and the Media Line, “Big Business: The Monetization of Antisemitism”, </w:t>
      </w:r>
    </w:p>
  </w:footnote>
  <w:footnote w:id="42">
    <w:p w14:paraId="0936D0F2" w14:textId="756EE70C" w:rsidR="00452618" w:rsidRPr="00CA644C" w:rsidRDefault="00CA644C" w:rsidP="00CA644C">
      <w:pPr>
        <w:pStyle w:val="FootnoteText"/>
      </w:pPr>
      <w:r>
        <w:tab/>
      </w:r>
      <w:r w:rsidR="00452618" w:rsidRPr="00526D04">
        <w:rPr>
          <w:rStyle w:val="FootnoteReference"/>
        </w:rPr>
        <w:footnoteRef/>
      </w:r>
      <w:r w:rsidR="00452618" w:rsidRPr="00CA644C">
        <w:t xml:space="preserve"> </w:t>
      </w:r>
      <w:r>
        <w:tab/>
      </w:r>
      <w:r>
        <w:tab/>
      </w:r>
      <w:r w:rsidR="00452618" w:rsidRPr="00CA644C">
        <w:t>Amnesty International submission to the Special Rapporteur</w:t>
      </w:r>
      <w:r w:rsidR="00C61AA0">
        <w:t>.</w:t>
      </w:r>
    </w:p>
  </w:footnote>
  <w:footnote w:id="43">
    <w:p w14:paraId="16FA8A64" w14:textId="3AA2BA2F" w:rsidR="00452618" w:rsidRPr="00C150E9" w:rsidRDefault="00CA644C" w:rsidP="00CA644C">
      <w:pPr>
        <w:pStyle w:val="FootnoteText"/>
        <w:rPr>
          <w:lang w:val="es-ES"/>
        </w:rPr>
      </w:pPr>
      <w:r>
        <w:tab/>
      </w:r>
      <w:r w:rsidR="00452618" w:rsidRPr="00526D04">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para.16</w:t>
      </w:r>
      <w:r w:rsidR="00C61AA0" w:rsidRPr="00C150E9">
        <w:rPr>
          <w:lang w:val="es-ES"/>
        </w:rPr>
        <w:t>.</w:t>
      </w:r>
    </w:p>
  </w:footnote>
  <w:footnote w:id="44">
    <w:p w14:paraId="249BD3D4" w14:textId="0FCD7C9C" w:rsidR="00452618" w:rsidRPr="00C150E9" w:rsidRDefault="00CA644C" w:rsidP="00CA644C">
      <w:pPr>
        <w:pStyle w:val="FootnoteText"/>
        <w:rPr>
          <w:lang w:val="es-ES"/>
        </w:rPr>
      </w:pPr>
      <w:r w:rsidRPr="00C150E9">
        <w:rPr>
          <w:lang w:val="es-ES"/>
        </w:rPr>
        <w:tab/>
      </w:r>
      <w:r w:rsidR="00452618" w:rsidRPr="00526D04">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A/HRC/46/57, para.46 &amp; A/HRC/44/57</w:t>
      </w:r>
      <w:r w:rsidR="00C61AA0" w:rsidRPr="00C150E9">
        <w:rPr>
          <w:lang w:val="es-ES"/>
        </w:rPr>
        <w:t>.</w:t>
      </w:r>
    </w:p>
  </w:footnote>
  <w:footnote w:id="45">
    <w:p w14:paraId="091A3A05" w14:textId="593236DA" w:rsidR="00452618" w:rsidRPr="001E5CB0" w:rsidRDefault="00CA644C" w:rsidP="00CA644C">
      <w:pPr>
        <w:pStyle w:val="FootnoteText"/>
      </w:pPr>
      <w:r w:rsidRPr="00C150E9">
        <w:rPr>
          <w:lang w:val="es-ES"/>
        </w:rPr>
        <w:tab/>
      </w:r>
      <w:r w:rsidR="00452618" w:rsidRPr="00526D04">
        <w:rPr>
          <w:rStyle w:val="FootnoteReference"/>
        </w:rPr>
        <w:footnoteRef/>
      </w:r>
      <w:r w:rsidR="00452618" w:rsidRPr="00CA644C">
        <w:t xml:space="preserve"> </w:t>
      </w:r>
      <w:r>
        <w:tab/>
      </w:r>
      <w:r>
        <w:tab/>
      </w:r>
      <w:r w:rsidR="00452618" w:rsidRPr="00CA644C">
        <w:t>Amnesty International submission to the Special Rapporteur</w:t>
      </w:r>
      <w:r w:rsidR="00C61AA0">
        <w:t>.</w:t>
      </w:r>
    </w:p>
  </w:footnote>
  <w:footnote w:id="46">
    <w:p w14:paraId="4E3088AA" w14:textId="766F1C4A" w:rsidR="00452618" w:rsidRPr="001E5CB0" w:rsidRDefault="00CA644C" w:rsidP="00452618">
      <w:pPr>
        <w:pStyle w:val="FootnoteText"/>
      </w:pPr>
      <w:r>
        <w:tab/>
      </w:r>
      <w:r w:rsidR="00452618" w:rsidRPr="00526D04">
        <w:rPr>
          <w:rStyle w:val="FootnoteReference"/>
        </w:rPr>
        <w:footnoteRef/>
      </w:r>
      <w:r w:rsidR="00452618" w:rsidRPr="00526D04">
        <w:rPr>
          <w:rStyle w:val="FootnoteReference"/>
        </w:rPr>
        <w:t xml:space="preserve"> </w:t>
      </w:r>
      <w:r>
        <w:tab/>
      </w:r>
      <w:r>
        <w:tab/>
      </w:r>
      <w:r w:rsidR="00452618" w:rsidRPr="001E5CB0">
        <w:t>Ibid</w:t>
      </w:r>
      <w:r w:rsidR="00C61AA0">
        <w:t>.</w:t>
      </w:r>
      <w:r w:rsidR="00452618" w:rsidRPr="001E5CB0">
        <w:t xml:space="preserve">  </w:t>
      </w:r>
    </w:p>
  </w:footnote>
  <w:footnote w:id="47">
    <w:p w14:paraId="36F7BA19" w14:textId="1F9D2D95"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proofErr w:type="spellStart"/>
      <w:r w:rsidR="00452618" w:rsidRPr="00526D04">
        <w:t>FakeReporter</w:t>
      </w:r>
      <w:proofErr w:type="spellEnd"/>
      <w:r w:rsidR="00452618" w:rsidRPr="00526D04">
        <w:t xml:space="preserve">, Mexico National Human Rights Commission, Romania </w:t>
      </w:r>
      <w:r w:rsidR="001B70CB">
        <w:t>&amp;</w:t>
      </w:r>
      <w:r w:rsidR="00452618" w:rsidRPr="00526D04">
        <w:t xml:space="preserve"> the Federal Public Defenders' Office of Brazil submissions to the Special Rapporteur; Meagan Cahill, Katya </w:t>
      </w:r>
      <w:proofErr w:type="spellStart"/>
      <w:r w:rsidR="00452618" w:rsidRPr="00526D04">
        <w:t>Migacheva</w:t>
      </w:r>
      <w:proofErr w:type="spellEnd"/>
      <w:r w:rsidR="00452618" w:rsidRPr="00526D04">
        <w:t>, Jirka Taylor, Matthew Williams, Pete Burnap, Amir Javed, Han Liu, Hui Lu, Alex Sutherland, “Understanding Online Hate Speech as a Motivator and Predictor of Hate Crime”, 2022</w:t>
      </w:r>
      <w:r w:rsidR="001B70CB">
        <w:t>;</w:t>
      </w:r>
      <w:r w:rsidR="00452618" w:rsidRPr="00526D04">
        <w:t xml:space="preserve"> &amp; Hogan Lovells, “The Global Regulation of Online Hate: A Survey of Applicable Laws Special Report”, 2020</w:t>
      </w:r>
      <w:r w:rsidR="00C61AA0">
        <w:t>.</w:t>
      </w:r>
    </w:p>
  </w:footnote>
  <w:footnote w:id="48">
    <w:p w14:paraId="58AB30D7" w14:textId="6BEA79C7"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r w:rsidR="00452618" w:rsidRPr="00526D04">
        <w:t>A/77/512, para.52</w:t>
      </w:r>
      <w:r w:rsidR="00C61AA0">
        <w:t>.</w:t>
      </w:r>
    </w:p>
  </w:footnote>
  <w:footnote w:id="49">
    <w:p w14:paraId="3A7D8731" w14:textId="1D4EC088" w:rsidR="00452618" w:rsidRPr="00526D04" w:rsidRDefault="00526D04" w:rsidP="00526D04">
      <w:pPr>
        <w:pStyle w:val="FootnoteText"/>
      </w:pPr>
      <w:r>
        <w:tab/>
      </w:r>
      <w:r w:rsidR="00452618" w:rsidRPr="00526D04">
        <w:rPr>
          <w:rStyle w:val="FootnoteReference"/>
        </w:rPr>
        <w:footnoteRef/>
      </w:r>
      <w:r w:rsidR="00452618" w:rsidRPr="00526D04">
        <w:t xml:space="preserve"> </w:t>
      </w:r>
      <w:r>
        <w:tab/>
      </w:r>
      <w:r>
        <w:tab/>
      </w:r>
      <w:r w:rsidR="00452618" w:rsidRPr="00526D04">
        <w:t xml:space="preserve">The Federal Public Defenders' Office of Brazil submission to the Special Rapporteur; &amp; </w:t>
      </w:r>
      <w:proofErr w:type="spellStart"/>
      <w:r w:rsidR="00452618" w:rsidRPr="00526D04">
        <w:t>Koustuv</w:t>
      </w:r>
      <w:proofErr w:type="spellEnd"/>
      <w:r w:rsidR="00452618" w:rsidRPr="00526D04">
        <w:t xml:space="preserve"> </w:t>
      </w:r>
      <w:proofErr w:type="spellStart"/>
      <w:r w:rsidR="00452618" w:rsidRPr="00526D04">
        <w:t>Saha</w:t>
      </w:r>
      <w:proofErr w:type="spellEnd"/>
      <w:r w:rsidR="00452618" w:rsidRPr="00526D04">
        <w:t xml:space="preserve">, Eshwar Chandrasekharan, and Munmun De </w:t>
      </w:r>
      <w:proofErr w:type="spellStart"/>
      <w:r w:rsidR="00452618" w:rsidRPr="00526D04">
        <w:t>Chodhury</w:t>
      </w:r>
      <w:proofErr w:type="spellEnd"/>
      <w:r w:rsidR="00452618" w:rsidRPr="00526D04">
        <w:t>, “Prevalence and Psychological Effects of Hateful Speech in Online College Communities”, 2019</w:t>
      </w:r>
      <w:r w:rsidR="00C61AA0">
        <w:t>.</w:t>
      </w:r>
      <w:r w:rsidR="00452618" w:rsidRPr="00526D04">
        <w:t xml:space="preserve"> </w:t>
      </w:r>
    </w:p>
  </w:footnote>
  <w:footnote w:id="50">
    <w:p w14:paraId="7CB82988" w14:textId="713CD0FC"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r w:rsidR="00452618" w:rsidRPr="00526D04">
        <w:t xml:space="preserve">Mauritius submission to the Special Rapporteur; and </w:t>
      </w:r>
      <w:proofErr w:type="spellStart"/>
      <w:r w:rsidR="00452618" w:rsidRPr="00526D04">
        <w:t>Mazidatun</w:t>
      </w:r>
      <w:proofErr w:type="spellEnd"/>
      <w:r w:rsidR="00452618" w:rsidRPr="00526D04">
        <w:t xml:space="preserve"> </w:t>
      </w:r>
      <w:proofErr w:type="spellStart"/>
      <w:r w:rsidR="00452618" w:rsidRPr="00526D04">
        <w:t>Maftukhah</w:t>
      </w:r>
      <w:proofErr w:type="spellEnd"/>
      <w:r w:rsidR="00452618" w:rsidRPr="00526D04">
        <w:t>, “Impact of Hate Speech on Youth and Children in the Online Mobile Game Environment: Prevalence, Age-Related Patterns, and Policy Implications”, 2023</w:t>
      </w:r>
      <w:r w:rsidR="00C61AA0">
        <w:t>.</w:t>
      </w:r>
      <w:r w:rsidR="00452618" w:rsidRPr="00526D04">
        <w:t xml:space="preserve"> </w:t>
      </w:r>
    </w:p>
  </w:footnote>
  <w:footnote w:id="51">
    <w:p w14:paraId="401E323A" w14:textId="452A3A80"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proofErr w:type="spellStart"/>
      <w:r w:rsidR="00452618" w:rsidRPr="00526D04">
        <w:t>Mazidatun</w:t>
      </w:r>
      <w:proofErr w:type="spellEnd"/>
      <w:r w:rsidR="00452618" w:rsidRPr="00526D04">
        <w:t xml:space="preserve"> </w:t>
      </w:r>
      <w:proofErr w:type="spellStart"/>
      <w:r w:rsidR="00452618" w:rsidRPr="00526D04">
        <w:t>Maftukhah</w:t>
      </w:r>
      <w:proofErr w:type="spellEnd"/>
      <w:r w:rsidR="00452618" w:rsidRPr="00526D04">
        <w:t>, “Impact of Hate Speech on Youth and Children in the Online Mobile Game Environment: Prevalence, Age-Related Patterns, and Policy Implications”, 2023</w:t>
      </w:r>
      <w:r w:rsidR="00C61AA0">
        <w:t>.</w:t>
      </w:r>
    </w:p>
  </w:footnote>
  <w:footnote w:id="52">
    <w:p w14:paraId="6179C398" w14:textId="00130A29"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r w:rsidR="00452618" w:rsidRPr="00526D04">
        <w:t xml:space="preserve">UN Strategy and Plan of Action, 2019; &amp; Ireland, Uruguay &amp; </w:t>
      </w:r>
      <w:proofErr w:type="spellStart"/>
      <w:r w:rsidR="00452618" w:rsidRPr="00526D04">
        <w:t>LubSul</w:t>
      </w:r>
      <w:proofErr w:type="spellEnd"/>
      <w:r w:rsidR="00452618" w:rsidRPr="00526D04">
        <w:t xml:space="preserve"> submissions to the Special Rapporteur</w:t>
      </w:r>
      <w:r w:rsidR="00C61AA0">
        <w:t>.</w:t>
      </w:r>
      <w:r w:rsidR="00452618" w:rsidRPr="00526D04">
        <w:t xml:space="preserve"> </w:t>
      </w:r>
    </w:p>
  </w:footnote>
  <w:footnote w:id="53">
    <w:p w14:paraId="175186F9" w14:textId="75796935" w:rsidR="00452618" w:rsidRPr="00526D04" w:rsidRDefault="00526D04" w:rsidP="00526D04">
      <w:pPr>
        <w:pStyle w:val="FootnoteText"/>
      </w:pPr>
      <w:r>
        <w:tab/>
      </w:r>
      <w:r w:rsidR="00452618" w:rsidRPr="00526D04">
        <w:rPr>
          <w:rStyle w:val="FootnoteReference"/>
        </w:rPr>
        <w:footnoteRef/>
      </w:r>
      <w:r w:rsidR="00452618" w:rsidRPr="00526D04">
        <w:rPr>
          <w:rStyle w:val="FootnoteReference"/>
        </w:rPr>
        <w:t xml:space="preserve"> </w:t>
      </w:r>
      <w:r>
        <w:tab/>
      </w:r>
      <w:r>
        <w:tab/>
      </w:r>
      <w:r w:rsidR="00452618" w:rsidRPr="00526D04">
        <w:t>UN Strategy and Plan of Action, 2019</w:t>
      </w:r>
      <w:r w:rsidR="00C61AA0">
        <w:t>.</w:t>
      </w:r>
      <w:r w:rsidR="00452618" w:rsidRPr="00526D04">
        <w:t xml:space="preserve"> </w:t>
      </w:r>
    </w:p>
  </w:footnote>
  <w:footnote w:id="54">
    <w:p w14:paraId="2DB3AF63" w14:textId="4DC61DCD" w:rsidR="00452618" w:rsidRPr="00C150E9" w:rsidRDefault="00526D04" w:rsidP="00526D04">
      <w:pPr>
        <w:pStyle w:val="FootnoteText"/>
        <w:rPr>
          <w:lang w:val="es-ES"/>
        </w:rPr>
      </w:pPr>
      <w:r>
        <w:tab/>
      </w:r>
      <w:r w:rsidR="00452618" w:rsidRPr="00526D04">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para.5</w:t>
      </w:r>
      <w:r w:rsidR="00C61AA0" w:rsidRPr="00C150E9">
        <w:rPr>
          <w:lang w:val="es-ES"/>
        </w:rPr>
        <w:t>.</w:t>
      </w:r>
    </w:p>
  </w:footnote>
  <w:footnote w:id="55">
    <w:p w14:paraId="615C33E4" w14:textId="329279C0" w:rsidR="00452618" w:rsidRPr="00C150E9" w:rsidRDefault="00D33ACA" w:rsidP="00D33ACA">
      <w:pPr>
        <w:pStyle w:val="FootnoteText"/>
        <w:rPr>
          <w:lang w:val="es-ES"/>
        </w:rPr>
      </w:pPr>
      <w:r w:rsidRPr="00C150E9">
        <w:rPr>
          <w:lang w:val="es-ES"/>
        </w:rPr>
        <w:tab/>
      </w:r>
      <w:r w:rsidR="00452618" w:rsidRPr="00D33ACA">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para.10</w:t>
      </w:r>
      <w:r w:rsidR="00C61AA0" w:rsidRPr="00C150E9">
        <w:rPr>
          <w:lang w:val="es-ES"/>
        </w:rPr>
        <w:t>.</w:t>
      </w:r>
    </w:p>
  </w:footnote>
  <w:footnote w:id="56">
    <w:p w14:paraId="293FA43F" w14:textId="38557E7C" w:rsidR="00452618" w:rsidRPr="00D33ACA" w:rsidRDefault="00D33ACA" w:rsidP="00D33ACA">
      <w:pPr>
        <w:pStyle w:val="FootnoteText"/>
      </w:pPr>
      <w:r w:rsidRPr="00C150E9">
        <w:rPr>
          <w:lang w:val="es-ES"/>
        </w:rPr>
        <w:tab/>
      </w:r>
      <w:r w:rsidR="00452618" w:rsidRPr="00D33ACA">
        <w:rPr>
          <w:rStyle w:val="FootnoteReference"/>
        </w:rPr>
        <w:footnoteRef/>
      </w:r>
      <w:r w:rsidR="00452618" w:rsidRPr="00D33ACA">
        <w:rPr>
          <w:rStyle w:val="FootnoteReference"/>
        </w:rPr>
        <w:t xml:space="preserve"> </w:t>
      </w:r>
      <w:r>
        <w:tab/>
      </w:r>
      <w:r>
        <w:tab/>
      </w:r>
      <w:r w:rsidR="00452618" w:rsidRPr="00D33ACA">
        <w:t>Article 4 of the International Convention on the Elimination of all Forms of Racial Discrimination</w:t>
      </w:r>
      <w:r w:rsidR="00C61AA0">
        <w:t>.</w:t>
      </w:r>
      <w:r w:rsidR="00452618" w:rsidRPr="00D33ACA">
        <w:t xml:space="preserve"> </w:t>
      </w:r>
    </w:p>
  </w:footnote>
  <w:footnote w:id="57">
    <w:p w14:paraId="098CC661" w14:textId="42E23CAE" w:rsidR="00452618" w:rsidRPr="00D33ACA" w:rsidRDefault="00D33ACA" w:rsidP="00D33ACA">
      <w:pPr>
        <w:pStyle w:val="FootnoteText"/>
      </w:pPr>
      <w:r>
        <w:tab/>
      </w:r>
      <w:r w:rsidR="00452618" w:rsidRPr="00D33ACA">
        <w:rPr>
          <w:rStyle w:val="FootnoteReference"/>
        </w:rPr>
        <w:footnoteRef/>
      </w:r>
      <w:r w:rsidR="00452618" w:rsidRPr="00D33ACA">
        <w:rPr>
          <w:rStyle w:val="FootnoteReference"/>
        </w:rPr>
        <w:t xml:space="preserve"> </w:t>
      </w:r>
      <w:r>
        <w:tab/>
      </w:r>
      <w:r>
        <w:tab/>
      </w:r>
      <w:r w:rsidR="00452618" w:rsidRPr="00D33ACA">
        <w:t>CERD/C/GC/35, para.10</w:t>
      </w:r>
      <w:r w:rsidRPr="00D33ACA">
        <w:t xml:space="preserve"> Please see article 4 (1) of the International Convention on the Elimination</w:t>
      </w:r>
      <w:r w:rsidR="00C61AA0">
        <w:t>.</w:t>
      </w:r>
    </w:p>
  </w:footnote>
  <w:footnote w:id="58">
    <w:p w14:paraId="78A32145" w14:textId="7C3EACAF" w:rsidR="00452618" w:rsidRPr="00D33ACA" w:rsidRDefault="00D33ACA" w:rsidP="00D33ACA">
      <w:pPr>
        <w:pStyle w:val="FootnoteText"/>
        <w:ind w:left="0" w:firstLine="0"/>
      </w:pPr>
      <w:r>
        <w:tab/>
      </w:r>
      <w:r>
        <w:tab/>
      </w:r>
      <w:r w:rsidR="00452618" w:rsidRPr="00D33ACA">
        <w:t>of all Forms of Racial Discrimination and CERD/C/GC/35</w:t>
      </w:r>
      <w:r w:rsidR="00C61AA0">
        <w:t>.</w:t>
      </w:r>
    </w:p>
  </w:footnote>
  <w:footnote w:id="59">
    <w:p w14:paraId="25405073" w14:textId="0B73AEBD" w:rsidR="00452618" w:rsidRPr="00C150E9" w:rsidRDefault="00D33ACA" w:rsidP="00D33ACA">
      <w:pPr>
        <w:pStyle w:val="FootnoteText"/>
        <w:rPr>
          <w:lang w:val="es-ES"/>
        </w:rPr>
      </w:pPr>
      <w:r>
        <w:tab/>
      </w:r>
      <w:r w:rsidR="00452618" w:rsidRPr="000216E4">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para.13</w:t>
      </w:r>
      <w:r w:rsidR="00C61AA0" w:rsidRPr="00C150E9">
        <w:rPr>
          <w:lang w:val="es-ES"/>
        </w:rPr>
        <w:t>.</w:t>
      </w:r>
    </w:p>
  </w:footnote>
  <w:footnote w:id="60">
    <w:p w14:paraId="2F5B1356" w14:textId="70033132" w:rsidR="00452618" w:rsidRPr="00C150E9" w:rsidRDefault="00D33ACA" w:rsidP="00D33ACA">
      <w:pPr>
        <w:pStyle w:val="FootnoteText"/>
        <w:rPr>
          <w:lang w:val="es-ES"/>
        </w:rPr>
      </w:pPr>
      <w:r w:rsidRPr="00C150E9">
        <w:rPr>
          <w:lang w:val="es-ES"/>
        </w:rPr>
        <w:tab/>
      </w:r>
      <w:r w:rsidR="00452618" w:rsidRPr="000216E4">
        <w:rPr>
          <w:rStyle w:val="FootnoteReference"/>
        </w:rPr>
        <w:footnoteRef/>
      </w:r>
      <w:r w:rsidR="00452618" w:rsidRPr="00C150E9">
        <w:rPr>
          <w:lang w:val="es-ES"/>
        </w:rPr>
        <w:t xml:space="preserve"> </w:t>
      </w:r>
      <w:r w:rsidRPr="00C150E9">
        <w:rPr>
          <w:lang w:val="es-ES"/>
        </w:rPr>
        <w:tab/>
      </w:r>
      <w:r w:rsidRPr="00C150E9">
        <w:rPr>
          <w:lang w:val="es-ES"/>
        </w:rPr>
        <w:tab/>
      </w:r>
      <w:proofErr w:type="spellStart"/>
      <w:r w:rsidR="00452618" w:rsidRPr="00C150E9">
        <w:rPr>
          <w:lang w:val="es-ES"/>
        </w:rPr>
        <w:t>Ibid</w:t>
      </w:r>
      <w:proofErr w:type="spellEnd"/>
      <w:r w:rsidR="00452618" w:rsidRPr="00C150E9">
        <w:rPr>
          <w:lang w:val="es-ES"/>
        </w:rPr>
        <w:t>, para.15</w:t>
      </w:r>
      <w:r w:rsidR="00C61AA0" w:rsidRPr="00C150E9">
        <w:rPr>
          <w:lang w:val="es-ES"/>
        </w:rPr>
        <w:t>.</w:t>
      </w:r>
    </w:p>
  </w:footnote>
  <w:footnote w:id="61">
    <w:p w14:paraId="54018FA0" w14:textId="45832F45" w:rsidR="00452618" w:rsidRPr="00D33ACA" w:rsidRDefault="00D33ACA" w:rsidP="00D33ACA">
      <w:pPr>
        <w:pStyle w:val="FootnoteText"/>
      </w:pPr>
      <w:r w:rsidRPr="00C150E9">
        <w:rPr>
          <w:lang w:val="es-ES"/>
        </w:rPr>
        <w:tab/>
      </w:r>
      <w:r w:rsidR="00452618" w:rsidRPr="000216E4">
        <w:rPr>
          <w:rStyle w:val="FootnoteReference"/>
        </w:rPr>
        <w:footnoteRef/>
      </w:r>
      <w:r w:rsidR="00452618" w:rsidRPr="000216E4">
        <w:rPr>
          <w:rStyle w:val="FootnoteReference"/>
        </w:rPr>
        <w:t xml:space="preserve"> </w:t>
      </w:r>
      <w:r>
        <w:tab/>
      </w:r>
      <w:r>
        <w:tab/>
      </w:r>
      <w:r w:rsidR="00452618" w:rsidRPr="00D33ACA">
        <w:t>Ibid, para.17</w:t>
      </w:r>
      <w:r w:rsidR="00C61AA0">
        <w:t>.</w:t>
      </w:r>
    </w:p>
  </w:footnote>
  <w:footnote w:id="62">
    <w:p w14:paraId="5AEFCE9B" w14:textId="54B93751" w:rsidR="00452618" w:rsidRPr="00D33ACA" w:rsidRDefault="00D33ACA" w:rsidP="00D33ACA">
      <w:pPr>
        <w:pStyle w:val="FootnoteText"/>
      </w:pPr>
      <w:r>
        <w:tab/>
      </w:r>
      <w:r w:rsidR="00452618" w:rsidRPr="000216E4">
        <w:rPr>
          <w:rStyle w:val="FootnoteReference"/>
        </w:rPr>
        <w:footnoteRef/>
      </w:r>
      <w:r w:rsidR="00452618" w:rsidRPr="00D33ACA">
        <w:t xml:space="preserve"> </w:t>
      </w:r>
      <w:r>
        <w:tab/>
      </w:r>
      <w:r>
        <w:tab/>
      </w:r>
      <w:r w:rsidR="00452618" w:rsidRPr="00D33ACA">
        <w:t>Ibid, para.18</w:t>
      </w:r>
      <w:r w:rsidR="00C61AA0">
        <w:t>.</w:t>
      </w:r>
    </w:p>
  </w:footnote>
  <w:footnote w:id="63">
    <w:p w14:paraId="3CD5F636" w14:textId="608C02AE" w:rsidR="00452618" w:rsidRPr="00D33ACA" w:rsidRDefault="00D33ACA" w:rsidP="00D33ACA">
      <w:pPr>
        <w:pStyle w:val="FootnoteText"/>
      </w:pPr>
      <w:r>
        <w:tab/>
      </w:r>
      <w:r w:rsidR="00452618" w:rsidRPr="000216E4">
        <w:rPr>
          <w:rStyle w:val="FootnoteReference"/>
        </w:rPr>
        <w:footnoteRef/>
      </w:r>
      <w:r w:rsidR="00452618" w:rsidRPr="000216E4">
        <w:rPr>
          <w:rStyle w:val="FootnoteReference"/>
        </w:rPr>
        <w:t xml:space="preserve"> </w:t>
      </w:r>
      <w:r>
        <w:tab/>
      </w:r>
      <w:r>
        <w:tab/>
      </w:r>
      <w:r w:rsidR="00452618" w:rsidRPr="00D33ACA">
        <w:t>The Durban Declaration and Programme of Action, para.77</w:t>
      </w:r>
      <w:r w:rsidR="00C61AA0">
        <w:t>.</w:t>
      </w:r>
      <w:r w:rsidR="00452618" w:rsidRPr="00D33ACA">
        <w:t xml:space="preserve"> </w:t>
      </w:r>
    </w:p>
  </w:footnote>
  <w:footnote w:id="64">
    <w:p w14:paraId="775350A7" w14:textId="764FA865" w:rsidR="00452618" w:rsidRPr="001E5CB0" w:rsidRDefault="00D33ACA" w:rsidP="00D33ACA">
      <w:pPr>
        <w:pStyle w:val="FootnoteText"/>
      </w:pPr>
      <w:r>
        <w:tab/>
      </w:r>
      <w:r w:rsidR="00452618" w:rsidRPr="000216E4">
        <w:rPr>
          <w:rStyle w:val="FootnoteReference"/>
        </w:rPr>
        <w:footnoteRef/>
      </w:r>
      <w:r w:rsidR="00452618" w:rsidRPr="000216E4">
        <w:rPr>
          <w:rStyle w:val="FootnoteReference"/>
        </w:rPr>
        <w:t xml:space="preserve"> </w:t>
      </w:r>
      <w:r>
        <w:tab/>
      </w:r>
      <w:r>
        <w:tab/>
      </w:r>
      <w:r w:rsidR="00452618" w:rsidRPr="00D33ACA">
        <w:t>Ibid, para.147, e</w:t>
      </w:r>
      <w:r w:rsidR="00C61AA0">
        <w:t>.</w:t>
      </w:r>
    </w:p>
  </w:footnote>
  <w:footnote w:id="65">
    <w:p w14:paraId="524A0B1B" w14:textId="5B010FF4" w:rsidR="00452618" w:rsidRPr="001E5CB0" w:rsidRDefault="00D33ACA" w:rsidP="00452618">
      <w:pPr>
        <w:pStyle w:val="FootnoteText"/>
      </w:pPr>
      <w:r>
        <w:tab/>
      </w:r>
      <w:r w:rsidR="00452618" w:rsidRPr="000216E4">
        <w:rPr>
          <w:rStyle w:val="FootnoteReference"/>
        </w:rPr>
        <w:footnoteRef/>
      </w:r>
      <w:r w:rsidR="00452618" w:rsidRPr="000216E4">
        <w:rPr>
          <w:rStyle w:val="FootnoteReference"/>
        </w:rPr>
        <w:t xml:space="preserve"> </w:t>
      </w:r>
      <w:r>
        <w:tab/>
      </w:r>
      <w:r>
        <w:tab/>
      </w:r>
      <w:r w:rsidR="00452618" w:rsidRPr="001E5CB0">
        <w:t>Article 2 (1) of the International Covenant on Civil and Political Rights</w:t>
      </w:r>
      <w:r w:rsidR="00C61AA0">
        <w:t>.</w:t>
      </w:r>
    </w:p>
  </w:footnote>
  <w:footnote w:id="66">
    <w:p w14:paraId="7D98EF22" w14:textId="52CDDC5B" w:rsidR="00452618" w:rsidRPr="00506A8D" w:rsidRDefault="00506A8D" w:rsidP="00506A8D">
      <w:pPr>
        <w:pStyle w:val="FootnoteText"/>
      </w:pPr>
      <w:r>
        <w:tab/>
      </w:r>
      <w:r w:rsidR="00452618" w:rsidRPr="00506A8D">
        <w:rPr>
          <w:rStyle w:val="FootnoteReference"/>
        </w:rPr>
        <w:footnoteRef/>
      </w:r>
      <w:r w:rsidR="00452618" w:rsidRPr="00506A8D">
        <w:t xml:space="preserve"> </w:t>
      </w:r>
      <w:r>
        <w:tab/>
      </w:r>
      <w:r>
        <w:tab/>
      </w:r>
      <w:r w:rsidR="00452618" w:rsidRPr="00506A8D">
        <w:t>William A. Schabas, “UN International Covenant on Civil and Political Rights, Nowak’s CCPR Commentary, 3rd revised edition” 2019</w:t>
      </w:r>
      <w:r w:rsidR="00C61AA0">
        <w:t>.</w:t>
      </w:r>
    </w:p>
  </w:footnote>
  <w:footnote w:id="67">
    <w:p w14:paraId="6F1AF3DE" w14:textId="3E8B6B4C" w:rsidR="00452618" w:rsidRPr="00506A8D" w:rsidRDefault="00506A8D" w:rsidP="00506A8D">
      <w:pPr>
        <w:pStyle w:val="FootnoteText"/>
      </w:pPr>
      <w:r>
        <w:tab/>
      </w:r>
      <w:r w:rsidR="00452618" w:rsidRPr="00506A8D">
        <w:rPr>
          <w:rStyle w:val="FootnoteReference"/>
        </w:rPr>
        <w:footnoteRef/>
      </w:r>
      <w:r w:rsidR="00452618" w:rsidRPr="00506A8D">
        <w:rPr>
          <w:rStyle w:val="FootnoteReference"/>
        </w:rPr>
        <w:t xml:space="preserve"> </w:t>
      </w:r>
      <w:r>
        <w:tab/>
      </w:r>
      <w:r>
        <w:tab/>
      </w:r>
      <w:r w:rsidR="00452618" w:rsidRPr="00506A8D">
        <w:t>Article 19 of the International Covenant on Civil and Political Rights</w:t>
      </w:r>
      <w:r w:rsidR="00C61AA0">
        <w:t>.</w:t>
      </w:r>
      <w:r w:rsidR="00452618" w:rsidRPr="00506A8D">
        <w:t xml:space="preserve"> </w:t>
      </w:r>
    </w:p>
  </w:footnote>
  <w:footnote w:id="68">
    <w:p w14:paraId="780A8A0D" w14:textId="05A00D18" w:rsidR="00452618" w:rsidRPr="00C150E9" w:rsidRDefault="00506A8D" w:rsidP="00506A8D">
      <w:pPr>
        <w:pStyle w:val="FootnoteText"/>
        <w:rPr>
          <w:lang w:val="es-ES"/>
        </w:rPr>
      </w:pPr>
      <w:r>
        <w:tab/>
      </w:r>
      <w:r w:rsidR="00452618" w:rsidRPr="00506A8D">
        <w:rPr>
          <w:rStyle w:val="FootnoteReference"/>
        </w:rPr>
        <w:footnoteRef/>
      </w:r>
      <w:r w:rsidR="00452618" w:rsidRPr="00C150E9">
        <w:rPr>
          <w:lang w:val="es-ES"/>
        </w:rPr>
        <w:t xml:space="preserve"> </w:t>
      </w:r>
      <w:r w:rsidRPr="00C150E9">
        <w:rPr>
          <w:lang w:val="es-ES"/>
        </w:rPr>
        <w:tab/>
      </w:r>
      <w:r w:rsidRPr="00C150E9">
        <w:rPr>
          <w:lang w:val="es-ES"/>
        </w:rPr>
        <w:tab/>
      </w:r>
      <w:r w:rsidR="00452618" w:rsidRPr="00C150E9">
        <w:rPr>
          <w:lang w:val="es-ES"/>
        </w:rPr>
        <w:t>A/HRC/22/17/Add.4, para.10</w:t>
      </w:r>
      <w:r w:rsidR="00C61AA0" w:rsidRPr="00C150E9">
        <w:rPr>
          <w:lang w:val="es-ES"/>
        </w:rPr>
        <w:t>.</w:t>
      </w:r>
    </w:p>
  </w:footnote>
  <w:footnote w:id="69">
    <w:p w14:paraId="475EFF0C" w14:textId="6822F3F5" w:rsidR="00452618" w:rsidRPr="00C150E9" w:rsidRDefault="00506A8D" w:rsidP="00506A8D">
      <w:pPr>
        <w:pStyle w:val="FootnoteText"/>
        <w:rPr>
          <w:lang w:val="es-ES"/>
        </w:rPr>
      </w:pPr>
      <w:r w:rsidRPr="00C150E9">
        <w:rPr>
          <w:lang w:val="es-ES"/>
        </w:rPr>
        <w:tab/>
      </w:r>
      <w:r w:rsidR="00452618" w:rsidRPr="00506A8D">
        <w:rPr>
          <w:rStyle w:val="FootnoteReference"/>
        </w:rPr>
        <w:footnoteRef/>
      </w:r>
      <w:r w:rsidR="00452618" w:rsidRPr="00C150E9">
        <w:rPr>
          <w:lang w:val="es-ES"/>
        </w:rPr>
        <w:t xml:space="preserve"> </w:t>
      </w:r>
      <w:r w:rsidRPr="00C150E9">
        <w:rPr>
          <w:lang w:val="es-ES"/>
        </w:rPr>
        <w:tab/>
      </w:r>
      <w:r w:rsidRPr="00C150E9">
        <w:rPr>
          <w:lang w:val="es-ES"/>
        </w:rPr>
        <w:tab/>
      </w:r>
      <w:r w:rsidR="00452618" w:rsidRPr="00C150E9">
        <w:rPr>
          <w:lang w:val="es-ES"/>
        </w:rPr>
        <w:t>CCPR/C/GC/34, paras.21-36</w:t>
      </w:r>
      <w:r w:rsidR="00C61AA0" w:rsidRPr="00C150E9">
        <w:rPr>
          <w:lang w:val="es-ES"/>
        </w:rPr>
        <w:t>.</w:t>
      </w:r>
      <w:r w:rsidR="00452618" w:rsidRPr="00C150E9">
        <w:rPr>
          <w:lang w:val="es-ES"/>
        </w:rPr>
        <w:t xml:space="preserve"> </w:t>
      </w:r>
    </w:p>
  </w:footnote>
  <w:footnote w:id="70">
    <w:p w14:paraId="226B3F9C" w14:textId="1FF5FE95" w:rsidR="00452618" w:rsidRPr="00506A8D" w:rsidRDefault="00506A8D" w:rsidP="00506A8D">
      <w:pPr>
        <w:pStyle w:val="FootnoteText"/>
      </w:pPr>
      <w:r w:rsidRPr="00C150E9">
        <w:rPr>
          <w:lang w:val="es-ES"/>
        </w:rPr>
        <w:tab/>
      </w:r>
      <w:r w:rsidR="00452618" w:rsidRPr="00506A8D">
        <w:rPr>
          <w:rStyle w:val="FootnoteReference"/>
        </w:rPr>
        <w:footnoteRef/>
      </w:r>
      <w:r w:rsidR="00452618" w:rsidRPr="00506A8D">
        <w:rPr>
          <w:rStyle w:val="FootnoteReference"/>
        </w:rPr>
        <w:t xml:space="preserve"> </w:t>
      </w:r>
      <w:r>
        <w:tab/>
      </w:r>
      <w:r>
        <w:tab/>
      </w:r>
      <w:r w:rsidR="00452618" w:rsidRPr="00506A8D">
        <w:t>Article 18 (3) of the International Covenant on Civil and Political Rights</w:t>
      </w:r>
      <w:r w:rsidR="00C61AA0">
        <w:t>.</w:t>
      </w:r>
      <w:r w:rsidR="00452618" w:rsidRPr="00506A8D">
        <w:t xml:space="preserve"> </w:t>
      </w:r>
    </w:p>
  </w:footnote>
  <w:footnote w:id="71">
    <w:p w14:paraId="07740BC2" w14:textId="3B346848" w:rsidR="00452618" w:rsidRPr="00C150E9" w:rsidRDefault="00506A8D" w:rsidP="00506A8D">
      <w:pPr>
        <w:pStyle w:val="FootnoteText"/>
        <w:rPr>
          <w:lang w:val="es-ES"/>
        </w:rPr>
      </w:pPr>
      <w:r>
        <w:tab/>
      </w:r>
      <w:r w:rsidR="00452618" w:rsidRPr="00506A8D">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para.19</w:t>
      </w:r>
      <w:r w:rsidR="00C61AA0" w:rsidRPr="00C150E9">
        <w:rPr>
          <w:lang w:val="es-ES"/>
        </w:rPr>
        <w:t>.</w:t>
      </w:r>
    </w:p>
  </w:footnote>
  <w:footnote w:id="72">
    <w:p w14:paraId="09F3BAEA" w14:textId="649156F0" w:rsidR="00452618" w:rsidRPr="00C150E9" w:rsidRDefault="00506A8D" w:rsidP="00506A8D">
      <w:pPr>
        <w:pStyle w:val="FootnoteText"/>
        <w:rPr>
          <w:lang w:val="es-ES"/>
        </w:rPr>
      </w:pPr>
      <w:r w:rsidRPr="00C150E9">
        <w:rPr>
          <w:lang w:val="es-ES"/>
        </w:rPr>
        <w:tab/>
      </w:r>
      <w:r w:rsidR="00452618" w:rsidRPr="00506A8D">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para.4 &amp; A/74/486, para.34</w:t>
      </w:r>
      <w:r w:rsidR="00C61AA0" w:rsidRPr="00C150E9">
        <w:rPr>
          <w:lang w:val="es-ES"/>
        </w:rPr>
        <w:t>.</w:t>
      </w:r>
    </w:p>
  </w:footnote>
  <w:footnote w:id="73">
    <w:p w14:paraId="665667A4" w14:textId="36C12BA6" w:rsidR="00452618" w:rsidRPr="003E340B" w:rsidRDefault="00506A8D" w:rsidP="00506A8D">
      <w:pPr>
        <w:pStyle w:val="FootnoteText"/>
        <w:rPr>
          <w:rFonts w:cstheme="minorHAnsi"/>
        </w:rPr>
      </w:pPr>
      <w:r w:rsidRPr="00C150E9">
        <w:rPr>
          <w:lang w:val="es-ES"/>
        </w:rPr>
        <w:tab/>
      </w:r>
      <w:r w:rsidR="00452618" w:rsidRPr="00506A8D">
        <w:rPr>
          <w:rStyle w:val="FootnoteReference"/>
        </w:rPr>
        <w:footnoteRef/>
      </w:r>
      <w:r w:rsidR="00452618" w:rsidRPr="00506A8D">
        <w:rPr>
          <w:rStyle w:val="FootnoteReference"/>
        </w:rPr>
        <w:t xml:space="preserve"> </w:t>
      </w:r>
      <w:r>
        <w:tab/>
      </w:r>
      <w:r>
        <w:tab/>
      </w:r>
      <w:r w:rsidR="00452618" w:rsidRPr="00506A8D">
        <w:t>CERD/C/GC/35, Durban Declaration and Programme of Action, 2001</w:t>
      </w:r>
      <w:r w:rsidR="00C61AA0">
        <w:t>.</w:t>
      </w:r>
      <w:r w:rsidR="00452618" w:rsidRPr="003E340B">
        <w:rPr>
          <w:rFonts w:cstheme="minorHAnsi"/>
        </w:rPr>
        <w:t xml:space="preserve"> </w:t>
      </w:r>
    </w:p>
  </w:footnote>
  <w:footnote w:id="74">
    <w:p w14:paraId="1BD2E71B" w14:textId="2BB45FD0" w:rsidR="00452618" w:rsidRPr="00FD4C6D" w:rsidRDefault="00FD4C6D"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A/HRC/22/17/Add.4, para.20</w:t>
      </w:r>
      <w:r w:rsidR="00C61AA0">
        <w:t>.</w:t>
      </w:r>
    </w:p>
  </w:footnote>
  <w:footnote w:id="75">
    <w:p w14:paraId="04F8B933" w14:textId="41CC869A" w:rsidR="00452618" w:rsidRPr="00FD4C6D" w:rsidRDefault="00FD4C6D"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 xml:space="preserve">The threshold test of the Rabat Plan of Action is available in 32 languages on the OHCHR website: </w:t>
      </w:r>
      <w:hyperlink r:id="rId1" w:history="1">
        <w:r w:rsidR="00452618" w:rsidRPr="00FD4C6D">
          <w:rPr>
            <w:rStyle w:val="Hyperlink"/>
          </w:rPr>
          <w:t>https://www.ohchr.org/en/freedom-of-expression</w:t>
        </w:r>
      </w:hyperlink>
      <w:r w:rsidR="00C61AA0">
        <w:rPr>
          <w:rStyle w:val="Hyperlink"/>
        </w:rPr>
        <w:t>.</w:t>
      </w:r>
      <w:r w:rsidR="00452618" w:rsidRPr="00FD4C6D">
        <w:t xml:space="preserve"> </w:t>
      </w:r>
    </w:p>
  </w:footnote>
  <w:footnote w:id="76">
    <w:p w14:paraId="54E58A74" w14:textId="4EF06AA7" w:rsidR="00452618" w:rsidRPr="00FD4C6D" w:rsidRDefault="00FD4C6D"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Context is of great importance when assessing whether particular statements are likely to incite discrimination, hostility or violence against the target group, and it may have a direct bearing on both intent and/or causation. Analysis of the context should place the speech act within the social and political context prevalent at the time the speech was made and disseminated.</w:t>
      </w:r>
    </w:p>
  </w:footnote>
  <w:footnote w:id="77">
    <w:p w14:paraId="04FD7570" w14:textId="39A3F407"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The speaker’s position or status in the society should be considered, specifically the individual’s or organization’s standing in the context of the audience to whom the speech is directed.</w:t>
      </w:r>
    </w:p>
  </w:footnote>
  <w:footnote w:id="78">
    <w:p w14:paraId="0A8EEF61" w14:textId="39DF1E21"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 xml:space="preserve">Article 20 of the ICCPR anticipates intent. Negligence and recklessness are not sufficient </w:t>
      </w:r>
      <w:proofErr w:type="spellStart"/>
      <w:r w:rsidR="00452618" w:rsidRPr="00FD4C6D">
        <w:t>foran</w:t>
      </w:r>
      <w:proofErr w:type="spellEnd"/>
      <w:r w:rsidR="00452618" w:rsidRPr="00FD4C6D">
        <w:t xml:space="preserve"> act to be an offence under article 20 of the ICCPR, as this article provides for “advocacy” and “incitement” rather than the mere distribution or circulation of material. In this regard, it requires the activation of a triangular relationship between the object and subject of the speech act as well as the audience.</w:t>
      </w:r>
    </w:p>
  </w:footnote>
  <w:footnote w:id="79">
    <w:p w14:paraId="28821DBA" w14:textId="33ED2CD8"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The content of the speech constitutes one of the key foci of the court’s deliberations and is a critical element of incitement. Content analysis may include the degree to which the speech was provocative and direct, as well as the form, style, nature of arguments deployed in the speech or the balance struck between arguments deployed.</w:t>
      </w:r>
    </w:p>
  </w:footnote>
  <w:footnote w:id="80">
    <w:p w14:paraId="22BB38F8" w14:textId="6097436C"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Extent includes such elements as the reach of the speech act, its public nature, its magnitude and size of its audience. Other elements to consider include whether the speech is public, what means of dissemination are used, for example by a single leaflet or broadcast in the mainstream media or via the Internet, the frequency, the quantity and the extent of the communications, whether the audience had the means to act on the incitement, whether the statement (or work) is circulated in a restricted environment or widely accessible to the general public.</w:t>
      </w:r>
    </w:p>
  </w:footnote>
  <w:footnote w:id="81">
    <w:p w14:paraId="0385581E" w14:textId="5653D567"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Incitement, by definition, is an inchoate crime. The action advocated through incitement speech does not have to be committed for said speech to amount to a crime. Nevertheless, some degree of risk of harm must be identified. It means that the courts will have to determine that there was a reasonable probability that the speech would succeed in inciting actual action against the target group, recognizing that such causation should be rather direct.</w:t>
      </w:r>
    </w:p>
  </w:footnote>
  <w:footnote w:id="82">
    <w:p w14:paraId="2D921818" w14:textId="5E54AC31"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A/HRC/22/17/Add.4</w:t>
      </w:r>
      <w:r w:rsidR="00C61AA0">
        <w:t>.</w:t>
      </w:r>
    </w:p>
  </w:footnote>
  <w:footnote w:id="83">
    <w:p w14:paraId="58B3161A" w14:textId="715EC35E"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A/74/486</w:t>
      </w:r>
      <w:r w:rsidR="00C61AA0">
        <w:t>.</w:t>
      </w:r>
      <w:r w:rsidR="00452618" w:rsidRPr="00FD4C6D">
        <w:t xml:space="preserve"> </w:t>
      </w:r>
    </w:p>
  </w:footnote>
  <w:footnote w:id="84">
    <w:p w14:paraId="6963C4ED" w14:textId="230067CE" w:rsidR="00452618" w:rsidRPr="00FD4C6D"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 xml:space="preserve">Article 4 of the International Convention on the Elimination of all Forms of Racial Discrimination </w:t>
      </w:r>
    </w:p>
  </w:footnote>
  <w:footnote w:id="85">
    <w:p w14:paraId="33869E00" w14:textId="5B79D8BE" w:rsidR="00452618" w:rsidRDefault="00DD7FF5" w:rsidP="00FD4C6D">
      <w:pPr>
        <w:pStyle w:val="FootnoteText"/>
      </w:pPr>
      <w:r>
        <w:tab/>
      </w:r>
      <w:r w:rsidR="00452618" w:rsidRPr="00DD7FF5">
        <w:rPr>
          <w:rStyle w:val="FootnoteReference"/>
        </w:rPr>
        <w:footnoteRef/>
      </w:r>
      <w:r w:rsidR="00452618" w:rsidRPr="00DD7FF5">
        <w:rPr>
          <w:rStyle w:val="FootnoteReference"/>
        </w:rPr>
        <w:t xml:space="preserve"> </w:t>
      </w:r>
      <w:r>
        <w:tab/>
      </w:r>
      <w:r>
        <w:tab/>
      </w:r>
      <w:r w:rsidR="00452618" w:rsidRPr="00FD4C6D">
        <w:t>CERD/C/GC/35, para.10</w:t>
      </w:r>
      <w:r w:rsidR="00C61AA0">
        <w:t>.</w:t>
      </w:r>
    </w:p>
  </w:footnote>
  <w:footnote w:id="86">
    <w:p w14:paraId="4E68410A" w14:textId="0F4D9A9C" w:rsidR="00452618" w:rsidRPr="00A0262B" w:rsidRDefault="00A0262B" w:rsidP="00A0262B">
      <w:pPr>
        <w:pStyle w:val="FootnoteText"/>
      </w:pPr>
      <w:r>
        <w:tab/>
      </w:r>
      <w:r w:rsidR="00452618" w:rsidRPr="00A0262B">
        <w:rPr>
          <w:rStyle w:val="FootnoteReference"/>
        </w:rPr>
        <w:footnoteRef/>
      </w:r>
      <w:r w:rsidR="00452618" w:rsidRPr="00A0262B">
        <w:rPr>
          <w:rStyle w:val="FootnoteReference"/>
        </w:rPr>
        <w:t xml:space="preserve"> </w:t>
      </w:r>
      <w:r>
        <w:tab/>
      </w:r>
      <w:r>
        <w:tab/>
      </w:r>
      <w:r w:rsidR="00452618" w:rsidRPr="00A0262B">
        <w:t>Article 7 of the International Convention on the Elimination of all Forms of Racial Discrimination</w:t>
      </w:r>
      <w:r w:rsidR="00C61AA0">
        <w:t>.</w:t>
      </w:r>
      <w:r w:rsidR="00452618" w:rsidRPr="00A0262B">
        <w:t xml:space="preserve"> </w:t>
      </w:r>
    </w:p>
  </w:footnote>
  <w:footnote w:id="87">
    <w:p w14:paraId="1093EAB6" w14:textId="6C7CEAEE" w:rsidR="00452618" w:rsidRPr="00A0262B" w:rsidRDefault="00A0262B" w:rsidP="00A0262B">
      <w:pPr>
        <w:pStyle w:val="FootnoteText"/>
      </w:pPr>
      <w:r>
        <w:tab/>
      </w:r>
      <w:r w:rsidR="00452618" w:rsidRPr="00A0262B">
        <w:rPr>
          <w:rStyle w:val="FootnoteReference"/>
        </w:rPr>
        <w:footnoteRef/>
      </w:r>
      <w:r w:rsidR="00452618" w:rsidRPr="00A0262B">
        <w:rPr>
          <w:rStyle w:val="FootnoteReference"/>
        </w:rPr>
        <w:t xml:space="preserve"> </w:t>
      </w:r>
      <w:r>
        <w:tab/>
      </w:r>
      <w:r>
        <w:tab/>
      </w:r>
      <w:r w:rsidR="00452618" w:rsidRPr="00A0262B">
        <w:t>See CERD/C/GC/35, para.30</w:t>
      </w:r>
      <w:r w:rsidR="00C61AA0">
        <w:t>.</w:t>
      </w:r>
    </w:p>
  </w:footnote>
  <w:footnote w:id="88">
    <w:p w14:paraId="15A005F0" w14:textId="2F3106C0" w:rsidR="00452618" w:rsidRPr="00A0262B" w:rsidRDefault="00A0262B" w:rsidP="00A0262B">
      <w:pPr>
        <w:pStyle w:val="FootnoteText"/>
      </w:pPr>
      <w:r>
        <w:tab/>
      </w:r>
      <w:r w:rsidR="00452618" w:rsidRPr="00A0262B">
        <w:rPr>
          <w:rStyle w:val="FootnoteReference"/>
        </w:rPr>
        <w:footnoteRef/>
      </w:r>
      <w:r w:rsidR="00452618" w:rsidRPr="00A0262B">
        <w:rPr>
          <w:rStyle w:val="FootnoteReference"/>
        </w:rPr>
        <w:t xml:space="preserve"> </w:t>
      </w:r>
      <w:r>
        <w:tab/>
      </w:r>
      <w:r>
        <w:tab/>
      </w:r>
      <w:r w:rsidR="00452618" w:rsidRPr="00A0262B">
        <w:t>UN Strategy and Plan of Action, 2019; the Federal Public Defenders' Office of Brazil &amp; Pakistan submissions to the Special Rapporteur; &amp; A/HRC/47/25</w:t>
      </w:r>
      <w:r w:rsidR="00C61AA0">
        <w:t>.</w:t>
      </w:r>
      <w:r w:rsidR="00452618" w:rsidRPr="00A0262B">
        <w:t xml:space="preserve"> </w:t>
      </w:r>
    </w:p>
  </w:footnote>
  <w:footnote w:id="89">
    <w:p w14:paraId="0D8D6422" w14:textId="06DCB072" w:rsidR="00452618" w:rsidRPr="00A0262B" w:rsidRDefault="00A0262B" w:rsidP="00A0262B">
      <w:pPr>
        <w:pStyle w:val="FootnoteText"/>
      </w:pPr>
      <w:r>
        <w:tab/>
      </w:r>
      <w:r w:rsidR="00452618" w:rsidRPr="00A0262B">
        <w:rPr>
          <w:rStyle w:val="FootnoteReference"/>
        </w:rPr>
        <w:footnoteRef/>
      </w:r>
      <w:r w:rsidR="00452618" w:rsidRPr="00A0262B">
        <w:rPr>
          <w:rStyle w:val="FootnoteReference"/>
        </w:rPr>
        <w:t xml:space="preserve"> </w:t>
      </w:r>
      <w:r>
        <w:tab/>
      </w:r>
      <w:r>
        <w:tab/>
      </w:r>
      <w:r w:rsidR="00452618" w:rsidRPr="00A0262B">
        <w:t>Guiding Principles on Business and Human Rights Implementing the United Nations “Protect, Respect and</w:t>
      </w:r>
      <w:r>
        <w:t xml:space="preserve"> </w:t>
      </w:r>
      <w:r w:rsidR="00452618" w:rsidRPr="00A0262B">
        <w:t>Remedy” Framework, 2011; United Nations, Countering and Addressing Online Hate Speech: A Guide for policy makers and practitioners, 2023; &amp; A/74/486, paras.44-45</w:t>
      </w:r>
      <w:r w:rsidR="00C61AA0">
        <w:t>.</w:t>
      </w:r>
    </w:p>
  </w:footnote>
  <w:footnote w:id="90">
    <w:p w14:paraId="0447218E" w14:textId="5B69BDD5" w:rsidR="00452618" w:rsidRPr="00C150E9" w:rsidRDefault="00A0262B" w:rsidP="00A0262B">
      <w:pPr>
        <w:pStyle w:val="FootnoteText"/>
        <w:rPr>
          <w:lang w:val="es-ES"/>
        </w:rPr>
      </w:pPr>
      <w:r>
        <w:tab/>
      </w:r>
      <w:r w:rsidR="00452618" w:rsidRPr="00A0262B">
        <w:rPr>
          <w:rStyle w:val="FootnoteReference"/>
        </w:rPr>
        <w:footnoteRef/>
      </w:r>
      <w:r w:rsidR="00452618" w:rsidRPr="00C150E9">
        <w:rPr>
          <w:lang w:val="es-ES"/>
        </w:rPr>
        <w:t xml:space="preserve"> </w:t>
      </w:r>
      <w:r w:rsidRPr="00C150E9">
        <w:rPr>
          <w:lang w:val="es-ES"/>
        </w:rPr>
        <w:tab/>
      </w:r>
      <w:r w:rsidRPr="00C150E9">
        <w:rPr>
          <w:lang w:val="es-ES"/>
        </w:rPr>
        <w:tab/>
      </w:r>
      <w:r w:rsidR="00452618" w:rsidRPr="00C150E9">
        <w:rPr>
          <w:lang w:val="es-ES"/>
        </w:rPr>
        <w:t>A/74/486 &amp; A/HRC/38/45</w:t>
      </w:r>
      <w:r w:rsidR="00C61AA0" w:rsidRPr="00C150E9">
        <w:rPr>
          <w:lang w:val="es-ES"/>
        </w:rPr>
        <w:t>.</w:t>
      </w:r>
    </w:p>
  </w:footnote>
  <w:footnote w:id="91">
    <w:p w14:paraId="37DEF6B7" w14:textId="48594EF9" w:rsidR="00452618" w:rsidRPr="00C150E9" w:rsidRDefault="00A0262B" w:rsidP="00A0262B">
      <w:pPr>
        <w:pStyle w:val="FootnoteText"/>
        <w:rPr>
          <w:lang w:val="es-ES"/>
        </w:rPr>
      </w:pPr>
      <w:r w:rsidRPr="00C150E9">
        <w:rPr>
          <w:lang w:val="es-ES"/>
        </w:rPr>
        <w:tab/>
      </w:r>
      <w:r w:rsidR="00452618" w:rsidRPr="00A0262B">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 xml:space="preserve">A/74/486, para.41-43. </w:t>
      </w:r>
    </w:p>
  </w:footnote>
  <w:footnote w:id="92">
    <w:p w14:paraId="7FAB91CF" w14:textId="02A48BF8" w:rsidR="00452618" w:rsidRPr="00A0262B" w:rsidRDefault="00A0262B" w:rsidP="00A0262B">
      <w:pPr>
        <w:pStyle w:val="FootnoteText"/>
      </w:pPr>
      <w:r w:rsidRPr="00C150E9">
        <w:rPr>
          <w:lang w:val="es-ES"/>
        </w:rPr>
        <w:tab/>
      </w:r>
      <w:r w:rsidR="00452618" w:rsidRPr="00A0262B">
        <w:rPr>
          <w:rStyle w:val="FootnoteReference"/>
        </w:rPr>
        <w:footnoteRef/>
      </w:r>
      <w:r w:rsidR="00452618" w:rsidRPr="00A0262B">
        <w:rPr>
          <w:rStyle w:val="FootnoteReference"/>
        </w:rPr>
        <w:t xml:space="preserve"> </w:t>
      </w:r>
      <w:r>
        <w:tab/>
      </w:r>
      <w:r>
        <w:tab/>
      </w:r>
      <w:r w:rsidR="00452618" w:rsidRPr="00A0262B">
        <w:t>A/74/486, paras.46-52</w:t>
      </w:r>
      <w:r w:rsidR="00C61AA0">
        <w:t>.</w:t>
      </w:r>
    </w:p>
  </w:footnote>
  <w:footnote w:id="93">
    <w:p w14:paraId="7405AF67" w14:textId="7D9A58AB" w:rsidR="00452618" w:rsidRPr="00C71B74" w:rsidRDefault="00A0262B" w:rsidP="00A0262B">
      <w:pPr>
        <w:pStyle w:val="FootnoteText"/>
      </w:pPr>
      <w:r>
        <w:tab/>
      </w:r>
      <w:r w:rsidR="00452618" w:rsidRPr="00A0262B">
        <w:rPr>
          <w:rStyle w:val="FootnoteReference"/>
        </w:rPr>
        <w:footnoteRef/>
      </w:r>
      <w:r w:rsidR="00452618" w:rsidRPr="00A0262B">
        <w:t xml:space="preserve"> </w:t>
      </w:r>
      <w:r>
        <w:tab/>
      </w:r>
      <w:r>
        <w:tab/>
      </w:r>
      <w:r w:rsidR="00452618" w:rsidRPr="00A0262B">
        <w:t xml:space="preserve">ADC submission to the Special Rapporteur; &amp; Hogan Lovells, </w:t>
      </w:r>
      <w:bookmarkStart w:id="10" w:name="_Hlk147061029"/>
      <w:r w:rsidR="00452618" w:rsidRPr="00A0262B">
        <w:t>“The Global Regulation of Online Hate: A Survey of Applicable Laws Special Report”, 2020</w:t>
      </w:r>
      <w:bookmarkEnd w:id="10"/>
      <w:r w:rsidR="00C61AA0">
        <w:t>.</w:t>
      </w:r>
    </w:p>
  </w:footnote>
  <w:footnote w:id="94">
    <w:p w14:paraId="1926F057" w14:textId="15F9E090" w:rsidR="00452618" w:rsidRPr="00A42682" w:rsidRDefault="00A42682" w:rsidP="00A42682">
      <w:pPr>
        <w:pStyle w:val="FootnoteText"/>
      </w:pPr>
      <w:r>
        <w:tab/>
      </w:r>
      <w:r w:rsidR="00452618" w:rsidRPr="00A42682">
        <w:rPr>
          <w:rStyle w:val="FootnoteReference"/>
        </w:rPr>
        <w:footnoteRef/>
      </w:r>
      <w:r w:rsidR="00452618" w:rsidRPr="00A42682">
        <w:rPr>
          <w:rStyle w:val="FootnoteReference"/>
        </w:rPr>
        <w:t xml:space="preserve"> </w:t>
      </w:r>
      <w:r>
        <w:tab/>
      </w:r>
      <w:r>
        <w:tab/>
      </w:r>
      <w:r w:rsidR="00452618" w:rsidRPr="00A42682">
        <w:t>A/HRC/22/17/Add.4, para.</w:t>
      </w:r>
    </w:p>
  </w:footnote>
  <w:footnote w:id="95">
    <w:p w14:paraId="05DEFF11" w14:textId="2548A571" w:rsidR="00452618" w:rsidRPr="00A42682" w:rsidRDefault="00A42682" w:rsidP="00A42682">
      <w:pPr>
        <w:pStyle w:val="FootnoteText"/>
      </w:pPr>
      <w:r>
        <w:tab/>
      </w:r>
      <w:r w:rsidR="00452618" w:rsidRPr="00A42682">
        <w:rPr>
          <w:rStyle w:val="FootnoteReference"/>
        </w:rPr>
        <w:footnoteRef/>
      </w:r>
      <w:r w:rsidR="00452618" w:rsidRPr="00A42682">
        <w:t xml:space="preserve"> </w:t>
      </w:r>
      <w:r>
        <w:tab/>
      </w:r>
      <w:r>
        <w:tab/>
      </w:r>
      <w:r w:rsidR="00452618" w:rsidRPr="00A42682">
        <w:t>A/HRC/22/17/Add.4 &amp; Belarusian Helsinki Committee and the Belarusian Association of Journalists submission to the Special Rapporteur</w:t>
      </w:r>
      <w:r w:rsidR="00C61AA0">
        <w:t>.</w:t>
      </w:r>
      <w:r w:rsidR="00452618" w:rsidRPr="00A42682">
        <w:t xml:space="preserve"> </w:t>
      </w:r>
    </w:p>
  </w:footnote>
  <w:footnote w:id="96">
    <w:p w14:paraId="56EBF143" w14:textId="6EFF9A44" w:rsidR="00452618" w:rsidRPr="00C150E9" w:rsidRDefault="00A42682" w:rsidP="00A42682">
      <w:pPr>
        <w:pStyle w:val="FootnoteText"/>
        <w:rPr>
          <w:lang w:val="es-ES"/>
        </w:rPr>
      </w:pPr>
      <w:r>
        <w:tab/>
      </w:r>
      <w:r w:rsidR="00452618" w:rsidRPr="00A42682">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Ibid</w:t>
      </w:r>
      <w:r w:rsidR="00C61AA0" w:rsidRPr="00C150E9">
        <w:rPr>
          <w:lang w:val="es-ES"/>
        </w:rPr>
        <w:t>.</w:t>
      </w:r>
      <w:r w:rsidR="00452618" w:rsidRPr="00C150E9">
        <w:rPr>
          <w:lang w:val="es-ES"/>
        </w:rPr>
        <w:t xml:space="preserve"> </w:t>
      </w:r>
    </w:p>
  </w:footnote>
  <w:footnote w:id="97">
    <w:p w14:paraId="3493791F" w14:textId="5ECE2813" w:rsidR="00452618" w:rsidRPr="00C150E9" w:rsidRDefault="00A42682" w:rsidP="00A42682">
      <w:pPr>
        <w:pStyle w:val="FootnoteText"/>
        <w:rPr>
          <w:lang w:val="es-ES"/>
        </w:rPr>
      </w:pPr>
      <w:r w:rsidRPr="00C150E9">
        <w:rPr>
          <w:lang w:val="es-ES"/>
        </w:rPr>
        <w:tab/>
      </w:r>
      <w:r w:rsidR="00452618" w:rsidRPr="00A42682">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para.17</w:t>
      </w:r>
      <w:r w:rsidR="00C61AA0" w:rsidRPr="00C150E9">
        <w:rPr>
          <w:lang w:val="es-ES"/>
        </w:rPr>
        <w:t>.</w:t>
      </w:r>
    </w:p>
  </w:footnote>
  <w:footnote w:id="98">
    <w:p w14:paraId="189A75AD" w14:textId="25E44708" w:rsidR="00452618" w:rsidRPr="00A42682" w:rsidRDefault="00A42682" w:rsidP="00A42682">
      <w:pPr>
        <w:pStyle w:val="FootnoteText"/>
      </w:pPr>
      <w:r w:rsidRPr="00C150E9">
        <w:rPr>
          <w:lang w:val="es-ES"/>
        </w:rPr>
        <w:tab/>
      </w:r>
      <w:r w:rsidR="00452618" w:rsidRPr="00A42682">
        <w:rPr>
          <w:rStyle w:val="FootnoteReference"/>
        </w:rPr>
        <w:footnoteRef/>
      </w:r>
      <w:r w:rsidR="00452618" w:rsidRPr="00A42682">
        <w:rPr>
          <w:rStyle w:val="FootnoteReference"/>
        </w:rPr>
        <w:t xml:space="preserve"> </w:t>
      </w:r>
      <w:r>
        <w:tab/>
      </w:r>
      <w:r>
        <w:tab/>
      </w:r>
      <w:r w:rsidR="00452618" w:rsidRPr="00A42682">
        <w:t>A/HRC/22/17/Add.4</w:t>
      </w:r>
      <w:r w:rsidR="00C61AA0">
        <w:t>.</w:t>
      </w:r>
    </w:p>
  </w:footnote>
  <w:footnote w:id="99">
    <w:p w14:paraId="78A13866" w14:textId="4185C77C" w:rsidR="00452618" w:rsidRPr="00A42682" w:rsidRDefault="00A42682" w:rsidP="00A42682">
      <w:pPr>
        <w:pStyle w:val="FootnoteText"/>
      </w:pPr>
      <w:r>
        <w:tab/>
      </w:r>
      <w:r w:rsidR="00452618" w:rsidRPr="00A42682">
        <w:rPr>
          <w:rStyle w:val="FootnoteReference"/>
        </w:rPr>
        <w:footnoteRef/>
      </w:r>
      <w:r w:rsidR="00452618" w:rsidRPr="00A42682">
        <w:rPr>
          <w:rStyle w:val="FootnoteReference"/>
        </w:rPr>
        <w:t xml:space="preserve"> </w:t>
      </w:r>
      <w:r>
        <w:tab/>
      </w:r>
      <w:r>
        <w:tab/>
      </w:r>
      <w:r w:rsidR="00452618" w:rsidRPr="00A42682">
        <w:t>A/HRC/47/25 &amp; ECRI, “Hate speech and violence”</w:t>
      </w:r>
      <w:r w:rsidR="00C61AA0">
        <w:t>.</w:t>
      </w:r>
    </w:p>
  </w:footnote>
  <w:footnote w:id="100">
    <w:p w14:paraId="5BFD96FE" w14:textId="4442C81F" w:rsidR="00452618" w:rsidRPr="00C150E9" w:rsidRDefault="00A42682" w:rsidP="00A42682">
      <w:pPr>
        <w:pStyle w:val="FootnoteText"/>
        <w:rPr>
          <w:lang w:val="es-ES"/>
        </w:rPr>
      </w:pPr>
      <w:r>
        <w:tab/>
      </w:r>
      <w:r w:rsidR="00452618" w:rsidRPr="00A42682">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CERD/C/GC/35, para.18</w:t>
      </w:r>
      <w:r w:rsidR="00C61AA0" w:rsidRPr="00C150E9">
        <w:rPr>
          <w:lang w:val="es-ES"/>
        </w:rPr>
        <w:t>.</w:t>
      </w:r>
    </w:p>
  </w:footnote>
  <w:footnote w:id="101">
    <w:p w14:paraId="2A966484" w14:textId="51043290" w:rsidR="00452618" w:rsidRPr="00C150E9" w:rsidRDefault="00A42682" w:rsidP="00A42682">
      <w:pPr>
        <w:pStyle w:val="FootnoteText"/>
        <w:rPr>
          <w:lang w:val="es-ES"/>
        </w:rPr>
      </w:pPr>
      <w:r w:rsidRPr="00C150E9">
        <w:rPr>
          <w:rStyle w:val="FootnoteReference"/>
          <w:lang w:val="es-ES"/>
        </w:rPr>
        <w:tab/>
      </w:r>
      <w:r w:rsidR="00452618" w:rsidRPr="00A42682">
        <w:rPr>
          <w:rStyle w:val="FootnoteReference"/>
        </w:rPr>
        <w:footnoteRef/>
      </w:r>
      <w:r w:rsidR="00452618" w:rsidRPr="00C150E9">
        <w:rPr>
          <w:lang w:val="es-ES"/>
        </w:rPr>
        <w:t xml:space="preserve"> </w:t>
      </w:r>
      <w:r w:rsidRPr="00C150E9">
        <w:rPr>
          <w:lang w:val="es-ES"/>
        </w:rPr>
        <w:tab/>
      </w:r>
      <w:r w:rsidRPr="00C150E9">
        <w:rPr>
          <w:lang w:val="es-ES"/>
        </w:rPr>
        <w:tab/>
      </w:r>
      <w:r w:rsidR="00452618" w:rsidRPr="00C150E9">
        <w:rPr>
          <w:lang w:val="es-ES"/>
        </w:rPr>
        <w:t>A/HRC/22/17/Add.4, para.35</w:t>
      </w:r>
      <w:r w:rsidR="00C61AA0" w:rsidRPr="00C150E9">
        <w:rPr>
          <w:lang w:val="es-ES"/>
        </w:rPr>
        <w:t>.</w:t>
      </w:r>
    </w:p>
  </w:footnote>
  <w:footnote w:id="102">
    <w:p w14:paraId="669AF86A" w14:textId="2914AE55" w:rsidR="00452618" w:rsidRPr="0026725D" w:rsidRDefault="0026725D" w:rsidP="0026725D">
      <w:pPr>
        <w:pStyle w:val="FootnoteText"/>
      </w:pPr>
      <w:r w:rsidRPr="00C150E9">
        <w:rPr>
          <w:lang w:val="es-ES"/>
        </w:rPr>
        <w:tab/>
      </w:r>
      <w:r w:rsidR="00452618" w:rsidRPr="0026725D">
        <w:rPr>
          <w:rStyle w:val="FootnoteReference"/>
        </w:rPr>
        <w:footnoteRef/>
      </w:r>
      <w:r w:rsidR="00452618" w:rsidRPr="0026725D">
        <w:t xml:space="preserve"> </w:t>
      </w:r>
      <w:r>
        <w:tab/>
      </w:r>
      <w:r>
        <w:tab/>
      </w:r>
      <w:r w:rsidR="00452618" w:rsidRPr="0026725D">
        <w:t>Amnesty International submission to the Special Rapporteur</w:t>
      </w:r>
      <w:r w:rsidR="00C61AA0">
        <w:t>.</w:t>
      </w:r>
      <w:r w:rsidR="00452618" w:rsidRPr="0026725D">
        <w:t xml:space="preserve"> </w:t>
      </w:r>
    </w:p>
  </w:footnote>
  <w:footnote w:id="103">
    <w:p w14:paraId="6238D9E4" w14:textId="1970BB90" w:rsidR="00452618" w:rsidRPr="0026725D" w:rsidRDefault="0026725D" w:rsidP="0026725D">
      <w:pPr>
        <w:pStyle w:val="FootnoteText"/>
      </w:pPr>
      <w:r>
        <w:tab/>
      </w:r>
      <w:r w:rsidR="00452618" w:rsidRPr="0026725D">
        <w:rPr>
          <w:rStyle w:val="FootnoteReference"/>
        </w:rPr>
        <w:footnoteRef/>
      </w:r>
      <w:r w:rsidR="00452618" w:rsidRPr="0026725D">
        <w:rPr>
          <w:rStyle w:val="FootnoteReference"/>
        </w:rPr>
        <w:t xml:space="preserve"> </w:t>
      </w:r>
      <w:bookmarkStart w:id="11" w:name="_Hlk147073028"/>
      <w:r>
        <w:tab/>
      </w:r>
      <w:r>
        <w:tab/>
      </w:r>
      <w:r w:rsidR="00452618" w:rsidRPr="0026725D">
        <w:t>Access Now, “26 recommendations on content governance: a guide for lawmakers, regulators, and company policy makers” 2020</w:t>
      </w:r>
      <w:bookmarkEnd w:id="11"/>
      <w:r w:rsidR="00452618" w:rsidRPr="0026725D">
        <w:t>; and Pakistan submission to the Special Rapporteur</w:t>
      </w:r>
      <w:r w:rsidR="00C61AA0">
        <w:t>.</w:t>
      </w:r>
      <w:r w:rsidR="00452618" w:rsidRPr="0026725D">
        <w:t xml:space="preserve"> </w:t>
      </w:r>
    </w:p>
  </w:footnote>
  <w:footnote w:id="104">
    <w:p w14:paraId="3A0BE26F" w14:textId="46D46861" w:rsidR="00452618" w:rsidRPr="0026725D" w:rsidRDefault="0026725D" w:rsidP="0026725D">
      <w:pPr>
        <w:pStyle w:val="FootnoteText"/>
      </w:pPr>
      <w:r>
        <w:tab/>
      </w:r>
      <w:r w:rsidR="00452618" w:rsidRPr="0026725D">
        <w:rPr>
          <w:rStyle w:val="FootnoteReference"/>
        </w:rPr>
        <w:footnoteRef/>
      </w:r>
      <w:r w:rsidR="00452618" w:rsidRPr="0026725D">
        <w:rPr>
          <w:rStyle w:val="FootnoteReference"/>
        </w:rPr>
        <w:t xml:space="preserve"> </w:t>
      </w:r>
      <w:r>
        <w:tab/>
      </w:r>
      <w:r>
        <w:tab/>
      </w:r>
      <w:r w:rsidR="00452618" w:rsidRPr="0026725D">
        <w:t xml:space="preserve">Ibid; Fundación Karisma and El </w:t>
      </w:r>
      <w:proofErr w:type="spellStart"/>
      <w:r w:rsidR="00452618" w:rsidRPr="0026725D">
        <w:t>Veinte</w:t>
      </w:r>
      <w:proofErr w:type="spellEnd"/>
      <w:r w:rsidR="00452618" w:rsidRPr="0026725D">
        <w:t xml:space="preserve"> submission to the Special Rapporteur; and A/HRC/47/25</w:t>
      </w:r>
      <w:r w:rsidR="00C61AA0">
        <w:t>.</w:t>
      </w:r>
    </w:p>
  </w:footnote>
  <w:footnote w:id="105">
    <w:p w14:paraId="74FA97A9" w14:textId="14D83E22" w:rsidR="00452618" w:rsidRPr="0026725D" w:rsidRDefault="0026725D" w:rsidP="0026725D">
      <w:pPr>
        <w:pStyle w:val="FootnoteText"/>
      </w:pPr>
      <w:r>
        <w:tab/>
      </w:r>
      <w:r w:rsidR="00452618" w:rsidRPr="0026725D">
        <w:rPr>
          <w:rStyle w:val="FootnoteReference"/>
        </w:rPr>
        <w:footnoteRef/>
      </w:r>
      <w:r w:rsidR="00452618" w:rsidRPr="0026725D">
        <w:rPr>
          <w:rStyle w:val="FootnoteReference"/>
        </w:rPr>
        <w:t xml:space="preserve"> </w:t>
      </w:r>
      <w:r>
        <w:tab/>
      </w:r>
      <w:r>
        <w:tab/>
      </w:r>
      <w:r w:rsidR="00452618" w:rsidRPr="0026725D">
        <w:t>Hogan Lovells, “The Global Regulation of Online Hate: A Survey of Applicable Laws Special Report”, 2020</w:t>
      </w:r>
      <w:r w:rsidR="00C61AA0">
        <w:t>.</w:t>
      </w:r>
    </w:p>
  </w:footnote>
  <w:footnote w:id="106">
    <w:p w14:paraId="4C991858" w14:textId="5DB53CC2" w:rsidR="00452618" w:rsidRPr="0026725D" w:rsidRDefault="0026725D" w:rsidP="0026725D">
      <w:pPr>
        <w:pStyle w:val="FootnoteText"/>
      </w:pPr>
      <w:r>
        <w:tab/>
      </w:r>
      <w:r w:rsidR="00452618" w:rsidRPr="0026725D">
        <w:rPr>
          <w:rStyle w:val="FootnoteReference"/>
        </w:rPr>
        <w:footnoteRef/>
      </w:r>
      <w:r w:rsidR="00452618" w:rsidRPr="0026725D">
        <w:rPr>
          <w:rStyle w:val="FootnoteReference"/>
        </w:rPr>
        <w:t xml:space="preserve"> </w:t>
      </w:r>
      <w:r>
        <w:tab/>
      </w:r>
      <w:r>
        <w:tab/>
      </w:r>
      <w:r w:rsidR="00452618" w:rsidRPr="0026725D">
        <w:t>Ibid</w:t>
      </w:r>
      <w:r w:rsidR="00C61AA0">
        <w:t>.</w:t>
      </w:r>
      <w:r w:rsidR="00452618" w:rsidRPr="0026725D">
        <w:t xml:space="preserve"> </w:t>
      </w:r>
    </w:p>
  </w:footnote>
  <w:footnote w:id="107">
    <w:p w14:paraId="2847BBD1" w14:textId="0CE8D16C" w:rsidR="00452618" w:rsidRPr="0026725D" w:rsidRDefault="0026725D" w:rsidP="0026725D">
      <w:pPr>
        <w:pStyle w:val="FootnoteText"/>
      </w:pPr>
      <w:r>
        <w:tab/>
      </w:r>
      <w:r w:rsidR="00452618" w:rsidRPr="0026725D">
        <w:rPr>
          <w:rStyle w:val="FootnoteReference"/>
        </w:rPr>
        <w:footnoteRef/>
      </w:r>
      <w:r w:rsidR="00452618" w:rsidRPr="0026725D">
        <w:t xml:space="preserve"> </w:t>
      </w:r>
      <w:r>
        <w:tab/>
      </w:r>
      <w:r>
        <w:tab/>
      </w:r>
      <w:r w:rsidR="00452618" w:rsidRPr="0026725D">
        <w:t>A/HRC/44/57, para.24</w:t>
      </w:r>
      <w:r w:rsidR="00C61AA0">
        <w:t>.</w:t>
      </w:r>
    </w:p>
  </w:footnote>
  <w:footnote w:id="108">
    <w:p w14:paraId="62FCFE37" w14:textId="5AB6C1C6" w:rsidR="00452618" w:rsidRDefault="0026725D" w:rsidP="0026725D">
      <w:pPr>
        <w:pStyle w:val="FootnoteText"/>
      </w:pPr>
      <w:r>
        <w:tab/>
      </w:r>
      <w:r w:rsidR="00452618" w:rsidRPr="0026725D">
        <w:rPr>
          <w:rStyle w:val="FootnoteReference"/>
        </w:rPr>
        <w:footnoteRef/>
      </w:r>
      <w:r w:rsidR="00452618" w:rsidRPr="0026725D">
        <w:rPr>
          <w:rStyle w:val="FootnoteReference"/>
        </w:rPr>
        <w:t xml:space="preserve"> </w:t>
      </w:r>
      <w:r>
        <w:tab/>
      </w:r>
      <w:r>
        <w:tab/>
      </w:r>
      <w:r w:rsidR="00452618" w:rsidRPr="0026725D">
        <w:t>Amnesty International submission to the Special Rapporteur</w:t>
      </w:r>
      <w:r w:rsidR="00C61AA0">
        <w:t>.</w:t>
      </w:r>
    </w:p>
  </w:footnote>
  <w:footnote w:id="109">
    <w:p w14:paraId="1EB17427" w14:textId="3034A2D8" w:rsidR="00452618" w:rsidRPr="00C150E9" w:rsidRDefault="008A4DD2" w:rsidP="0026725D">
      <w:pPr>
        <w:pStyle w:val="FootnoteText"/>
        <w:rPr>
          <w:lang w:val="es-ES"/>
        </w:rPr>
      </w:pPr>
      <w:r>
        <w:tab/>
      </w:r>
      <w:r w:rsidR="00452618" w:rsidRPr="008A4DD2">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r w:rsidR="00452618" w:rsidRPr="00C150E9">
        <w:rPr>
          <w:lang w:val="es-ES"/>
        </w:rPr>
        <w:t>A/HRC/44/57, para.12</w:t>
      </w:r>
      <w:r w:rsidR="00C61AA0" w:rsidRPr="00C150E9">
        <w:rPr>
          <w:lang w:val="es-ES"/>
        </w:rPr>
        <w:t>.</w:t>
      </w:r>
    </w:p>
  </w:footnote>
  <w:footnote w:id="110">
    <w:p w14:paraId="18C1AC6D" w14:textId="6E58111B" w:rsidR="00452618" w:rsidRPr="00C150E9" w:rsidRDefault="008A4DD2" w:rsidP="0026725D">
      <w:pPr>
        <w:pStyle w:val="FootnoteText"/>
        <w:rPr>
          <w:lang w:val="es-ES"/>
        </w:rPr>
      </w:pPr>
      <w:r w:rsidRPr="00C150E9">
        <w:rPr>
          <w:lang w:val="es-ES"/>
        </w:rPr>
        <w:tab/>
      </w:r>
      <w:r w:rsidR="00452618" w:rsidRPr="008A4DD2">
        <w:rPr>
          <w:rStyle w:val="FootnoteReference"/>
        </w:rPr>
        <w:footnoteRef/>
      </w:r>
      <w:r w:rsidR="00452618" w:rsidRPr="00C150E9">
        <w:rPr>
          <w:rStyle w:val="FootnoteReference"/>
          <w:lang w:val="es-ES"/>
        </w:rPr>
        <w:t xml:space="preserve"> </w:t>
      </w:r>
      <w:r w:rsidRPr="00C150E9">
        <w:rPr>
          <w:lang w:val="es-ES"/>
        </w:rPr>
        <w:tab/>
      </w:r>
      <w:r w:rsidRPr="00C150E9">
        <w:rPr>
          <w:lang w:val="es-ES"/>
        </w:rPr>
        <w:tab/>
      </w:r>
      <w:proofErr w:type="spellStart"/>
      <w:r w:rsidR="00452618" w:rsidRPr="00C150E9">
        <w:rPr>
          <w:lang w:val="es-ES"/>
        </w:rPr>
        <w:t>Ibid</w:t>
      </w:r>
      <w:proofErr w:type="spellEnd"/>
      <w:r w:rsidR="00452618" w:rsidRPr="00C150E9">
        <w:rPr>
          <w:lang w:val="es-ES"/>
        </w:rPr>
        <w:t>, para.17</w:t>
      </w:r>
      <w:r w:rsidR="00C61AA0" w:rsidRPr="00C150E9">
        <w:rPr>
          <w:lang w:val="es-ES"/>
        </w:rPr>
        <w:t>.</w:t>
      </w:r>
    </w:p>
  </w:footnote>
  <w:footnote w:id="111">
    <w:p w14:paraId="5900842C" w14:textId="43953471" w:rsidR="00452618" w:rsidRPr="0026725D" w:rsidRDefault="008A4DD2" w:rsidP="0026725D">
      <w:pPr>
        <w:pStyle w:val="FootnoteText"/>
      </w:pPr>
      <w:r w:rsidRPr="00C150E9">
        <w:rPr>
          <w:lang w:val="es-ES"/>
        </w:rPr>
        <w:tab/>
      </w:r>
      <w:r w:rsidR="00452618" w:rsidRPr="008A4DD2">
        <w:rPr>
          <w:rStyle w:val="FootnoteReference"/>
        </w:rPr>
        <w:footnoteRef/>
      </w:r>
      <w:r w:rsidR="00452618" w:rsidRPr="008A4DD2">
        <w:rPr>
          <w:rStyle w:val="FootnoteReference"/>
        </w:rPr>
        <w:t xml:space="preserve"> </w:t>
      </w:r>
      <w:r>
        <w:tab/>
      </w:r>
      <w:r>
        <w:tab/>
      </w:r>
      <w:r w:rsidR="00452618" w:rsidRPr="0026725D">
        <w:t>A/HRC/46/57, para.22</w:t>
      </w:r>
      <w:r w:rsidR="00C61AA0">
        <w:t>.</w:t>
      </w:r>
    </w:p>
  </w:footnote>
  <w:footnote w:id="112">
    <w:p w14:paraId="03DB7D21" w14:textId="62910BA3" w:rsidR="00452618" w:rsidRPr="0026725D" w:rsidRDefault="008A4DD2" w:rsidP="0026725D">
      <w:pPr>
        <w:pStyle w:val="FootnoteText"/>
      </w:pPr>
      <w:r>
        <w:tab/>
      </w:r>
      <w:r w:rsidR="00452618" w:rsidRPr="008A4DD2">
        <w:rPr>
          <w:rStyle w:val="FootnoteReference"/>
        </w:rPr>
        <w:footnoteRef/>
      </w:r>
      <w:r w:rsidR="00452618" w:rsidRPr="008A4DD2">
        <w:rPr>
          <w:rStyle w:val="FootnoteReference"/>
        </w:rPr>
        <w:t xml:space="preserve"> </w:t>
      </w:r>
      <w:r>
        <w:tab/>
      </w:r>
      <w:r>
        <w:tab/>
      </w:r>
      <w:r w:rsidR="00452618" w:rsidRPr="0026725D">
        <w:t xml:space="preserve">Daria Denti and Alessandra </w:t>
      </w:r>
      <w:proofErr w:type="spellStart"/>
      <w:r w:rsidR="00452618" w:rsidRPr="0026725D">
        <w:t>Faggian</w:t>
      </w:r>
      <w:proofErr w:type="spellEnd"/>
      <w:r w:rsidR="00452618" w:rsidRPr="0026725D">
        <w:t>, “Where do angry birds tweet? Income inequality and online hate in Italy”, 2021</w:t>
      </w:r>
      <w:r w:rsidR="00C61AA0">
        <w:t>.</w:t>
      </w:r>
      <w:r w:rsidR="00452618" w:rsidRPr="0026725D">
        <w:t xml:space="preserve"> </w:t>
      </w:r>
    </w:p>
  </w:footnote>
  <w:footnote w:id="113">
    <w:p w14:paraId="165C191B" w14:textId="71786812" w:rsidR="00452618" w:rsidRPr="0026725D" w:rsidRDefault="008A4DD2" w:rsidP="0026725D">
      <w:pPr>
        <w:pStyle w:val="FootnoteText"/>
      </w:pPr>
      <w:r>
        <w:tab/>
      </w:r>
      <w:r w:rsidR="00452618" w:rsidRPr="008A4DD2">
        <w:rPr>
          <w:rStyle w:val="FootnoteReference"/>
        </w:rPr>
        <w:footnoteRef/>
      </w:r>
      <w:r w:rsidRPr="008A4DD2">
        <w:rPr>
          <w:rStyle w:val="FootnoteReference"/>
        </w:rPr>
        <w:t xml:space="preserve"> </w:t>
      </w:r>
      <w:r>
        <w:tab/>
      </w:r>
      <w:r>
        <w:tab/>
      </w:r>
      <w:r w:rsidR="00452618" w:rsidRPr="0026725D">
        <w:t>A/HRC/47/25; MAAT for Peace &amp; Legal Clinic and Social Responsibility – Section Rights of the Child submissions to the Special Rapporteur; &amp; Council on Foreign Relations, “Hate Speech on Social Media: Global Comparisons”, 2019</w:t>
      </w:r>
      <w:r w:rsidR="00C61AA0">
        <w:t>.</w:t>
      </w:r>
    </w:p>
  </w:footnote>
  <w:footnote w:id="114">
    <w:p w14:paraId="663BEA89" w14:textId="68C3E9C0" w:rsidR="00452618" w:rsidRPr="00AC5535" w:rsidRDefault="008A4DD2" w:rsidP="0026725D">
      <w:pPr>
        <w:pStyle w:val="FootnoteText"/>
      </w:pPr>
      <w:r>
        <w:tab/>
      </w:r>
      <w:r w:rsidR="00452618" w:rsidRPr="008A4DD2">
        <w:rPr>
          <w:rStyle w:val="FootnoteReference"/>
        </w:rPr>
        <w:footnoteRef/>
      </w:r>
      <w:r w:rsidR="00452618" w:rsidRPr="0026725D">
        <w:t xml:space="preserve"> </w:t>
      </w:r>
      <w:r>
        <w:tab/>
      </w:r>
      <w:r>
        <w:tab/>
      </w:r>
      <w:r w:rsidR="00452618" w:rsidRPr="0026725D">
        <w:t>A/HRC/47/53, para. 9.</w:t>
      </w:r>
    </w:p>
  </w:footnote>
  <w:footnote w:id="115">
    <w:p w14:paraId="23A17FC9" w14:textId="333D5E0C" w:rsidR="00452618" w:rsidRPr="00114ADE" w:rsidRDefault="00114ADE" w:rsidP="00114ADE">
      <w:pPr>
        <w:pStyle w:val="FootnoteText"/>
      </w:pPr>
      <w:r>
        <w:tab/>
      </w:r>
      <w:r w:rsidR="00452618" w:rsidRPr="00114ADE">
        <w:rPr>
          <w:rStyle w:val="FootnoteReference"/>
        </w:rPr>
        <w:footnoteRef/>
      </w:r>
      <w:r w:rsidR="00452618" w:rsidRPr="00114ADE">
        <w:rPr>
          <w:rStyle w:val="FootnoteReference"/>
        </w:rPr>
        <w:t xml:space="preserve"> </w:t>
      </w:r>
      <w:r>
        <w:tab/>
      </w:r>
      <w:r>
        <w:tab/>
      </w:r>
      <w:r w:rsidR="00452618" w:rsidRPr="00114ADE">
        <w:t>See A/HRC/44/57</w:t>
      </w:r>
      <w:r w:rsidR="00C61AA0">
        <w:t>.</w:t>
      </w:r>
      <w:r w:rsidR="00452618" w:rsidRPr="00114ADE">
        <w:t xml:space="preserve"> </w:t>
      </w:r>
    </w:p>
  </w:footnote>
  <w:footnote w:id="116">
    <w:p w14:paraId="05AFF8B9" w14:textId="544DAE3A" w:rsidR="00452618" w:rsidRPr="00114ADE" w:rsidRDefault="00114ADE" w:rsidP="00114ADE">
      <w:pPr>
        <w:pStyle w:val="FootnoteText"/>
      </w:pPr>
      <w:r>
        <w:tab/>
      </w:r>
      <w:r w:rsidR="00452618" w:rsidRPr="00114ADE">
        <w:rPr>
          <w:rStyle w:val="FootnoteReference"/>
        </w:rPr>
        <w:footnoteRef/>
      </w:r>
      <w:r w:rsidR="00452618" w:rsidRPr="00114ADE">
        <w:rPr>
          <w:rStyle w:val="FootnoteReference"/>
        </w:rPr>
        <w:t xml:space="preserve"> </w:t>
      </w:r>
      <w:r>
        <w:tab/>
      </w:r>
      <w:r>
        <w:tab/>
      </w:r>
      <w:r w:rsidR="00452618" w:rsidRPr="00114ADE">
        <w:t>Special Procedures communications AL OTH 125/2022; AL OTH 126/2022; AL OTH 127/2022; &amp; Al OTH 128/2022</w:t>
      </w:r>
      <w:r w:rsidR="00C61AA0">
        <w:t>.</w:t>
      </w:r>
    </w:p>
  </w:footnote>
  <w:footnote w:id="117">
    <w:p w14:paraId="4AE5753F" w14:textId="4321C5EE" w:rsidR="00452618" w:rsidRPr="00114ADE" w:rsidRDefault="00114ADE" w:rsidP="00114ADE">
      <w:pPr>
        <w:pStyle w:val="FootnoteText"/>
      </w:pPr>
      <w:r>
        <w:tab/>
      </w:r>
      <w:r w:rsidR="00452618" w:rsidRPr="00114ADE">
        <w:rPr>
          <w:rStyle w:val="FootnoteReference"/>
        </w:rPr>
        <w:footnoteRef/>
      </w:r>
      <w:r w:rsidR="00452618" w:rsidRPr="00114ADE">
        <w:rPr>
          <w:rStyle w:val="FootnoteReference"/>
        </w:rPr>
        <w:t xml:space="preserve"> </w:t>
      </w:r>
      <w:r>
        <w:tab/>
      </w:r>
      <w:r>
        <w:tab/>
      </w:r>
      <w:r w:rsidR="00452618" w:rsidRPr="00114ADE">
        <w:t>The Durban Declaration and Programme of Action, 2001, para.92-98</w:t>
      </w:r>
      <w:r w:rsidR="00C61AA0">
        <w:t>.</w:t>
      </w:r>
    </w:p>
  </w:footnote>
  <w:footnote w:id="118">
    <w:p w14:paraId="5FCFD9E3" w14:textId="01B313A8" w:rsidR="00452618" w:rsidRPr="002B5394" w:rsidRDefault="00114ADE" w:rsidP="00114ADE">
      <w:pPr>
        <w:pStyle w:val="FootnoteText"/>
      </w:pPr>
      <w:r>
        <w:tab/>
      </w:r>
      <w:r w:rsidR="00452618" w:rsidRPr="00114ADE">
        <w:rPr>
          <w:rStyle w:val="FootnoteReference"/>
        </w:rPr>
        <w:footnoteRef/>
      </w:r>
      <w:r w:rsidR="00452618" w:rsidRPr="00114ADE">
        <w:rPr>
          <w:rStyle w:val="FootnoteReference"/>
        </w:rPr>
        <w:t xml:space="preserve"> </w:t>
      </w:r>
      <w:r>
        <w:tab/>
      </w:r>
      <w:r>
        <w:tab/>
      </w:r>
      <w:r w:rsidR="00452618" w:rsidRPr="00114ADE">
        <w:t>Ibid</w:t>
      </w:r>
      <w:r w:rsidR="00C61AA0">
        <w:t>.</w:t>
      </w:r>
      <w:r w:rsidR="00452618">
        <w:t xml:space="preserve"> </w:t>
      </w:r>
    </w:p>
  </w:footnote>
  <w:footnote w:id="119">
    <w:p w14:paraId="43E6B7CD" w14:textId="4E05BF7D" w:rsidR="00452618" w:rsidRPr="00D70939" w:rsidRDefault="00D70939" w:rsidP="00D70939">
      <w:pPr>
        <w:pStyle w:val="FootnoteText"/>
      </w:pPr>
      <w:r>
        <w:tab/>
      </w:r>
      <w:r w:rsidR="00452618" w:rsidRPr="00D70939">
        <w:rPr>
          <w:rStyle w:val="FootnoteReference"/>
        </w:rPr>
        <w:footnoteRef/>
      </w:r>
      <w:r w:rsidR="00452618" w:rsidRPr="00D70939">
        <w:t xml:space="preserve"> </w:t>
      </w:r>
      <w:r>
        <w:tab/>
      </w:r>
      <w:r>
        <w:tab/>
      </w:r>
      <w:r w:rsidR="00452618" w:rsidRPr="00D70939">
        <w:t>DDPA. Para.147, e</w:t>
      </w:r>
      <w:r w:rsidR="00C61AA0">
        <w:t>.</w:t>
      </w:r>
    </w:p>
  </w:footnote>
  <w:footnote w:id="120">
    <w:p w14:paraId="05260141" w14:textId="4D9005BD" w:rsidR="00452618" w:rsidRPr="00D70939" w:rsidRDefault="00D70939" w:rsidP="00D70939">
      <w:pPr>
        <w:pStyle w:val="FootnoteText"/>
      </w:pPr>
      <w:r>
        <w:tab/>
      </w:r>
      <w:r w:rsidR="00452618" w:rsidRPr="00D70939">
        <w:rPr>
          <w:rStyle w:val="FootnoteReference"/>
        </w:rPr>
        <w:footnoteRef/>
      </w:r>
      <w:r w:rsidR="00452618" w:rsidRPr="00D70939">
        <w:rPr>
          <w:rStyle w:val="FootnoteReference"/>
        </w:rPr>
        <w:t xml:space="preserve"> </w:t>
      </w:r>
      <w:r>
        <w:tab/>
      </w:r>
      <w:r>
        <w:tab/>
      </w:r>
      <w:r w:rsidR="00452618" w:rsidRPr="00D70939">
        <w:t>United Nations, “Take Action: Engage - how to deal with hate speech?”</w:t>
      </w:r>
      <w:r w:rsidR="00C61AA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8755" w14:textId="25136C84" w:rsidR="00C150E9" w:rsidRPr="00AA1750" w:rsidRDefault="001E1876">
    <w:pPr>
      <w:pStyle w:val="Header"/>
    </w:pPr>
    <w:r>
      <w:rPr>
        <w:noProof/>
      </w:rPr>
      <w:pict w14:anchorId="2A088C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04954" o:spid="_x0000_s1026" type="#_x0000_t136" style="position:absolute;margin-left:0;margin-top:0;width:784.5pt;height:81.75pt;rotation:315;z-index:-251652096;mso-position-horizontal:center;mso-position-horizontal-relative:margin;mso-position-vertical:center;mso-position-vertical-relative:margin" o:allowincell="f" fillcolor="silver" stroked="f">
          <v:fill opacity=".5"/>
          <v:textpath style="font-family:&quot;Times New Roman&quot;;font-size:1in" string="Advance Unedited Version"/>
          <w10:wrap anchorx="margin" anchory="margin"/>
        </v:shape>
      </w:pict>
    </w:r>
    <w:r>
      <w:fldChar w:fldCharType="begin"/>
    </w:r>
    <w:r>
      <w:instrText xml:space="preserve"> TITLE  \* MERGEFORMAT </w:instrText>
    </w:r>
    <w:r>
      <w:fldChar w:fldCharType="separate"/>
    </w:r>
    <w:r w:rsidR="00AA1750">
      <w:t>A/</w:t>
    </w:r>
    <w:r w:rsidR="0081393B">
      <w:t>78/</w:t>
    </w:r>
    <w:r>
      <w:fldChar w:fldCharType="end"/>
    </w:r>
    <w:r w:rsidR="00AE116B">
      <w:t>538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F7840" w14:textId="69669DE5" w:rsidR="00C150E9" w:rsidRPr="00AA1750" w:rsidRDefault="001E1876" w:rsidP="00AA1750">
    <w:pPr>
      <w:pStyle w:val="Header"/>
      <w:jc w:val="right"/>
    </w:pPr>
    <w:r>
      <w:rPr>
        <w:noProof/>
      </w:rPr>
      <w:pict w14:anchorId="25B9F1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04955" o:spid="_x0000_s1027" type="#_x0000_t136" style="position:absolute;left:0;text-align:left;margin-left:0;margin-top:0;width:784.5pt;height:81.75pt;rotation:315;z-index:-251650048;mso-position-horizontal:center;mso-position-horizontal-relative:margin;mso-position-vertical:center;mso-position-vertical-relative:margin" o:allowincell="f" fillcolor="silver" stroked="f">
          <v:fill opacity=".5"/>
          <v:textpath style="font-family:&quot;Times New Roman&quot;;font-size:1in" string="Advance Unedited Version"/>
          <w10:wrap anchorx="margin" anchory="margin"/>
        </v:shape>
      </w:pict>
    </w:r>
    <w:r>
      <w:fldChar w:fldCharType="begin"/>
    </w:r>
    <w:r>
      <w:instrText xml:space="preserve"> TITLE  \* MERGEFORMAT </w:instrText>
    </w:r>
    <w:r>
      <w:fldChar w:fldCharType="separate"/>
    </w:r>
    <w:r w:rsidR="00AA1750">
      <w:t>A/</w:t>
    </w:r>
    <w:r w:rsidR="0081393B">
      <w:t>78/</w:t>
    </w:r>
    <w:r>
      <w:fldChar w:fldCharType="end"/>
    </w:r>
    <w:r w:rsidR="00AE116B">
      <w:t>538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B5548" w14:textId="4ED6E834" w:rsidR="00AE116B" w:rsidRDefault="001E1876">
    <w:pPr>
      <w:pStyle w:val="Header"/>
    </w:pPr>
    <w:r>
      <w:rPr>
        <w:noProof/>
      </w:rPr>
      <w:pict w14:anchorId="3A3643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04953" o:spid="_x0000_s1025" type="#_x0000_t136" style="position:absolute;margin-left:0;margin-top:0;width:784.5pt;height:81.75pt;rotation:315;z-index:-251654144;mso-position-horizontal:center;mso-position-horizontal-relative:margin;mso-position-vertical:center;mso-position-vertical-relative:margin" o:allowincell="f" fillcolor="silver" stroked="f">
          <v:fill opacity=".5"/>
          <v:textpath style="font-family:&quot;Times New Roman&quot;;font-size:1in" string="Advance Unedited Vers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FD762E2C"/>
    <w:lvl w:ilvl="0" w:tplc="91F4DEBE">
      <w:start w:val="1"/>
      <w:numFmt w:val="lowerLetter"/>
      <w:pStyle w:val="Bullet1G"/>
      <w:lvlText w:val="%1)"/>
      <w:lvlJc w:val="left"/>
      <w:pPr>
        <w:tabs>
          <w:tab w:val="num" w:pos="1701"/>
        </w:tabs>
        <w:ind w:left="1701" w:hanging="170"/>
      </w:pPr>
      <w:rPr>
        <w:rFonts w:hint="default"/>
        <w:b w:val="0"/>
        <w:bCs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A2261A"/>
    <w:multiLevelType w:val="hybridMultilevel"/>
    <w:tmpl w:val="F686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F2BFE"/>
    <w:multiLevelType w:val="hybridMultilevel"/>
    <w:tmpl w:val="0FFC83B6"/>
    <w:lvl w:ilvl="0" w:tplc="6C045684">
      <w:start w:val="1"/>
      <w:numFmt w:val="lowerLetter"/>
      <w:lvlText w:val="%1)"/>
      <w:lvlJc w:val="left"/>
      <w:pPr>
        <w:tabs>
          <w:tab w:val="num" w:pos="1701"/>
        </w:tabs>
        <w:ind w:left="1701" w:hanging="170"/>
      </w:pPr>
      <w:rPr>
        <w:rFonts w:hint="default"/>
        <w:b w:val="0"/>
        <w:bCs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511D79"/>
    <w:multiLevelType w:val="hybridMultilevel"/>
    <w:tmpl w:val="CF64C9CC"/>
    <w:lvl w:ilvl="0" w:tplc="642A317C">
      <w:start w:val="1"/>
      <w:numFmt w:val="upperRoman"/>
      <w:lvlText w:val="%1."/>
      <w:lvlJc w:val="left"/>
      <w:pPr>
        <w:ind w:left="1455" w:hanging="720"/>
      </w:pPr>
      <w:rPr>
        <w:rFonts w:hint="default"/>
      </w:rPr>
    </w:lvl>
    <w:lvl w:ilvl="1" w:tplc="08090019">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D1929DB"/>
    <w:multiLevelType w:val="hybridMultilevel"/>
    <w:tmpl w:val="EFCC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E83566"/>
    <w:multiLevelType w:val="hybridMultilevel"/>
    <w:tmpl w:val="7C601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725155">
    <w:abstractNumId w:val="5"/>
  </w:num>
  <w:num w:numId="2" w16cid:durableId="381751911">
    <w:abstractNumId w:val="4"/>
  </w:num>
  <w:num w:numId="3" w16cid:durableId="814182928">
    <w:abstractNumId w:val="10"/>
  </w:num>
  <w:num w:numId="4" w16cid:durableId="577398332">
    <w:abstractNumId w:val="3"/>
  </w:num>
  <w:num w:numId="5" w16cid:durableId="1648362815">
    <w:abstractNumId w:val="0"/>
  </w:num>
  <w:num w:numId="6" w16cid:durableId="575867396">
    <w:abstractNumId w:val="1"/>
  </w:num>
  <w:num w:numId="7" w16cid:durableId="1397780759">
    <w:abstractNumId w:val="9"/>
  </w:num>
  <w:num w:numId="8" w16cid:durableId="506022914">
    <w:abstractNumId w:val="2"/>
  </w:num>
  <w:num w:numId="9" w16cid:durableId="1399935575">
    <w:abstractNumId w:val="8"/>
  </w:num>
  <w:num w:numId="10" w16cid:durableId="882518101">
    <w:abstractNumId w:val="12"/>
  </w:num>
  <w:num w:numId="11" w16cid:durableId="22481464">
    <w:abstractNumId w:val="6"/>
  </w:num>
  <w:num w:numId="12" w16cid:durableId="1148860927">
    <w:abstractNumId w:val="11"/>
  </w:num>
  <w:num w:numId="13" w16cid:durableId="160688140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TT" w:vendorID="64" w:dllVersion="0" w:nlCheck="1" w:checkStyle="0"/>
  <w:activeWritingStyle w:appName="MSWord" w:lang="fr-FR" w:vendorID="64" w:dllVersion="0" w:nlCheck="1" w:checkStyle="0"/>
  <w:activeWritingStyle w:appName="MSWord" w:lang="es-E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750"/>
    <w:rsid w:val="00007F7F"/>
    <w:rsid w:val="000216E4"/>
    <w:rsid w:val="00022DB5"/>
    <w:rsid w:val="000403D1"/>
    <w:rsid w:val="000449AA"/>
    <w:rsid w:val="00050F6B"/>
    <w:rsid w:val="0005662A"/>
    <w:rsid w:val="00072C8C"/>
    <w:rsid w:val="00073E70"/>
    <w:rsid w:val="000876EB"/>
    <w:rsid w:val="00091419"/>
    <w:rsid w:val="000931C0"/>
    <w:rsid w:val="000B175B"/>
    <w:rsid w:val="000B2148"/>
    <w:rsid w:val="000B2851"/>
    <w:rsid w:val="000B3A0F"/>
    <w:rsid w:val="000B4A3B"/>
    <w:rsid w:val="000C59D8"/>
    <w:rsid w:val="000D1851"/>
    <w:rsid w:val="000E0415"/>
    <w:rsid w:val="00114ADE"/>
    <w:rsid w:val="00130ABB"/>
    <w:rsid w:val="00146D32"/>
    <w:rsid w:val="001509BA"/>
    <w:rsid w:val="00177CCC"/>
    <w:rsid w:val="001B17D5"/>
    <w:rsid w:val="001B4B04"/>
    <w:rsid w:val="001B55B0"/>
    <w:rsid w:val="001B70CB"/>
    <w:rsid w:val="001C6663"/>
    <w:rsid w:val="001C7895"/>
    <w:rsid w:val="001D26DF"/>
    <w:rsid w:val="001E1876"/>
    <w:rsid w:val="001E2790"/>
    <w:rsid w:val="00211E0B"/>
    <w:rsid w:val="00211E72"/>
    <w:rsid w:val="002128B5"/>
    <w:rsid w:val="00214047"/>
    <w:rsid w:val="0022130F"/>
    <w:rsid w:val="00230601"/>
    <w:rsid w:val="00237785"/>
    <w:rsid w:val="002410DD"/>
    <w:rsid w:val="00241466"/>
    <w:rsid w:val="00253D58"/>
    <w:rsid w:val="0026725D"/>
    <w:rsid w:val="0027725F"/>
    <w:rsid w:val="00283C7F"/>
    <w:rsid w:val="00295836"/>
    <w:rsid w:val="002A7BAB"/>
    <w:rsid w:val="002C21F0"/>
    <w:rsid w:val="003107FA"/>
    <w:rsid w:val="003229D8"/>
    <w:rsid w:val="003314D1"/>
    <w:rsid w:val="00335A2F"/>
    <w:rsid w:val="00341937"/>
    <w:rsid w:val="0039277A"/>
    <w:rsid w:val="003972E0"/>
    <w:rsid w:val="003975ED"/>
    <w:rsid w:val="003C2CC4"/>
    <w:rsid w:val="003C5696"/>
    <w:rsid w:val="003D4B23"/>
    <w:rsid w:val="0041032A"/>
    <w:rsid w:val="0041412D"/>
    <w:rsid w:val="00424C80"/>
    <w:rsid w:val="004325CB"/>
    <w:rsid w:val="0044503A"/>
    <w:rsid w:val="00446DE4"/>
    <w:rsid w:val="00447761"/>
    <w:rsid w:val="00451EC3"/>
    <w:rsid w:val="00452618"/>
    <w:rsid w:val="004721B1"/>
    <w:rsid w:val="00480477"/>
    <w:rsid w:val="00482A89"/>
    <w:rsid w:val="004859EC"/>
    <w:rsid w:val="00496A15"/>
    <w:rsid w:val="004B75D2"/>
    <w:rsid w:val="004D1140"/>
    <w:rsid w:val="004F55ED"/>
    <w:rsid w:val="00506A8D"/>
    <w:rsid w:val="0052176C"/>
    <w:rsid w:val="005261E5"/>
    <w:rsid w:val="00526D04"/>
    <w:rsid w:val="00537838"/>
    <w:rsid w:val="005420F2"/>
    <w:rsid w:val="00542574"/>
    <w:rsid w:val="005436AB"/>
    <w:rsid w:val="00546924"/>
    <w:rsid w:val="00546DBF"/>
    <w:rsid w:val="00552D31"/>
    <w:rsid w:val="00553D76"/>
    <w:rsid w:val="005552B5"/>
    <w:rsid w:val="0056117B"/>
    <w:rsid w:val="00562621"/>
    <w:rsid w:val="00571365"/>
    <w:rsid w:val="005A0E16"/>
    <w:rsid w:val="005B3DB3"/>
    <w:rsid w:val="005B6E48"/>
    <w:rsid w:val="005D53BE"/>
    <w:rsid w:val="005E1712"/>
    <w:rsid w:val="005E45FF"/>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6BA5"/>
    <w:rsid w:val="007C087D"/>
    <w:rsid w:val="007C1B62"/>
    <w:rsid w:val="007C3390"/>
    <w:rsid w:val="007C4F4B"/>
    <w:rsid w:val="007D2CDC"/>
    <w:rsid w:val="007D5327"/>
    <w:rsid w:val="007E5EEA"/>
    <w:rsid w:val="007F6611"/>
    <w:rsid w:val="0080743A"/>
    <w:rsid w:val="0081393B"/>
    <w:rsid w:val="008155C3"/>
    <w:rsid w:val="008175E9"/>
    <w:rsid w:val="0082243E"/>
    <w:rsid w:val="008242D7"/>
    <w:rsid w:val="00856CD2"/>
    <w:rsid w:val="00861BC6"/>
    <w:rsid w:val="00871FD5"/>
    <w:rsid w:val="008847BB"/>
    <w:rsid w:val="00891F57"/>
    <w:rsid w:val="008979B1"/>
    <w:rsid w:val="008A4DD2"/>
    <w:rsid w:val="008A4E1B"/>
    <w:rsid w:val="008A6B25"/>
    <w:rsid w:val="008A6C4F"/>
    <w:rsid w:val="008B0A8F"/>
    <w:rsid w:val="008C1E4D"/>
    <w:rsid w:val="008E0E46"/>
    <w:rsid w:val="0090452C"/>
    <w:rsid w:val="00907C3F"/>
    <w:rsid w:val="0091494A"/>
    <w:rsid w:val="009153C9"/>
    <w:rsid w:val="0092237C"/>
    <w:rsid w:val="0093707B"/>
    <w:rsid w:val="009400EB"/>
    <w:rsid w:val="00942608"/>
    <w:rsid w:val="009427E3"/>
    <w:rsid w:val="00946575"/>
    <w:rsid w:val="0095294A"/>
    <w:rsid w:val="00956D9B"/>
    <w:rsid w:val="00963CBA"/>
    <w:rsid w:val="009654B7"/>
    <w:rsid w:val="00991261"/>
    <w:rsid w:val="009A0B83"/>
    <w:rsid w:val="009B3800"/>
    <w:rsid w:val="009D22AC"/>
    <w:rsid w:val="009D50DB"/>
    <w:rsid w:val="009E1C4E"/>
    <w:rsid w:val="009E5058"/>
    <w:rsid w:val="00A0036A"/>
    <w:rsid w:val="00A0262B"/>
    <w:rsid w:val="00A05E0B"/>
    <w:rsid w:val="00A1427D"/>
    <w:rsid w:val="00A42682"/>
    <w:rsid w:val="00A44108"/>
    <w:rsid w:val="00A4634F"/>
    <w:rsid w:val="00A51CF3"/>
    <w:rsid w:val="00A72F22"/>
    <w:rsid w:val="00A73D32"/>
    <w:rsid w:val="00A748A6"/>
    <w:rsid w:val="00A8688C"/>
    <w:rsid w:val="00A879A4"/>
    <w:rsid w:val="00A87E95"/>
    <w:rsid w:val="00A92E29"/>
    <w:rsid w:val="00AA1750"/>
    <w:rsid w:val="00AA7BE2"/>
    <w:rsid w:val="00AC5AE2"/>
    <w:rsid w:val="00AD09E9"/>
    <w:rsid w:val="00AE116B"/>
    <w:rsid w:val="00AF0576"/>
    <w:rsid w:val="00AF3829"/>
    <w:rsid w:val="00B037F0"/>
    <w:rsid w:val="00B2327D"/>
    <w:rsid w:val="00B2718F"/>
    <w:rsid w:val="00B30179"/>
    <w:rsid w:val="00B3317B"/>
    <w:rsid w:val="00B334DC"/>
    <w:rsid w:val="00B3631A"/>
    <w:rsid w:val="00B53013"/>
    <w:rsid w:val="00B606B5"/>
    <w:rsid w:val="00B67F5E"/>
    <w:rsid w:val="00B73E65"/>
    <w:rsid w:val="00B75B7D"/>
    <w:rsid w:val="00B81E12"/>
    <w:rsid w:val="00B87110"/>
    <w:rsid w:val="00B97FA8"/>
    <w:rsid w:val="00BC1385"/>
    <w:rsid w:val="00BC18AA"/>
    <w:rsid w:val="00BC74E9"/>
    <w:rsid w:val="00BE618E"/>
    <w:rsid w:val="00BE655C"/>
    <w:rsid w:val="00BF4571"/>
    <w:rsid w:val="00C03DEE"/>
    <w:rsid w:val="00C150E9"/>
    <w:rsid w:val="00C217E7"/>
    <w:rsid w:val="00C24693"/>
    <w:rsid w:val="00C35F0B"/>
    <w:rsid w:val="00C463DD"/>
    <w:rsid w:val="00C61AA0"/>
    <w:rsid w:val="00C64458"/>
    <w:rsid w:val="00C745C3"/>
    <w:rsid w:val="00CA2A58"/>
    <w:rsid w:val="00CA644C"/>
    <w:rsid w:val="00CC0B55"/>
    <w:rsid w:val="00CD6995"/>
    <w:rsid w:val="00CE4A8F"/>
    <w:rsid w:val="00CF0214"/>
    <w:rsid w:val="00CF586F"/>
    <w:rsid w:val="00CF7D43"/>
    <w:rsid w:val="00D11129"/>
    <w:rsid w:val="00D2031B"/>
    <w:rsid w:val="00D22332"/>
    <w:rsid w:val="00D25FE2"/>
    <w:rsid w:val="00D33ACA"/>
    <w:rsid w:val="00D36D11"/>
    <w:rsid w:val="00D43252"/>
    <w:rsid w:val="00D550F9"/>
    <w:rsid w:val="00D572B0"/>
    <w:rsid w:val="00D62E90"/>
    <w:rsid w:val="00D70939"/>
    <w:rsid w:val="00D76BE5"/>
    <w:rsid w:val="00D978C6"/>
    <w:rsid w:val="00DA1739"/>
    <w:rsid w:val="00DA67AD"/>
    <w:rsid w:val="00DB18CE"/>
    <w:rsid w:val="00DB5566"/>
    <w:rsid w:val="00DD7FF5"/>
    <w:rsid w:val="00DE3EC0"/>
    <w:rsid w:val="00E11593"/>
    <w:rsid w:val="00E12B6B"/>
    <w:rsid w:val="00E130AB"/>
    <w:rsid w:val="00E438D9"/>
    <w:rsid w:val="00E5644E"/>
    <w:rsid w:val="00E70EC3"/>
    <w:rsid w:val="00E7260F"/>
    <w:rsid w:val="00E806EE"/>
    <w:rsid w:val="00E96630"/>
    <w:rsid w:val="00EB0FB9"/>
    <w:rsid w:val="00ED0CA9"/>
    <w:rsid w:val="00ED7A2A"/>
    <w:rsid w:val="00EF1D7F"/>
    <w:rsid w:val="00EF5BDB"/>
    <w:rsid w:val="00F07FD9"/>
    <w:rsid w:val="00F23933"/>
    <w:rsid w:val="00F24119"/>
    <w:rsid w:val="00F40E75"/>
    <w:rsid w:val="00F42CD9"/>
    <w:rsid w:val="00F52936"/>
    <w:rsid w:val="00F54083"/>
    <w:rsid w:val="00F677CB"/>
    <w:rsid w:val="00F67B04"/>
    <w:rsid w:val="00F761BA"/>
    <w:rsid w:val="00F817EA"/>
    <w:rsid w:val="00F83FDD"/>
    <w:rsid w:val="00FA0E7F"/>
    <w:rsid w:val="00FA7DF3"/>
    <w:rsid w:val="00FC68B7"/>
    <w:rsid w:val="00FD4C6D"/>
    <w:rsid w:val="00FD7C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F7D3E"/>
  <w15:docId w15:val="{62A869FC-4DD0-4A1E-B537-161660F2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link w:val="HeaderChar"/>
    <w:uiPriority w:val="99"/>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F0214"/>
    <w:rPr>
      <w:color w:val="auto"/>
      <w:u w:val="none"/>
    </w:rPr>
  </w:style>
  <w:style w:type="character" w:styleId="FollowedHyperlink">
    <w:name w:val="FollowedHyperlink"/>
    <w:basedOn w:val="DefaultParagraphFont"/>
    <w:uiPriority w:val="99"/>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uiPriority w:val="99"/>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uiPriority w:val="99"/>
    <w:rsid w:val="00230601"/>
    <w:rPr>
      <w:sz w:val="18"/>
      <w:lang w:val="en-GB" w:eastAsia="en-US"/>
    </w:rPr>
  </w:style>
  <w:style w:type="paragraph" w:customStyle="1" w:styleId="SingleTxt">
    <w:name w:val="__Single Txt"/>
    <w:basedOn w:val="Normal"/>
    <w:rsid w:val="002306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styleId="ListParagraph">
    <w:name w:val="List Paragraph"/>
    <w:basedOn w:val="Normal"/>
    <w:uiPriority w:val="34"/>
    <w:qFormat/>
    <w:rsid w:val="00452618"/>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customStyle="1" w:styleId="UnresolvedMention1">
    <w:name w:val="Unresolved Mention1"/>
    <w:basedOn w:val="DefaultParagraphFont"/>
    <w:uiPriority w:val="99"/>
    <w:semiHidden/>
    <w:unhideWhenUsed/>
    <w:rsid w:val="00452618"/>
    <w:rPr>
      <w:color w:val="605E5C"/>
      <w:shd w:val="clear" w:color="auto" w:fill="E1DFDD"/>
    </w:rPr>
  </w:style>
  <w:style w:type="character" w:styleId="CommentReference">
    <w:name w:val="annotation reference"/>
    <w:basedOn w:val="DefaultParagraphFont"/>
    <w:uiPriority w:val="99"/>
    <w:semiHidden/>
    <w:unhideWhenUsed/>
    <w:rsid w:val="00452618"/>
    <w:rPr>
      <w:sz w:val="16"/>
      <w:szCs w:val="16"/>
    </w:rPr>
  </w:style>
  <w:style w:type="paragraph" w:styleId="CommentText">
    <w:name w:val="annotation text"/>
    <w:basedOn w:val="Normal"/>
    <w:link w:val="CommentTextChar"/>
    <w:uiPriority w:val="99"/>
    <w:unhideWhenUsed/>
    <w:rsid w:val="00452618"/>
    <w:pPr>
      <w:suppressAutoHyphens w:val="0"/>
      <w:spacing w:after="160" w:line="240" w:lineRule="auto"/>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452618"/>
    <w:rPr>
      <w:rFonts w:asciiTheme="minorHAnsi" w:eastAsiaTheme="minorHAnsi" w:hAnsiTheme="minorHAnsi" w:cstheme="minorBidi"/>
      <w:kern w:val="2"/>
      <w:lang w:val="en-GB" w:eastAsia="en-US"/>
      <w14:ligatures w14:val="standardContextual"/>
    </w:rPr>
  </w:style>
  <w:style w:type="paragraph" w:styleId="CommentSubject">
    <w:name w:val="annotation subject"/>
    <w:basedOn w:val="CommentText"/>
    <w:next w:val="CommentText"/>
    <w:link w:val="CommentSubjectChar"/>
    <w:uiPriority w:val="99"/>
    <w:semiHidden/>
    <w:unhideWhenUsed/>
    <w:rsid w:val="00452618"/>
    <w:rPr>
      <w:b/>
      <w:bCs/>
    </w:rPr>
  </w:style>
  <w:style w:type="character" w:customStyle="1" w:styleId="CommentSubjectChar">
    <w:name w:val="Comment Subject Char"/>
    <w:basedOn w:val="CommentTextChar"/>
    <w:link w:val="CommentSubject"/>
    <w:uiPriority w:val="99"/>
    <w:semiHidden/>
    <w:rsid w:val="00452618"/>
    <w:rPr>
      <w:rFonts w:asciiTheme="minorHAnsi" w:eastAsiaTheme="minorHAnsi" w:hAnsiTheme="minorHAnsi" w:cstheme="minorBidi"/>
      <w:b/>
      <w:bCs/>
      <w:kern w:val="2"/>
      <w:lang w:val="en-GB" w:eastAsia="en-US"/>
      <w14:ligatures w14:val="standardContextual"/>
    </w:rPr>
  </w:style>
  <w:style w:type="character" w:customStyle="1" w:styleId="HeaderChar">
    <w:name w:val="Header Char"/>
    <w:aliases w:val="6_G Char"/>
    <w:basedOn w:val="DefaultParagraphFont"/>
    <w:link w:val="Header"/>
    <w:uiPriority w:val="99"/>
    <w:rsid w:val="00452618"/>
    <w:rPr>
      <w:b/>
      <w:sz w:val="18"/>
      <w:lang w:val="en-GB" w:eastAsia="en-US"/>
    </w:rPr>
  </w:style>
  <w:style w:type="character" w:customStyle="1" w:styleId="FooterChar">
    <w:name w:val="Footer Char"/>
    <w:aliases w:val="3_G Char"/>
    <w:basedOn w:val="DefaultParagraphFont"/>
    <w:link w:val="Footer"/>
    <w:uiPriority w:val="99"/>
    <w:rsid w:val="00452618"/>
    <w:rPr>
      <w:sz w:val="16"/>
      <w:lang w:val="en-GB" w:eastAsia="en-US"/>
    </w:rPr>
  </w:style>
  <w:style w:type="paragraph" w:styleId="Revision">
    <w:name w:val="Revision"/>
    <w:hidden/>
    <w:uiPriority w:val="99"/>
    <w:semiHidden/>
    <w:rsid w:val="00452618"/>
    <w:rPr>
      <w:rFonts w:asciiTheme="minorHAnsi" w:eastAsiaTheme="minorHAnsi" w:hAnsiTheme="minorHAnsi" w:cstheme="minorBidi"/>
      <w:kern w:val="2"/>
      <w:sz w:val="22"/>
      <w:szCs w:val="22"/>
      <w:lang w:val="en-GB" w:eastAsia="en-US"/>
      <w14:ligatures w14:val="standardContextual"/>
    </w:rPr>
  </w:style>
  <w:style w:type="character" w:styleId="UnresolvedMention">
    <w:name w:val="Unresolved Mention"/>
    <w:basedOn w:val="DefaultParagraphFont"/>
    <w:uiPriority w:val="99"/>
    <w:semiHidden/>
    <w:unhideWhenUsed/>
    <w:rsid w:val="00452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freedom-of-expres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AB59289BFBAB4F9FD152C776C60BDD" ma:contentTypeVersion="10" ma:contentTypeDescription="Create a new document." ma:contentTypeScope="" ma:versionID="0470a25d883dcb41463ed3bb18e7d99e">
  <xsd:schema xmlns:xsd="http://www.w3.org/2001/XMLSchema" xmlns:xs="http://www.w3.org/2001/XMLSchema" xmlns:p="http://schemas.microsoft.com/office/2006/metadata/properties" xmlns:ns2="fa1020ff-48ad-4b90-98f4-7161a6f3b630" xmlns:ns3="985ec44e-1bab-4c0b-9df0-6ba128686fc9" targetNamespace="http://schemas.microsoft.com/office/2006/metadata/properties" ma:root="true" ma:fieldsID="9af15f07dc10de0852260294b99aa4e6" ns2:_="" ns3:_="">
    <xsd:import namespace="fa1020ff-48ad-4b90-98f4-7161a6f3b63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1020ff-48ad-4b90-98f4-7161a6f3b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4afd02e-5a56-4f93-83f9-320cd14d78c4}" ma:internalName="TaxCatchAll" ma:showField="CatchAllData" ma:web="9c2e4527-2efa-4ade-b3d6-b2418af14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fa1020ff-48ad-4b90-98f4-7161a6f3b6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57534D-050F-46A8-8717-57CE400B10B1}"/>
</file>

<file path=customXml/itemProps2.xml><?xml version="1.0" encoding="utf-8"?>
<ds:datastoreItem xmlns:ds="http://schemas.openxmlformats.org/officeDocument/2006/customXml" ds:itemID="{DF3A04A2-816B-4FFE-AF63-89FB9655A4CF}"/>
</file>

<file path=customXml/itemProps3.xml><?xml version="1.0" encoding="utf-8"?>
<ds:datastoreItem xmlns:ds="http://schemas.openxmlformats.org/officeDocument/2006/customXml" ds:itemID="{50C3B849-EF3A-4868-BA70-A6CFEA642F28}"/>
</file>

<file path=docProps/app.xml><?xml version="1.0" encoding="utf-8"?>
<Properties xmlns="http://schemas.openxmlformats.org/officeDocument/2006/extended-properties" xmlns:vt="http://schemas.openxmlformats.org/officeDocument/2006/docPropsVTypes">
  <Template>A_E.dotm</Template>
  <TotalTime>0</TotalTime>
  <Pages>6</Pages>
  <Words>9233</Words>
  <Characters>52631</Characters>
  <Application>Microsoft Office Word</Application>
  <DocSecurity>4</DocSecurity>
  <Lines>438</Lines>
  <Paragraphs>123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A/Slotxx</vt:lpstr>
      <vt:lpstr/>
    </vt:vector>
  </TitlesOfParts>
  <Company>CSD</Company>
  <LinksUpToDate>false</LinksUpToDate>
  <CharactersWithSpaces>61741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Eleanor Robb</dc:title>
  <dc:creator>KANGABE Hydaya</dc:creator>
  <cp:lastModifiedBy>Eleanor Robb</cp:lastModifiedBy>
  <cp:revision>2</cp:revision>
  <cp:lastPrinted>2008-01-29T08:30:00Z</cp:lastPrinted>
  <dcterms:created xsi:type="dcterms:W3CDTF">2023-10-23T15:02:00Z</dcterms:created>
  <dcterms:modified xsi:type="dcterms:W3CDTF">2023-10-23T15:02:00Z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y fmtid="{D5CDD505-2E9C-101B-9397-08002B2CF9AE}" pid="3" name="_ExtendedDescription">
    <vt:lpwstr>Two changes to the SR's webpage </vt:lpwstr>
  </property>
</Properties>
</file>